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IFQ636 A2 — Submission Checklist</w:t>
      </w:r>
    </w:p>
    <w:p>
      <w:r>
        <w:rPr>
          <w:i/>
          <w:color w:val="555555"/>
          <w:sz w:val="18"/>
        </w:rPr>
        <w:t>David (Anrio) Carver · 11473215 · due 3 July 2026 · work through in order</w:t>
      </w:r>
    </w:p>
    <w:p>
      <w:pPr>
        <w:pStyle w:val="Heading2"/>
      </w:pPr>
      <w:r>
        <w:t>CRITICAL — do these first (A1 lesson: a missing/broken item = near-zero on that criterion)</w:t>
      </w:r>
    </w:p>
    <w:p>
      <w:pPr>
        <w:pStyle w:val="ListBullet"/>
      </w:pPr>
      <w:r>
        <w:rPr>
          <w:b/>
          <w:color w:val="C00000"/>
        </w:rPr>
        <w:t xml:space="preserve">Confirm the live IP. </w:t>
      </w:r>
      <w:r>
        <w:t>Start the EC2 instance, note the NEW public IP, and update it in BOTH the report §7.4 and the README. A dead live-link is your "only two SysML diagrams" moment.</w:t>
      </w:r>
    </w:p>
    <w:p>
      <w:pPr>
        <w:pStyle w:val="ListBullet"/>
      </w:pPr>
      <w:r>
        <w:rPr>
          <w:b/>
          <w:color w:val="C00000"/>
        </w:rPr>
        <w:t xml:space="preserve">Verify the app actually works. </w:t>
      </w:r>
      <w:r>
        <w:t>Open the live URL yourself in a clean browser — browse, log in, post a review, see the notification. If it 502s, wait ~10s (pm2 restarting).</w:t>
      </w:r>
    </w:p>
    <w:p>
      <w:pPr>
        <w:pStyle w:val="ListBullet"/>
      </w:pPr>
      <w:r>
        <w:rPr>
          <w:b/>
          <w:color w:val="C00000"/>
        </w:rPr>
        <w:t xml:space="preserve">Record the video. </w:t>
      </w:r>
      <w:r>
        <w:t>Record the 10-minute solo video from docs/A2/video-storyboard.docx. Unrecorded = zero for the demo. Keep EC2 running the whole time.</w:t>
      </w:r>
    </w:p>
    <w:p>
      <w:pPr>
        <w:pStyle w:val="Heading2"/>
      </w:pPr>
      <w:r>
        <w:t>Documents to finalise</w:t>
      </w:r>
    </w:p>
    <w:p>
      <w:pPr>
        <w:pStyle w:val="ListBullet"/>
      </w:pPr>
      <w:r>
        <w:rPr>
          <w:b/>
        </w:rPr>
        <w:t xml:space="preserve">Export report to PDF. </w:t>
      </w:r>
      <w:r>
        <w:t>Open in Word and File → Save As → PDF (LibreOffice export is broken; Word is fine).</w:t>
      </w:r>
    </w:p>
    <w:p>
      <w:pPr>
        <w:pStyle w:val="ListBullet"/>
      </w:pPr>
      <w:r>
        <w:rPr>
          <w:b/>
        </w:rPr>
        <w:t xml:space="preserve">Sign Part C. </w:t>
      </w:r>
      <w:r>
        <w:t>Sign + date your row; Cameron’s row already marked "withdrew". Export to PDF.</w:t>
      </w:r>
    </w:p>
    <w:p>
      <w:pPr>
        <w:pStyle w:val="ListBullet"/>
      </w:pPr>
      <w:r>
        <w:rPr>
          <w:b/>
        </w:rPr>
        <w:t xml:space="preserve">Final read-through. </w:t>
      </w:r>
      <w:r>
        <w:t>Confirm no [INSERT]/[TEAM] placeholders remain (none as of last check) and the IP matches the report.</w:t>
      </w:r>
    </w:p>
    <w:p>
      <w:pPr>
        <w:pStyle w:val="Heading2"/>
      </w:pPr>
      <w:r>
        <w:t>Consistency (A1 lesson: this marker reads the repo against the report)</w:t>
      </w:r>
    </w:p>
    <w:p>
      <w:pPr>
        <w:pStyle w:val="ListBullet"/>
      </w:pPr>
      <w:r>
        <w:rPr>
          <w:b/>
        </w:rPr>
        <w:t xml:space="preserve">Update the public repo README. </w:t>
      </w:r>
      <w:r>
        <w:t>Paste the corrected README into github.com/david1carver/restaurant-review-platform → main. It still shows the old A1/Render story until you do.</w:t>
      </w:r>
    </w:p>
    <w:p>
      <w:pPr>
        <w:pStyle w:val="ListBullet"/>
      </w:pPr>
      <w:r>
        <w:rPr>
          <w:b/>
        </w:rPr>
        <w:t xml:space="preserve">Check the GitHub links. </w:t>
      </w:r>
      <w:r>
        <w:t>Repo link in the report resolves; branches (feature/contrib-*, feature/log-*) and the merged PR #1 are visible for §4.2.</w:t>
      </w:r>
    </w:p>
    <w:p>
      <w:pPr>
        <w:pStyle w:val="Heading2"/>
      </w:pPr>
      <w:r>
        <w:t>Protective step</w:t>
      </w:r>
    </w:p>
    <w:p>
      <w:pPr>
        <w:pStyle w:val="ListBullet"/>
      </w:pPr>
      <w:r>
        <w:rPr>
          <w:b/>
        </w:rPr>
        <w:t xml:space="preserve">Email the unit coordinator. </w:t>
      </w:r>
      <w:r>
        <w:t>Send the coordinator email (docs/A2/coordinator_email_team_change.txt) — on record before submission, it helps the Team-Collaboration criterion be graded fairly for a solo.</w:t>
      </w:r>
    </w:p>
    <w:p>
      <w:pPr>
        <w:pStyle w:val="Heading2"/>
      </w:pPr>
      <w:r>
        <w:t>Submit</w:t>
      </w:r>
    </w:p>
    <w:p>
      <w:pPr>
        <w:pStyle w:val="ListBullet"/>
      </w:pPr>
      <w:r>
        <w:rPr>
          <w:b/>
        </w:rPr>
        <w:t xml:space="preserve">Upload to Canvas. </w:t>
      </w:r>
      <w:r>
        <w:t>One PDF: report (with all embedded evidence). One PDF: Part C declaration. Plus the video to Canvas Studio. Submit before 3 July.</w:t>
      </w:r>
    </w:p>
    <w:p>
      <w:pPr>
        <w:pStyle w:val="Heading2"/>
      </w:pPr>
      <w:r>
        <w:t>What A1 taught us about this marker</w:t>
      </w:r>
    </w:p>
    <w:p>
      <w:pPr>
        <w:pStyle w:val="ListBullet"/>
      </w:pPr>
      <w:r>
        <w:t>Counts required artefacts literally — completeness beats polish. Make sure every rubric-listed screenshot is present.</w:t>
      </w:r>
    </w:p>
    <w:p>
      <w:pPr>
        <w:pStyle w:val="ListBullet"/>
      </w:pPr>
      <w:r>
        <w:t>Rewards clearly-separated discussion (now fixed in §Discussion) and good documentation (you scored 12/12 on README+report in A1).</w:t>
      </w:r>
    </w:p>
    <w:p>
      <w:pPr>
        <w:pStyle w:val="ListBullet"/>
      </w:pPr>
      <w:r>
        <w:t>Gave 12/12 for structured branching in A1 — your solo branch/PR/merge evidence should still score well.</w:t>
      </w:r>
    </w:p>
    <w:p>
      <w:pPr>
        <w:pStyle w:val="ListBullet"/>
      </w:pPr>
      <w:r>
        <w:t>Checks that things actually work (A1: "prototype isn’t interactive") — so the live demo must genuinely run.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