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8837F" w14:textId="77777777" w:rsidR="00CB62A7" w:rsidRPr="00A11EA4" w:rsidRDefault="00F272E7">
      <w:pPr>
        <w:spacing w:after="80"/>
        <w:rPr>
          <w:lang w:val="en-US"/>
        </w:rPr>
      </w:pPr>
      <w:r w:rsidRPr="00A11EA4">
        <w:rPr>
          <w:b/>
          <w:bCs/>
          <w:sz w:val="36"/>
          <w:szCs w:val="36"/>
          <w:lang w:val="en-US"/>
        </w:rPr>
        <w:t>Digital lifestyles and consumption-based carbon emissions</w:t>
      </w:r>
    </w:p>
    <w:p w14:paraId="51796A10" w14:textId="77777777" w:rsidR="00CB62A7" w:rsidRPr="00A11EA4" w:rsidRDefault="00F272E7">
      <w:pPr>
        <w:spacing w:after="60"/>
        <w:rPr>
          <w:lang w:val="en-US"/>
        </w:rPr>
      </w:pPr>
      <w:r w:rsidRPr="00A11EA4">
        <w:rPr>
          <w:i/>
          <w:iCs/>
          <w:sz w:val="26"/>
          <w:szCs w:val="26"/>
          <w:lang w:val="en-US"/>
        </w:rPr>
        <w:t>Individual-level evidence from linked bank-transaction, survey, and register data</w:t>
      </w:r>
    </w:p>
    <w:p w14:paraId="39E6DA3B" w14:textId="77777777" w:rsidR="00CB62A7" w:rsidRPr="00A11EA4" w:rsidRDefault="00F272E7">
      <w:pPr>
        <w:spacing w:after="60"/>
        <w:rPr>
          <w:lang w:val="en-US"/>
        </w:rPr>
      </w:pPr>
      <w:r w:rsidRPr="00A11EA4">
        <w:rPr>
          <w:color w:val="555555"/>
          <w:sz w:val="20"/>
          <w:szCs w:val="20"/>
          <w:lang w:val="en-US"/>
        </w:rPr>
        <w:t xml:space="preserve">Project plan, extended abstract, and </w:t>
      </w:r>
      <w:proofErr w:type="spellStart"/>
      <w:r w:rsidRPr="00A11EA4">
        <w:rPr>
          <w:color w:val="555555"/>
          <w:sz w:val="20"/>
          <w:szCs w:val="20"/>
          <w:lang w:val="en-US"/>
        </w:rPr>
        <w:t>OSF</w:t>
      </w:r>
      <w:proofErr w:type="spellEnd"/>
      <w:r w:rsidRPr="00A11EA4">
        <w:rPr>
          <w:color w:val="555555"/>
          <w:sz w:val="20"/>
          <w:szCs w:val="20"/>
          <w:lang w:val="en-US"/>
        </w:rPr>
        <w:t xml:space="preserve"> preregistration sketch — for internal discussion</w:t>
      </w:r>
    </w:p>
    <w:p w14:paraId="684ECAEB" w14:textId="77777777" w:rsidR="00CB62A7" w:rsidRPr="00A11EA4" w:rsidRDefault="00F272E7">
      <w:pPr>
        <w:pBdr>
          <w:bottom w:val="single" w:sz="6" w:space="4" w:color="1F3864"/>
        </w:pBdr>
        <w:spacing w:after="240"/>
        <w:rPr>
          <w:lang w:val="en-US"/>
        </w:rPr>
      </w:pPr>
      <w:r w:rsidRPr="00A11EA4">
        <w:rPr>
          <w:color w:val="555555"/>
          <w:sz w:val="20"/>
          <w:szCs w:val="20"/>
          <w:lang w:val="en-US"/>
        </w:rPr>
        <w:t xml:space="preserve">David Andersson (WP1 lead) · Draft for comment, June 2026 · </w:t>
      </w:r>
      <w:proofErr w:type="gramStart"/>
      <w:r w:rsidRPr="00A11EA4">
        <w:rPr>
          <w:color w:val="555555"/>
          <w:sz w:val="20"/>
          <w:szCs w:val="20"/>
          <w:lang w:val="en-US"/>
        </w:rPr>
        <w:t>Formas</w:t>
      </w:r>
      <w:proofErr w:type="gramEnd"/>
      <w:r w:rsidRPr="00A11EA4">
        <w:rPr>
          <w:color w:val="555555"/>
          <w:sz w:val="20"/>
          <w:szCs w:val="20"/>
          <w:lang w:val="en-US"/>
        </w:rPr>
        <w:t xml:space="preserve"> project “</w:t>
      </w:r>
      <w:proofErr w:type="spellStart"/>
      <w:r w:rsidRPr="00A11EA4">
        <w:rPr>
          <w:color w:val="555555"/>
          <w:sz w:val="20"/>
          <w:szCs w:val="20"/>
          <w:lang w:val="en-US"/>
        </w:rPr>
        <w:t>Decarbonisation</w:t>
      </w:r>
      <w:proofErr w:type="spellEnd"/>
      <w:r w:rsidRPr="00A11EA4">
        <w:rPr>
          <w:color w:val="555555"/>
          <w:sz w:val="20"/>
          <w:szCs w:val="20"/>
          <w:lang w:val="en-US"/>
        </w:rPr>
        <w:t xml:space="preserve"> through digitalization?”</w:t>
      </w:r>
    </w:p>
    <w:p w14:paraId="31CB9022" w14:textId="4B48EEA9" w:rsidR="00CB62A7" w:rsidRPr="00A11EA4" w:rsidRDefault="00F272E7">
      <w:pPr>
        <w:spacing w:after="160" w:line="276" w:lineRule="auto"/>
        <w:rPr>
          <w:lang w:val="en-US"/>
        </w:rPr>
      </w:pPr>
      <w:r w:rsidRPr="00A11EA4">
        <w:rPr>
          <w:b/>
          <w:bCs/>
          <w:lang w:val="en-US"/>
        </w:rPr>
        <w:t xml:space="preserve">How to read this document. </w:t>
      </w:r>
      <w:r w:rsidRPr="00A11EA4">
        <w:rPr>
          <w:lang w:val="en-US"/>
        </w:rPr>
        <w:t xml:space="preserve">Part A is the project plan for circulation to the project group; Part B is a stand-alone extended abstract; Part C is a sketch of the </w:t>
      </w:r>
      <w:proofErr w:type="spellStart"/>
      <w:r w:rsidRPr="00A11EA4">
        <w:rPr>
          <w:lang w:val="en-US"/>
        </w:rPr>
        <w:t>OSF</w:t>
      </w:r>
      <w:proofErr w:type="spellEnd"/>
      <w:r w:rsidRPr="00A11EA4">
        <w:rPr>
          <w:lang w:val="en-US"/>
        </w:rPr>
        <w:t xml:space="preserve"> preregistration to be finalized after the group’s comments. The aim is to gather feedback over the summer, register the analysis plan on </w:t>
      </w:r>
      <w:proofErr w:type="spellStart"/>
      <w:r w:rsidRPr="00A11EA4">
        <w:rPr>
          <w:lang w:val="en-US"/>
        </w:rPr>
        <w:t>OSF</w:t>
      </w:r>
      <w:proofErr w:type="spellEnd"/>
      <w:r w:rsidRPr="00A11EA4">
        <w:rPr>
          <w:lang w:val="en-US"/>
        </w:rPr>
        <w:t xml:space="preserve"> in </w:t>
      </w:r>
      <w:r w:rsidR="00A11EA4" w:rsidRPr="00A11EA4">
        <w:rPr>
          <w:lang w:val="en-US"/>
        </w:rPr>
        <w:t xml:space="preserve">early </w:t>
      </w:r>
      <w:r w:rsidRPr="00A11EA4">
        <w:rPr>
          <w:lang w:val="en-US"/>
        </w:rPr>
        <w:t xml:space="preserve">August, and have the RA begin data preparation in </w:t>
      </w:r>
      <w:r w:rsidR="00A11EA4" w:rsidRPr="00A11EA4">
        <w:rPr>
          <w:lang w:val="en-US"/>
        </w:rPr>
        <w:t>August-September</w:t>
      </w:r>
      <w:r w:rsidRPr="00A11EA4">
        <w:rPr>
          <w:lang w:val="en-US"/>
        </w:rPr>
        <w:t>.</w:t>
      </w:r>
      <w:r w:rsidR="00A11EA4" w:rsidRPr="00A11EA4">
        <w:rPr>
          <w:lang w:val="en-US"/>
        </w:rPr>
        <w:t xml:space="preserve"> Then start formal write up.</w:t>
      </w:r>
    </w:p>
    <w:p w14:paraId="69653E5E" w14:textId="77777777" w:rsidR="00CB62A7" w:rsidRPr="00A11EA4" w:rsidRDefault="00F272E7">
      <w:pPr>
        <w:pStyle w:val="Rubrik1"/>
        <w:rPr>
          <w:lang w:val="en-US"/>
        </w:rPr>
      </w:pPr>
      <w:r w:rsidRPr="00A11EA4">
        <w:rPr>
          <w:lang w:val="en-US"/>
        </w:rPr>
        <w:t>Part A. Project plan</w:t>
      </w:r>
    </w:p>
    <w:p w14:paraId="6C168A11" w14:textId="77777777" w:rsidR="00CB62A7" w:rsidRPr="00A11EA4" w:rsidRDefault="00F272E7">
      <w:pPr>
        <w:pStyle w:val="Rubrik2"/>
        <w:rPr>
          <w:lang w:val="en-US"/>
        </w:rPr>
      </w:pPr>
      <w:r w:rsidRPr="00A11EA4">
        <w:rPr>
          <w:lang w:val="en-US"/>
        </w:rPr>
        <w:t>1. Motivation and contribution</w:t>
      </w:r>
    </w:p>
    <w:p w14:paraId="37BB99EC" w14:textId="77777777" w:rsidR="00CB62A7" w:rsidRPr="00A11EA4" w:rsidRDefault="00F272E7">
      <w:pPr>
        <w:spacing w:after="160" w:line="276" w:lineRule="auto"/>
        <w:rPr>
          <w:lang w:val="en-US"/>
        </w:rPr>
      </w:pPr>
      <w:r w:rsidRPr="00A11EA4">
        <w:rPr>
          <w:lang w:val="en-US"/>
        </w:rPr>
        <w:t>Whether digitalization reduces or increases the greenhouse gas emissions embedded in household consumption is one of the central open questions in sustainable consumption research. The optimistic account — dematerialization, decarbonization, demobilization (the “three Ds”) — holds that time spent digitally substitutes for travel and material consumption. The pessimistic account holds that the money and time freed up by digital substitution rebound into additional consumption, and that digital channels (nota</w:t>
      </w:r>
      <w:r w:rsidRPr="00A11EA4">
        <w:rPr>
          <w:lang w:val="en-US"/>
        </w:rPr>
        <w:t xml:space="preserve">bly e-commerce) actively generate it. The empirical literature on both </w:t>
      </w:r>
      <w:proofErr w:type="gramStart"/>
      <w:r w:rsidRPr="00A11EA4">
        <w:rPr>
          <w:lang w:val="en-US"/>
        </w:rPr>
        <w:t>sides</w:t>
      </w:r>
      <w:proofErr w:type="gramEnd"/>
      <w:r w:rsidRPr="00A11EA4">
        <w:rPr>
          <w:lang w:val="en-US"/>
        </w:rPr>
        <w:t xml:space="preserve"> rests almost entirely on aggregate panels or self-reported time-use surveys; to our knowledge, no study has observed a credible individual-level measure of digital lifestyle intensity and a measured consumption-based carbon footprint for the same individuals.</w:t>
      </w:r>
    </w:p>
    <w:p w14:paraId="330CD438" w14:textId="77777777" w:rsidR="00CB62A7" w:rsidRPr="00A11EA4" w:rsidRDefault="00F272E7">
      <w:pPr>
        <w:spacing w:after="160" w:line="276" w:lineRule="auto"/>
        <w:rPr>
          <w:lang w:val="en-US"/>
        </w:rPr>
      </w:pPr>
      <w:r w:rsidRPr="00A11EA4">
        <w:rPr>
          <w:lang w:val="en-US"/>
        </w:rPr>
        <w:t>This paper provides that evidence. We link (</w:t>
      </w:r>
      <w:proofErr w:type="spellStart"/>
      <w:r w:rsidRPr="00A11EA4">
        <w:rPr>
          <w:lang w:val="en-US"/>
        </w:rPr>
        <w:t>i</w:t>
      </w:r>
      <w:proofErr w:type="spellEnd"/>
      <w:r w:rsidRPr="00A11EA4">
        <w:rPr>
          <w:lang w:val="en-US"/>
        </w:rPr>
        <w:t xml:space="preserve">) survey measures of digital behavior, including a device-assisted daily screen-time report, (ii) several years of bank-transaction data per respondent, categorized to </w:t>
      </w:r>
      <w:proofErr w:type="spellStart"/>
      <w:r w:rsidRPr="00A11EA4">
        <w:rPr>
          <w:lang w:val="en-US"/>
        </w:rPr>
        <w:t>COICOP</w:t>
      </w:r>
      <w:proofErr w:type="spellEnd"/>
      <w:r w:rsidRPr="00A11EA4">
        <w:rPr>
          <w:lang w:val="en-US"/>
        </w:rPr>
        <w:t xml:space="preserve"> and translated to CO</w:t>
      </w:r>
      <w:r w:rsidRPr="00A11EA4">
        <w:rPr>
          <w:vertAlign w:val="subscript"/>
          <w:lang w:val="en-US"/>
        </w:rPr>
        <w:t>2</w:t>
      </w:r>
      <w:r w:rsidRPr="00A11EA4">
        <w:rPr>
          <w:lang w:val="en-US"/>
        </w:rPr>
        <w:t>e, and (iii) administrative register data, for roughly 6,000 Swedish adults. The headline analysis estimates the gradient of consumption-based emissions in digital lifestyle intensity, and — more importantly for the theoretical debate — decomposes that gradient across consumption categories to test whether the pattern matches demobilization (lower transport emissions), rebound (offsetting increases in goods and e-commerce-related spending), or both. This is core WP1 output under the Formas project: it suppl</w:t>
      </w:r>
      <w:r w:rsidRPr="00A11EA4">
        <w:rPr>
          <w:lang w:val="en-US"/>
        </w:rPr>
        <w:t>ies the empirical link between digitalization, consumption patterns, and emissions, and it directly feeds the digital-lifestyle parameters required by the WP2 scenario work.</w:t>
      </w:r>
    </w:p>
    <w:p w14:paraId="0E3627E3" w14:textId="187E6FD2" w:rsidR="00CB62A7" w:rsidRDefault="00F272E7">
      <w:pPr>
        <w:spacing w:after="160" w:line="276" w:lineRule="auto"/>
        <w:rPr>
          <w:lang w:val="en-US"/>
        </w:rPr>
      </w:pPr>
      <w:r w:rsidRPr="00A11EA4">
        <w:rPr>
          <w:lang w:val="en-US"/>
        </w:rPr>
        <w:t xml:space="preserve">Target outlets, in order of ambition: Nature Climate Change, Nature Sustainability, Nature Communications / PNAS, </w:t>
      </w:r>
      <w:r w:rsidRPr="00A11EA4">
        <w:rPr>
          <w:lang w:val="en-US"/>
        </w:rPr>
        <w:t>Global Environmental Change or Ecological Economics. The contribution we will lead with is novel, debate-relevant measurement under a preregistered analysis plan, not causal identification — and the design below is built to make that framing as credible as possible.</w:t>
      </w:r>
    </w:p>
    <w:p w14:paraId="6E70C41F" w14:textId="77777777" w:rsidR="00A11EA4" w:rsidRPr="00A11EA4" w:rsidRDefault="00A11EA4">
      <w:pPr>
        <w:spacing w:after="160" w:line="276" w:lineRule="auto"/>
        <w:rPr>
          <w:lang w:val="en-US"/>
        </w:rPr>
      </w:pPr>
    </w:p>
    <w:p w14:paraId="4EA4E424" w14:textId="77777777" w:rsidR="00CB62A7" w:rsidRPr="00A11EA4" w:rsidRDefault="00F272E7">
      <w:pPr>
        <w:pStyle w:val="Rubrik2"/>
        <w:rPr>
          <w:lang w:val="en-US"/>
        </w:rPr>
      </w:pPr>
      <w:r w:rsidRPr="00A11EA4">
        <w:rPr>
          <w:lang w:val="en-US"/>
        </w:rPr>
        <w:lastRenderedPageBreak/>
        <w:t>2. Data</w:t>
      </w:r>
    </w:p>
    <w:p w14:paraId="26D10728" w14:textId="3EE242D4" w:rsidR="00CB62A7" w:rsidRPr="00A11EA4" w:rsidRDefault="00F272E7">
      <w:pPr>
        <w:spacing w:after="160" w:line="276" w:lineRule="auto"/>
        <w:rPr>
          <w:lang w:val="en-US"/>
        </w:rPr>
      </w:pPr>
      <w:r w:rsidRPr="00A11EA4">
        <w:rPr>
          <w:lang w:val="en-US"/>
        </w:rPr>
        <w:t xml:space="preserve">The study draws on an existing data collection </w:t>
      </w:r>
      <w:r w:rsidRPr="00A11EA4">
        <w:rPr>
          <w:lang w:val="en-US"/>
        </w:rPr>
        <w:t xml:space="preserve">in which participants completed a baseline survey, connected their bank accounts to the study app </w:t>
      </w:r>
      <w:proofErr w:type="spellStart"/>
      <w:r w:rsidRPr="00A11EA4">
        <w:rPr>
          <w:lang w:val="en-US"/>
        </w:rPr>
        <w:t>Konsumtionskollen</w:t>
      </w:r>
      <w:proofErr w:type="spellEnd"/>
      <w:r w:rsidRPr="00A11EA4">
        <w:rPr>
          <w:lang w:val="en-US"/>
        </w:rPr>
        <w:t>, and completed an endline survey. Approximately 6,000 respondents were recruited; about one third constitute a probability sample of the Swedish adult population and about two thirds were drawn from electoral districts (</w:t>
      </w:r>
      <w:proofErr w:type="spellStart"/>
      <w:r w:rsidRPr="00A11EA4">
        <w:rPr>
          <w:lang w:val="en-US"/>
        </w:rPr>
        <w:t>valkretsar</w:t>
      </w:r>
      <w:proofErr w:type="spellEnd"/>
      <w:r w:rsidRPr="00A11EA4">
        <w:rPr>
          <w:lang w:val="en-US"/>
        </w:rPr>
        <w:t>) with a relatively high share of Green party voters. Key components:</w:t>
      </w:r>
    </w:p>
    <w:p w14:paraId="3C0C4759" w14:textId="77777777" w:rsidR="00CB62A7" w:rsidRPr="00A11EA4" w:rsidRDefault="00F272E7">
      <w:pPr>
        <w:pStyle w:val="Liststycke"/>
        <w:numPr>
          <w:ilvl w:val="0"/>
          <w:numId w:val="2"/>
        </w:numPr>
        <w:spacing w:after="100" w:line="276" w:lineRule="auto"/>
        <w:rPr>
          <w:lang w:val="en-US"/>
        </w:rPr>
      </w:pPr>
      <w:r w:rsidRPr="00A11EA4">
        <w:rPr>
          <w:b/>
          <w:bCs/>
          <w:lang w:val="en-US"/>
        </w:rPr>
        <w:t xml:space="preserve">Transaction data. </w:t>
      </w:r>
      <w:r w:rsidRPr="00A11EA4">
        <w:rPr>
          <w:lang w:val="en-US"/>
        </w:rPr>
        <w:t xml:space="preserve">Bank transactions from January 2019 to December 2024 (historical data retrieved at recruitment), categorized to </w:t>
      </w:r>
      <w:proofErr w:type="spellStart"/>
      <w:r w:rsidRPr="00A11EA4">
        <w:rPr>
          <w:lang w:val="en-US"/>
        </w:rPr>
        <w:t>COICOP</w:t>
      </w:r>
      <w:proofErr w:type="spellEnd"/>
      <w:r w:rsidRPr="00A11EA4">
        <w:rPr>
          <w:lang w:val="en-US"/>
        </w:rPr>
        <w:t xml:space="preserve"> and converted to CO2e. The cleaned analysis window (</w:t>
      </w:r>
      <w:proofErr w:type="spellStart"/>
      <w:r w:rsidRPr="00A11EA4">
        <w:rPr>
          <w:lang w:val="en-US"/>
        </w:rPr>
        <w:t>selected_months</w:t>
      </w:r>
      <w:proofErr w:type="spellEnd"/>
      <w:r w:rsidRPr="00A11EA4">
        <w:rPr>
          <w:lang w:val="en-US"/>
        </w:rPr>
        <w:t>) is March 2021 – August 2024. Participants joined between 13 May and 12 September 2024.</w:t>
      </w:r>
    </w:p>
    <w:p w14:paraId="3E19F58D" w14:textId="77777777" w:rsidR="00CB62A7" w:rsidRPr="00A11EA4" w:rsidRDefault="00F272E7">
      <w:pPr>
        <w:pStyle w:val="Liststycke"/>
        <w:numPr>
          <w:ilvl w:val="0"/>
          <w:numId w:val="2"/>
        </w:numPr>
        <w:spacing w:after="100" w:line="276" w:lineRule="auto"/>
        <w:rPr>
          <w:lang w:val="en-US"/>
        </w:rPr>
      </w:pPr>
      <w:r w:rsidRPr="00A11EA4">
        <w:rPr>
          <w:b/>
          <w:bCs/>
          <w:lang w:val="en-US"/>
        </w:rPr>
        <w:t xml:space="preserve">Baseline survey </w:t>
      </w:r>
      <w:r w:rsidRPr="00A11EA4">
        <w:rPr>
          <w:lang w:val="en-US"/>
        </w:rPr>
        <w:t>(13 May – 24 June 2024, pre-treatment): frequencies of device use and digital activities (computer, smartphone, TV, console, tablet; streaming, social media, gaming, e-commerce, second-hand selling), consumption-habit scales, environmental self-identity, values, political attitudes, attention checks.</w:t>
      </w:r>
    </w:p>
    <w:p w14:paraId="04EE025C" w14:textId="77777777" w:rsidR="00CB62A7" w:rsidRPr="00A11EA4" w:rsidRDefault="00F272E7">
      <w:pPr>
        <w:pStyle w:val="Liststycke"/>
        <w:numPr>
          <w:ilvl w:val="0"/>
          <w:numId w:val="2"/>
        </w:numPr>
        <w:spacing w:after="100" w:line="276" w:lineRule="auto"/>
        <w:rPr>
          <w:lang w:val="en-US"/>
        </w:rPr>
      </w:pPr>
      <w:r w:rsidRPr="00A11EA4">
        <w:rPr>
          <w:b/>
          <w:bCs/>
          <w:lang w:val="en-US"/>
        </w:rPr>
        <w:t xml:space="preserve">Endline survey </w:t>
      </w:r>
      <w:r w:rsidRPr="00A11EA4">
        <w:rPr>
          <w:lang w:val="en-US"/>
        </w:rPr>
        <w:t>(circa nine months after recruitment began): device-assisted screen time — respondents were instructed to open iOS Screen Time / Android Digital Wellbeing and report average daily screen time for the preceding week — plus a time-use frequency battery (out-of-home leisure, working from home, etc.), wellbeing, policy attitudes, and app-experience items.</w:t>
      </w:r>
    </w:p>
    <w:p w14:paraId="39DD389F" w14:textId="77777777" w:rsidR="00CB62A7" w:rsidRPr="00A11EA4" w:rsidRDefault="00F272E7">
      <w:pPr>
        <w:pStyle w:val="Liststycke"/>
        <w:numPr>
          <w:ilvl w:val="0"/>
          <w:numId w:val="2"/>
        </w:numPr>
        <w:spacing w:after="100" w:line="276" w:lineRule="auto"/>
        <w:rPr>
          <w:lang w:val="en-US"/>
        </w:rPr>
      </w:pPr>
      <w:r w:rsidRPr="00A11EA4">
        <w:rPr>
          <w:b/>
          <w:bCs/>
          <w:lang w:val="en-US"/>
        </w:rPr>
        <w:t xml:space="preserve">Registers. </w:t>
      </w:r>
      <w:r w:rsidRPr="00A11EA4">
        <w:rPr>
          <w:lang w:val="en-US"/>
        </w:rPr>
        <w:t xml:space="preserve">Income, education, household composition, and related demographics are already linked; geography is available at </w:t>
      </w:r>
      <w:proofErr w:type="spellStart"/>
      <w:r w:rsidRPr="00A11EA4">
        <w:rPr>
          <w:lang w:val="en-US"/>
        </w:rPr>
        <w:t>DeSO</w:t>
      </w:r>
      <w:proofErr w:type="spellEnd"/>
      <w:r w:rsidRPr="00A11EA4">
        <w:rPr>
          <w:lang w:val="en-US"/>
        </w:rPr>
        <w:t xml:space="preserve"> level, supporting an urbanity classification. Home/workplace coordinates are not linked and are not required for the primary analysis (a commuting extension can be ordered at revision stage if needed).</w:t>
      </w:r>
    </w:p>
    <w:p w14:paraId="76D20440" w14:textId="77777777" w:rsidR="00CB62A7" w:rsidRPr="00A11EA4" w:rsidRDefault="00F272E7">
      <w:pPr>
        <w:spacing w:after="160" w:line="276" w:lineRule="auto"/>
        <w:rPr>
          <w:lang w:val="en-US"/>
        </w:rPr>
      </w:pPr>
      <w:r w:rsidRPr="00A11EA4">
        <w:rPr>
          <w:lang w:val="en-US"/>
        </w:rPr>
        <w:t>One feature of the data collection requires explicit handling: after baseline, 50% of participants were randomly assigned to a real-time carbon calculator treatment, while controls received an ordinary personal finance (PFM) service. The design below uses this structure rather than working around it.</w:t>
      </w:r>
    </w:p>
    <w:p w14:paraId="71F9F8F1" w14:textId="77777777" w:rsidR="00CB62A7" w:rsidRPr="00A11EA4" w:rsidRDefault="00F272E7">
      <w:pPr>
        <w:pStyle w:val="Rubrik2"/>
        <w:rPr>
          <w:lang w:val="en-US"/>
        </w:rPr>
      </w:pPr>
      <w:r w:rsidRPr="00A11EA4">
        <w:rPr>
          <w:lang w:val="en-US"/>
        </w:rPr>
        <w:t>3. Design</w:t>
      </w:r>
    </w:p>
    <w:p w14:paraId="1DD032C2" w14:textId="77777777" w:rsidR="00CB62A7" w:rsidRPr="00A11EA4" w:rsidRDefault="00F272E7">
      <w:pPr>
        <w:pStyle w:val="Rubrik3"/>
        <w:rPr>
          <w:lang w:val="en-US"/>
        </w:rPr>
      </w:pPr>
      <w:r w:rsidRPr="00A11EA4">
        <w:rPr>
          <w:lang w:val="en-US"/>
        </w:rPr>
        <w:t>3.1 Primary analysis: pre-treatment exposure, pre-treatment outcome</w:t>
      </w:r>
    </w:p>
    <w:p w14:paraId="57380408" w14:textId="77777777" w:rsidR="00CB62A7" w:rsidRPr="00A11EA4" w:rsidRDefault="00F272E7">
      <w:pPr>
        <w:spacing w:after="160" w:line="276" w:lineRule="auto"/>
        <w:rPr>
          <w:lang w:val="en-US"/>
        </w:rPr>
      </w:pPr>
      <w:r w:rsidRPr="00A11EA4">
        <w:rPr>
          <w:lang w:val="en-US"/>
        </w:rPr>
        <w:t>The primary exposure is a standardized digital-intensity index constructed from the baseline device-use and digital-activity frequency battery, which was measured before treatment assignment. The primary outcome is the person-average monthly consumption-based footprint (total CO2e, and by category) over the 12 months preceding each respondent’s app-join date. Both sides of the primary regression therefore pre-date the experiment entirely. Restricting the primary window to the last 12 pre-treatment months al</w:t>
      </w:r>
      <w:r w:rsidRPr="00A11EA4">
        <w:rPr>
          <w:lang w:val="en-US"/>
        </w:rPr>
        <w:t>so keeps the outcome clear of pandemic-distorted years and averages over a full seasonal cycle.</w:t>
      </w:r>
    </w:p>
    <w:p w14:paraId="1AFF92A8" w14:textId="77777777" w:rsidR="00CB62A7" w:rsidRPr="00A11EA4" w:rsidRDefault="00F272E7">
      <w:pPr>
        <w:pStyle w:val="Rubrik3"/>
        <w:rPr>
          <w:lang w:val="en-US"/>
        </w:rPr>
      </w:pPr>
      <w:r w:rsidRPr="00A11EA4">
        <w:rPr>
          <w:lang w:val="en-US"/>
        </w:rPr>
        <w:t>3.2 The screen-time measure: cardinal anchor and measurement-error correction</w:t>
      </w:r>
    </w:p>
    <w:p w14:paraId="59A9F226" w14:textId="77777777" w:rsidR="00CB62A7" w:rsidRPr="00A11EA4" w:rsidRDefault="00F272E7">
      <w:pPr>
        <w:spacing w:after="160" w:line="276" w:lineRule="auto"/>
        <w:rPr>
          <w:lang w:val="en-US"/>
        </w:rPr>
      </w:pPr>
      <w:r w:rsidRPr="00A11EA4">
        <w:rPr>
          <w:lang w:val="en-US"/>
        </w:rPr>
        <w:t xml:space="preserve">The endline screen-time report is the most interpretable measure of digital intensity (“per additional daily hour”), but it is post-treatment and covers phone use only. We therefore use it in three disciplined ways. First, as a randomization-based validity check: because </w:t>
      </w:r>
      <w:r w:rsidRPr="00A11EA4">
        <w:rPr>
          <w:lang w:val="en-US"/>
        </w:rPr>
        <w:lastRenderedPageBreak/>
        <w:t>treatment was randomized, comparing endline screen time across arms tests experimentally whether nine months of carbon feedback shifted phone use; balance licenses treating screen time as trait-like. Second, as the cardinal anchor that converts the index gradient into per-hour terms for the headline result. Third, together with the baseline battery, as one of two noisy indicators of latent digital intensity, enabling a correction for attenuation due to classical measurement error (</w:t>
      </w:r>
      <w:proofErr w:type="spellStart"/>
      <w:r w:rsidRPr="00A11EA4">
        <w:rPr>
          <w:lang w:val="en-US"/>
        </w:rPr>
        <w:t>ORIV</w:t>
      </w:r>
      <w:proofErr w:type="spellEnd"/>
      <w:r w:rsidRPr="00A11EA4">
        <w:rPr>
          <w:lang w:val="en-US"/>
        </w:rPr>
        <w:t xml:space="preserve"> / errors-in-variables</w:t>
      </w:r>
      <w:r w:rsidRPr="00A11EA4">
        <w:rPr>
          <w:lang w:val="en-US"/>
        </w:rPr>
        <w:t xml:space="preserve"> sensitivity analysis); naive and corrected estimates will be reported side by side. Selection into valid screen-time response (respondents who found and reported the setting) will be analyzed and reported.</w:t>
      </w:r>
    </w:p>
    <w:p w14:paraId="67BB81B4" w14:textId="77777777" w:rsidR="00CB62A7" w:rsidRPr="00A11EA4" w:rsidRDefault="00F272E7">
      <w:pPr>
        <w:pStyle w:val="Rubrik3"/>
        <w:rPr>
          <w:lang w:val="en-US"/>
        </w:rPr>
      </w:pPr>
      <w:r w:rsidRPr="00A11EA4">
        <w:rPr>
          <w:lang w:val="en-US"/>
        </w:rPr>
        <w:t>3.3 Decomposition, placebos, and mechanism</w:t>
      </w:r>
    </w:p>
    <w:p w14:paraId="1F6BD7CB" w14:textId="77777777" w:rsidR="00CB62A7" w:rsidRPr="00A11EA4" w:rsidRDefault="00F272E7">
      <w:pPr>
        <w:spacing w:after="160" w:line="276" w:lineRule="auto"/>
        <w:rPr>
          <w:lang w:val="en-US"/>
        </w:rPr>
      </w:pPr>
      <w:r w:rsidRPr="00A11EA4">
        <w:rPr>
          <w:lang w:val="en-US"/>
        </w:rPr>
        <w:t>The theoretically loaded result is the pattern of the gradient across categories: transport (fuel, flights, public transport), restaurants and out-of-home services, clothing and other goods, electronics, digital services, and food. Demobilization predicts negative transport coefficients; rebound predicts offsetting positive coefficients in goods and e-commerce-heavy categories. Categories with no plausible digitalization channel (rent, insurance, fees) serve as placebo outcomes. The mechanism layer uses the</w:t>
      </w:r>
      <w:r w:rsidRPr="00A11EA4">
        <w:rPr>
          <w:lang w:val="en-US"/>
        </w:rPr>
        <w:t xml:space="preserve"> endline time-use battery: digital intensity should predict lower frequency of out-of-home, expenditure-intensive activities, which in turn should account for part of the transport gradient. Because the time-use battery is post-treatment, mechanism analyses will be estimated in the control arm, where contemporaneous behavior is uncontaminated by the carbon-feedback treatment.</w:t>
      </w:r>
    </w:p>
    <w:p w14:paraId="074254D3" w14:textId="77777777" w:rsidR="00CB62A7" w:rsidRPr="00A11EA4" w:rsidRDefault="00F272E7">
      <w:pPr>
        <w:pStyle w:val="Rubrik3"/>
        <w:rPr>
          <w:lang w:val="en-US"/>
        </w:rPr>
      </w:pPr>
      <w:r w:rsidRPr="00A11EA4">
        <w:rPr>
          <w:lang w:val="en-US"/>
        </w:rPr>
        <w:t xml:space="preserve">3.4 Robustness designs provided by the </w:t>
      </w:r>
      <w:proofErr w:type="spellStart"/>
      <w:r w:rsidRPr="00A11EA4">
        <w:rPr>
          <w:lang w:val="en-US"/>
        </w:rPr>
        <w:t>RCT</w:t>
      </w:r>
      <w:proofErr w:type="spellEnd"/>
      <w:r w:rsidRPr="00A11EA4">
        <w:rPr>
          <w:lang w:val="en-US"/>
        </w:rPr>
        <w:t xml:space="preserve"> structure</w:t>
      </w:r>
    </w:p>
    <w:p w14:paraId="16BCE079" w14:textId="77777777" w:rsidR="00CB62A7" w:rsidRPr="00A11EA4" w:rsidRDefault="00F272E7">
      <w:pPr>
        <w:pStyle w:val="Liststycke"/>
        <w:numPr>
          <w:ilvl w:val="0"/>
          <w:numId w:val="2"/>
        </w:numPr>
        <w:spacing w:after="100" w:line="276" w:lineRule="auto"/>
        <w:rPr>
          <w:lang w:val="en-US"/>
        </w:rPr>
      </w:pPr>
      <w:r w:rsidRPr="00A11EA4">
        <w:rPr>
          <w:lang w:val="en-US"/>
        </w:rPr>
        <w:t>Control-arm contemporaneous analysis: within the control arm, regress consumption during the treatment period on endline screen time, so that exposure and outcome are contemporaneous. Agreement with the pre-treatment design addresses the temporal-mismatch concern.</w:t>
      </w:r>
    </w:p>
    <w:p w14:paraId="66FC2FD0" w14:textId="77777777" w:rsidR="00CB62A7" w:rsidRPr="00A11EA4" w:rsidRDefault="00F272E7">
      <w:pPr>
        <w:pStyle w:val="Liststycke"/>
        <w:numPr>
          <w:ilvl w:val="0"/>
          <w:numId w:val="2"/>
        </w:numPr>
        <w:spacing w:after="100" w:line="276" w:lineRule="auto"/>
        <w:rPr>
          <w:lang w:val="en-US"/>
        </w:rPr>
      </w:pPr>
      <w:r w:rsidRPr="00A11EA4">
        <w:rPr>
          <w:lang w:val="en-US"/>
        </w:rPr>
        <w:t>Treatment-irrelevance check: in the primary (pre-treatment) regression, the randomized treatment indicator must have a zero coefficient; we report it as an internal-validity demonstration.</w:t>
      </w:r>
    </w:p>
    <w:p w14:paraId="73C31EB1" w14:textId="77777777" w:rsidR="00CB62A7" w:rsidRPr="00A11EA4" w:rsidRDefault="00F272E7">
      <w:pPr>
        <w:pStyle w:val="Liststycke"/>
        <w:numPr>
          <w:ilvl w:val="0"/>
          <w:numId w:val="2"/>
        </w:numPr>
        <w:spacing w:after="100" w:line="276" w:lineRule="auto"/>
        <w:rPr>
          <w:lang w:val="en-US"/>
        </w:rPr>
      </w:pPr>
      <w:r w:rsidRPr="00A11EA4">
        <w:rPr>
          <w:lang w:val="en-US"/>
        </w:rPr>
        <w:t>Attrition and balance: differential attrition into the endline and into valid screen-time response will be tested by arm and by recruitment source.</w:t>
      </w:r>
    </w:p>
    <w:p w14:paraId="1F7D6E3B" w14:textId="77777777" w:rsidR="00CB62A7" w:rsidRPr="00A11EA4" w:rsidRDefault="00F272E7">
      <w:pPr>
        <w:pStyle w:val="Rubrik3"/>
        <w:rPr>
          <w:lang w:val="en-US"/>
        </w:rPr>
      </w:pPr>
      <w:r w:rsidRPr="00A11EA4">
        <w:rPr>
          <w:lang w:val="en-US"/>
        </w:rPr>
        <w:t>3.5 Sample strategy: exploration and confirmation</w:t>
      </w:r>
    </w:p>
    <w:p w14:paraId="29FA7F90" w14:textId="77777777" w:rsidR="00CB62A7" w:rsidRPr="00A11EA4" w:rsidRDefault="00F272E7">
      <w:pPr>
        <w:spacing w:after="160" w:line="276" w:lineRule="auto"/>
        <w:rPr>
          <w:lang w:val="en-US"/>
        </w:rPr>
      </w:pPr>
      <w:r w:rsidRPr="00A11EA4">
        <w:rPr>
          <w:lang w:val="en-US"/>
        </w:rPr>
        <w:t>The two-part sample becomes a credibility device. The non-probability subsample (≈4,000, drawn from greener-leaning districts) is designated the exploration sample: all specification development happens there. The probability subsample (≈2,000) is held out as the confirmation sample, on which the preregistered specification is run once. Population-level headline estimates come from the confirmation sample, reweighted to register margins (entropy balancing on age, sex, income, education, urbanity); pooled-sa</w:t>
      </w:r>
      <w:r w:rsidRPr="00A11EA4">
        <w:rPr>
          <w:lang w:val="en-US"/>
        </w:rPr>
        <w:t xml:space="preserve">mple estimates with a recruitment-source indicator are reported for precision. Heterogeneity is pre-specified and limited to three cuts: age, gender, and </w:t>
      </w:r>
      <w:proofErr w:type="spellStart"/>
      <w:r w:rsidRPr="00A11EA4">
        <w:rPr>
          <w:lang w:val="en-US"/>
        </w:rPr>
        <w:t>DeSO</w:t>
      </w:r>
      <w:proofErr w:type="spellEnd"/>
      <w:r w:rsidRPr="00A11EA4">
        <w:rPr>
          <w:lang w:val="en-US"/>
        </w:rPr>
        <w:t>-based urbanity.</w:t>
      </w:r>
    </w:p>
    <w:p w14:paraId="09FC7EA6" w14:textId="77777777" w:rsidR="00CB62A7" w:rsidRPr="00A11EA4" w:rsidRDefault="00F272E7">
      <w:pPr>
        <w:pStyle w:val="Rubrik2"/>
        <w:rPr>
          <w:lang w:val="en-US"/>
        </w:rPr>
      </w:pPr>
      <w:r w:rsidRPr="00A11EA4">
        <w:rPr>
          <w:lang w:val="en-US"/>
        </w:rPr>
        <w:t>4. Hypotheses (summary; full statements in Part C)</w:t>
      </w:r>
    </w:p>
    <w:p w14:paraId="369356C9" w14:textId="77777777" w:rsidR="00CB62A7" w:rsidRPr="00A11EA4" w:rsidRDefault="00F272E7">
      <w:pPr>
        <w:pStyle w:val="Liststycke"/>
        <w:numPr>
          <w:ilvl w:val="0"/>
          <w:numId w:val="3"/>
        </w:numPr>
        <w:spacing w:after="100" w:line="276" w:lineRule="auto"/>
        <w:rPr>
          <w:lang w:val="en-US"/>
        </w:rPr>
      </w:pPr>
      <w:r w:rsidRPr="00A11EA4">
        <w:rPr>
          <w:lang w:val="en-US"/>
        </w:rPr>
        <w:t>Digital lifestyle intensity is associated with total consumption-based CO2e (two-sided: the net sign is precisely what the literature disputes).</w:t>
      </w:r>
    </w:p>
    <w:p w14:paraId="4D752480" w14:textId="77777777" w:rsidR="00CB62A7" w:rsidRPr="00A11EA4" w:rsidRDefault="00F272E7">
      <w:pPr>
        <w:pStyle w:val="Liststycke"/>
        <w:numPr>
          <w:ilvl w:val="0"/>
          <w:numId w:val="3"/>
        </w:numPr>
        <w:spacing w:after="100" w:line="276" w:lineRule="auto"/>
        <w:rPr>
          <w:lang w:val="en-US"/>
        </w:rPr>
      </w:pPr>
      <w:r w:rsidRPr="00A11EA4">
        <w:rPr>
          <w:lang w:val="en-US"/>
        </w:rPr>
        <w:t>The gradient is negative for transport-related emissions (demobilization channel).</w:t>
      </w:r>
    </w:p>
    <w:p w14:paraId="22062748" w14:textId="77777777" w:rsidR="00CB62A7" w:rsidRPr="00A11EA4" w:rsidRDefault="00F272E7">
      <w:pPr>
        <w:pStyle w:val="Liststycke"/>
        <w:numPr>
          <w:ilvl w:val="0"/>
          <w:numId w:val="3"/>
        </w:numPr>
        <w:spacing w:after="100" w:line="276" w:lineRule="auto"/>
        <w:rPr>
          <w:lang w:val="en-US"/>
        </w:rPr>
      </w:pPr>
      <w:r w:rsidRPr="00A11EA4">
        <w:rPr>
          <w:lang w:val="en-US"/>
        </w:rPr>
        <w:lastRenderedPageBreak/>
        <w:t>The gradient is positive for goods and e-commerce-intensive categories and for digital services (rebound and direct channels).</w:t>
      </w:r>
    </w:p>
    <w:p w14:paraId="611DB465" w14:textId="77777777" w:rsidR="00CB62A7" w:rsidRPr="00A11EA4" w:rsidRDefault="00F272E7">
      <w:pPr>
        <w:pStyle w:val="Liststycke"/>
        <w:numPr>
          <w:ilvl w:val="0"/>
          <w:numId w:val="3"/>
        </w:numPr>
        <w:spacing w:after="100" w:line="276" w:lineRule="auto"/>
        <w:rPr>
          <w:lang w:val="en-US"/>
        </w:rPr>
      </w:pPr>
      <w:r w:rsidRPr="00A11EA4">
        <w:rPr>
          <w:lang w:val="en-US"/>
        </w:rPr>
        <w:t>Placebo: no association with rent, insurance, and comparable no-channel categories.</w:t>
      </w:r>
    </w:p>
    <w:p w14:paraId="4B9E6C38" w14:textId="77777777" w:rsidR="00CB62A7" w:rsidRPr="00A11EA4" w:rsidRDefault="00F272E7">
      <w:pPr>
        <w:pStyle w:val="Liststycke"/>
        <w:numPr>
          <w:ilvl w:val="0"/>
          <w:numId w:val="3"/>
        </w:numPr>
        <w:spacing w:after="100" w:line="276" w:lineRule="auto"/>
        <w:rPr>
          <w:lang w:val="en-US"/>
        </w:rPr>
      </w:pPr>
      <w:r w:rsidRPr="00A11EA4">
        <w:rPr>
          <w:lang w:val="en-US"/>
        </w:rPr>
        <w:t>Mechanism: digital intensity predicts lower frequency of out-of-home leisure, which partially accounts for the transport gradient (control arm).</w:t>
      </w:r>
    </w:p>
    <w:p w14:paraId="17AA7EE8" w14:textId="77777777" w:rsidR="00CB62A7" w:rsidRPr="00A11EA4" w:rsidRDefault="00F272E7">
      <w:pPr>
        <w:pStyle w:val="Rubrik2"/>
        <w:rPr>
          <w:lang w:val="en-US"/>
        </w:rPr>
      </w:pPr>
      <w:r w:rsidRPr="00A11EA4">
        <w:rPr>
          <w:lang w:val="en-US"/>
        </w:rPr>
        <w:t>5. What this paper is not</w:t>
      </w:r>
    </w:p>
    <w:p w14:paraId="02D3469A" w14:textId="392DFDB9" w:rsidR="00CB62A7" w:rsidRPr="00A11EA4" w:rsidRDefault="00F272E7">
      <w:pPr>
        <w:spacing w:after="160" w:line="276" w:lineRule="auto"/>
        <w:rPr>
          <w:lang w:val="en-US"/>
        </w:rPr>
      </w:pPr>
      <w:r w:rsidRPr="00A11EA4">
        <w:rPr>
          <w:lang w:val="en-US"/>
        </w:rPr>
        <w:t>It is not a causal estimate of the effect of digitalization on emissions, and the paper will say so plainly; the preregistration, split-sample confirmation, placebo structure, and measurement-error correction are how we earn the descriptive claim at a top outlet. It is also not the digital-archetypes deliverable: the archetype segmentation promised in the application will be produced from the same data as project material for WP2, without a separate stand-alone paper. App telemetry will not be used. The emb</w:t>
      </w:r>
      <w:r w:rsidRPr="00A11EA4">
        <w:rPr>
          <w:lang w:val="en-US"/>
        </w:rPr>
        <w:t xml:space="preserve">edded </w:t>
      </w:r>
      <w:proofErr w:type="spellStart"/>
      <w:r w:rsidRPr="00A11EA4">
        <w:rPr>
          <w:lang w:val="en-US"/>
        </w:rPr>
        <w:t>RCT’s</w:t>
      </w:r>
      <w:proofErr w:type="spellEnd"/>
      <w:r w:rsidRPr="00A11EA4">
        <w:rPr>
          <w:lang w:val="en-US"/>
        </w:rPr>
        <w:t xml:space="preserve"> treatment effects are the subject of separate work by the team behind the original data collection and are out of scope here</w:t>
      </w:r>
      <w:r w:rsidRPr="00A11EA4">
        <w:rPr>
          <w:lang w:val="en-US"/>
        </w:rPr>
        <w:t>.</w:t>
      </w:r>
    </w:p>
    <w:p w14:paraId="7E483DE2" w14:textId="77777777" w:rsidR="00CB62A7" w:rsidRPr="00A11EA4" w:rsidRDefault="00F272E7">
      <w:pPr>
        <w:pStyle w:val="Rubrik2"/>
        <w:rPr>
          <w:lang w:val="en-US"/>
        </w:rPr>
      </w:pPr>
      <w:r w:rsidRPr="00A11EA4">
        <w:rPr>
          <w:lang w:val="en-US"/>
        </w:rPr>
        <w:t>6. Timeline, roles, and what I need from you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CB62A7" w:rsidRPr="00A11EA4" w14:paraId="477885E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8EEF4"/>
            <w:tcMar>
              <w:top w:w="80" w:type="dxa"/>
              <w:left w:w="120" w:type="dxa"/>
              <w:bottom w:w="80" w:type="dxa"/>
              <w:right w:w="120" w:type="dxa"/>
            </w:tcMar>
          </w:tcPr>
          <w:p w14:paraId="347B134C" w14:textId="77777777" w:rsidR="00CB62A7" w:rsidRPr="00A11EA4" w:rsidRDefault="00F272E7">
            <w:pPr>
              <w:rPr>
                <w:lang w:val="en-US"/>
              </w:rPr>
            </w:pPr>
            <w:r w:rsidRPr="00A11EA4">
              <w:rPr>
                <w:b/>
                <w:bCs/>
                <w:sz w:val="20"/>
                <w:szCs w:val="20"/>
                <w:lang w:val="en-US"/>
              </w:rPr>
              <w:t>When</w:t>
            </w:r>
          </w:p>
        </w:tc>
        <w:tc>
          <w:tcPr>
            <w:tcW w:w="6626" w:type="dxa"/>
            <w:tcBorders>
              <w:top w:val="single" w:sz="1" w:space="0" w:color="BBBBBB"/>
              <w:left w:val="single" w:sz="1" w:space="0" w:color="BBBBBB"/>
              <w:bottom w:val="single" w:sz="1" w:space="0" w:color="BBBBBB"/>
              <w:right w:val="single" w:sz="1" w:space="0" w:color="BBBBBB"/>
            </w:tcBorders>
            <w:shd w:val="clear" w:color="auto" w:fill="E8EEF4"/>
            <w:tcMar>
              <w:top w:w="80" w:type="dxa"/>
              <w:left w:w="120" w:type="dxa"/>
              <w:bottom w:w="80" w:type="dxa"/>
              <w:right w:w="120" w:type="dxa"/>
            </w:tcMar>
          </w:tcPr>
          <w:p w14:paraId="70A00F51" w14:textId="77777777" w:rsidR="00CB62A7" w:rsidRPr="00A11EA4" w:rsidRDefault="00F272E7">
            <w:pPr>
              <w:rPr>
                <w:lang w:val="en-US"/>
              </w:rPr>
            </w:pPr>
            <w:r w:rsidRPr="00A11EA4">
              <w:rPr>
                <w:b/>
                <w:bCs/>
                <w:sz w:val="20"/>
                <w:szCs w:val="20"/>
                <w:lang w:val="en-US"/>
              </w:rPr>
              <w:t>What</w:t>
            </w:r>
          </w:p>
        </w:tc>
      </w:tr>
      <w:tr w:rsidR="00CB62A7" w:rsidRPr="00A11EA4" w14:paraId="446F1787"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5B66CFF" w14:textId="77777777" w:rsidR="00CB62A7" w:rsidRPr="00A11EA4" w:rsidRDefault="00F272E7">
            <w:pPr>
              <w:rPr>
                <w:lang w:val="en-US"/>
              </w:rPr>
            </w:pPr>
            <w:r w:rsidRPr="00A11EA4">
              <w:rPr>
                <w:sz w:val="20"/>
                <w:szCs w:val="20"/>
                <w:lang w:val="en-US"/>
              </w:rPr>
              <w:t>June 2026</w:t>
            </w:r>
          </w:p>
        </w:tc>
        <w:tc>
          <w:tcPr>
            <w:tcW w:w="66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28070AA" w14:textId="77777777" w:rsidR="00CB62A7" w:rsidRPr="00A11EA4" w:rsidRDefault="00F272E7">
            <w:pPr>
              <w:rPr>
                <w:lang w:val="en-US"/>
              </w:rPr>
            </w:pPr>
            <w:r w:rsidRPr="00A11EA4">
              <w:rPr>
                <w:sz w:val="20"/>
                <w:szCs w:val="20"/>
                <w:lang w:val="en-US"/>
              </w:rPr>
              <w:t>This document circulated to the project group; comments invited before the vacation period.</w:t>
            </w:r>
          </w:p>
        </w:tc>
      </w:tr>
      <w:tr w:rsidR="00CB62A7" w:rsidRPr="00A11EA4" w14:paraId="65D4956A"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4E673ED" w14:textId="77777777" w:rsidR="00CB62A7" w:rsidRPr="00A11EA4" w:rsidRDefault="00F272E7">
            <w:pPr>
              <w:rPr>
                <w:lang w:val="en-US"/>
              </w:rPr>
            </w:pPr>
            <w:r w:rsidRPr="00A11EA4">
              <w:rPr>
                <w:sz w:val="20"/>
                <w:szCs w:val="20"/>
                <w:lang w:val="en-US"/>
              </w:rPr>
              <w:t>By mid-August 2026</w:t>
            </w:r>
          </w:p>
        </w:tc>
        <w:tc>
          <w:tcPr>
            <w:tcW w:w="66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7FA3BCA" w14:textId="77777777" w:rsidR="00CB62A7" w:rsidRPr="00A11EA4" w:rsidRDefault="00F272E7">
            <w:pPr>
              <w:rPr>
                <w:lang w:val="en-US"/>
              </w:rPr>
            </w:pPr>
            <w:r w:rsidRPr="00A11EA4">
              <w:rPr>
                <w:sz w:val="20"/>
                <w:szCs w:val="20"/>
                <w:lang w:val="en-US"/>
              </w:rPr>
              <w:t>Comments collected; specification questions resolved (see below).</w:t>
            </w:r>
          </w:p>
        </w:tc>
      </w:tr>
      <w:tr w:rsidR="00CB62A7" w:rsidRPr="00A11EA4" w14:paraId="04099E2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774E5F7" w14:textId="346B686A" w:rsidR="00CB62A7" w:rsidRPr="00A11EA4" w:rsidRDefault="00F272E7">
            <w:pPr>
              <w:rPr>
                <w:lang w:val="en-US"/>
              </w:rPr>
            </w:pPr>
            <w:r w:rsidRPr="00A11EA4">
              <w:rPr>
                <w:sz w:val="20"/>
                <w:szCs w:val="20"/>
                <w:lang w:val="en-US"/>
              </w:rPr>
              <w:t>August 2026</w:t>
            </w:r>
          </w:p>
        </w:tc>
        <w:tc>
          <w:tcPr>
            <w:tcW w:w="66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AA70222" w14:textId="77777777" w:rsidR="00CB62A7" w:rsidRPr="00A11EA4" w:rsidRDefault="00F272E7">
            <w:pPr>
              <w:rPr>
                <w:lang w:val="en-US"/>
              </w:rPr>
            </w:pPr>
            <w:proofErr w:type="spellStart"/>
            <w:r w:rsidRPr="00A11EA4">
              <w:rPr>
                <w:sz w:val="20"/>
                <w:szCs w:val="20"/>
                <w:lang w:val="en-US"/>
              </w:rPr>
              <w:t>OSF</w:t>
            </w:r>
            <w:proofErr w:type="spellEnd"/>
            <w:r w:rsidRPr="00A11EA4">
              <w:rPr>
                <w:sz w:val="20"/>
                <w:szCs w:val="20"/>
                <w:lang w:val="en-US"/>
              </w:rPr>
              <w:t xml:space="preserve"> preregistration finalized and registered (secondary-data template), before any analysis of the digital-behavior, screen-time, or time-use variables.</w:t>
            </w:r>
          </w:p>
        </w:tc>
      </w:tr>
      <w:tr w:rsidR="00CB62A7" w:rsidRPr="00A11EA4" w14:paraId="48884AA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0061DA9" w14:textId="730A5B91" w:rsidR="00CB62A7" w:rsidRPr="00A11EA4" w:rsidRDefault="00435CBB">
            <w:pPr>
              <w:rPr>
                <w:lang w:val="en-US"/>
              </w:rPr>
            </w:pPr>
            <w:r>
              <w:rPr>
                <w:sz w:val="20"/>
                <w:szCs w:val="20"/>
                <w:lang w:val="en-US"/>
              </w:rPr>
              <w:t>August–Sept</w:t>
            </w:r>
            <w:r w:rsidR="00F272E7" w:rsidRPr="00A11EA4">
              <w:rPr>
                <w:sz w:val="20"/>
                <w:szCs w:val="20"/>
                <w:lang w:val="en-US"/>
              </w:rPr>
              <w:t xml:space="preserve"> 2026</w:t>
            </w:r>
          </w:p>
        </w:tc>
        <w:tc>
          <w:tcPr>
            <w:tcW w:w="66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5AC92CC" w14:textId="77777777" w:rsidR="00CB62A7" w:rsidRPr="00A11EA4" w:rsidRDefault="00F272E7">
            <w:pPr>
              <w:rPr>
                <w:lang w:val="en-US"/>
              </w:rPr>
            </w:pPr>
            <w:r w:rsidRPr="00A11EA4">
              <w:rPr>
                <w:sz w:val="20"/>
                <w:szCs w:val="20"/>
                <w:lang w:val="en-US"/>
              </w:rPr>
              <w:t>RA: data preparation, linkage checks, construction of indices and outcome windows; exploration-sample analysis.</w:t>
            </w:r>
          </w:p>
        </w:tc>
      </w:tr>
      <w:tr w:rsidR="00CB62A7" w:rsidRPr="00A11EA4" w14:paraId="079976C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FA4555B" w14:textId="62CE7C94" w:rsidR="00CB62A7" w:rsidRPr="00A11EA4" w:rsidRDefault="00435CBB">
            <w:pPr>
              <w:rPr>
                <w:lang w:val="en-US"/>
              </w:rPr>
            </w:pPr>
            <w:r>
              <w:rPr>
                <w:sz w:val="20"/>
                <w:szCs w:val="20"/>
                <w:lang w:val="en-US"/>
              </w:rPr>
              <w:t>Sept</w:t>
            </w:r>
            <w:r w:rsidR="00F272E7" w:rsidRPr="00A11EA4">
              <w:rPr>
                <w:sz w:val="20"/>
                <w:szCs w:val="20"/>
                <w:lang w:val="en-US"/>
              </w:rPr>
              <w:t xml:space="preserve"> 202</w:t>
            </w:r>
            <w:r>
              <w:rPr>
                <w:sz w:val="20"/>
                <w:szCs w:val="20"/>
                <w:lang w:val="en-US"/>
              </w:rPr>
              <w:t>6</w:t>
            </w:r>
          </w:p>
        </w:tc>
        <w:tc>
          <w:tcPr>
            <w:tcW w:w="66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E6B5B46" w14:textId="77777777" w:rsidR="00CB62A7" w:rsidRPr="00A11EA4" w:rsidRDefault="00F272E7">
            <w:pPr>
              <w:rPr>
                <w:lang w:val="en-US"/>
              </w:rPr>
            </w:pPr>
            <w:r w:rsidRPr="00A11EA4">
              <w:rPr>
                <w:sz w:val="20"/>
                <w:szCs w:val="20"/>
                <w:lang w:val="en-US"/>
              </w:rPr>
              <w:t>Specification frozen; one-shot confirmatory run on the probability sample.</w:t>
            </w:r>
          </w:p>
        </w:tc>
      </w:tr>
      <w:tr w:rsidR="00CB62A7" w:rsidRPr="00A11EA4" w14:paraId="30860F8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56D9A4A" w14:textId="04A640E8" w:rsidR="00CB62A7" w:rsidRPr="00A11EA4" w:rsidRDefault="00435CBB">
            <w:pPr>
              <w:rPr>
                <w:lang w:val="en-US"/>
              </w:rPr>
            </w:pPr>
            <w:r>
              <w:rPr>
                <w:sz w:val="20"/>
                <w:szCs w:val="20"/>
                <w:lang w:val="en-US"/>
              </w:rPr>
              <w:t>Nov–Dec</w:t>
            </w:r>
            <w:r w:rsidR="00F272E7" w:rsidRPr="00A11EA4">
              <w:rPr>
                <w:sz w:val="20"/>
                <w:szCs w:val="20"/>
                <w:lang w:val="en-US"/>
              </w:rPr>
              <w:t xml:space="preserve"> 202</w:t>
            </w:r>
            <w:r>
              <w:rPr>
                <w:sz w:val="20"/>
                <w:szCs w:val="20"/>
                <w:lang w:val="en-US"/>
              </w:rPr>
              <w:t>6</w:t>
            </w:r>
          </w:p>
        </w:tc>
        <w:tc>
          <w:tcPr>
            <w:tcW w:w="66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8C4C9FE" w14:textId="7479D20F" w:rsidR="00CB62A7" w:rsidRPr="00A11EA4" w:rsidRDefault="00F272E7">
            <w:pPr>
              <w:rPr>
                <w:lang w:val="en-US"/>
              </w:rPr>
            </w:pPr>
            <w:r w:rsidRPr="00A11EA4">
              <w:rPr>
                <w:sz w:val="20"/>
                <w:szCs w:val="20"/>
                <w:lang w:val="en-US"/>
              </w:rPr>
              <w:t xml:space="preserve">Drafting; internal seminar; submission targeted for </w:t>
            </w:r>
            <w:r w:rsidR="00435CBB">
              <w:rPr>
                <w:sz w:val="20"/>
                <w:szCs w:val="20"/>
                <w:lang w:val="en-US"/>
              </w:rPr>
              <w:t>early</w:t>
            </w:r>
            <w:r w:rsidRPr="00A11EA4">
              <w:rPr>
                <w:sz w:val="20"/>
                <w:szCs w:val="20"/>
                <w:lang w:val="en-US"/>
              </w:rPr>
              <w:t>-2027.</w:t>
            </w:r>
          </w:p>
        </w:tc>
      </w:tr>
    </w:tbl>
    <w:p w14:paraId="220FA536" w14:textId="77777777" w:rsidR="00CB62A7" w:rsidRPr="00A11EA4" w:rsidRDefault="00CB62A7">
      <w:pPr>
        <w:spacing w:after="120"/>
        <w:rPr>
          <w:lang w:val="en-US"/>
        </w:rPr>
      </w:pPr>
    </w:p>
    <w:p w14:paraId="010D7727" w14:textId="40250974" w:rsidR="00CB62A7" w:rsidRPr="00A11EA4" w:rsidRDefault="00F272E7" w:rsidP="00435CBB">
      <w:pPr>
        <w:spacing w:after="160" w:line="276" w:lineRule="auto"/>
        <w:rPr>
          <w:lang w:val="en-US"/>
        </w:rPr>
      </w:pPr>
      <w:r w:rsidRPr="00A11EA4">
        <w:rPr>
          <w:lang w:val="en-US"/>
        </w:rPr>
        <w:t>Roles: David Andersson leads (WP1). Survey co-development and analysis input from Matthias Lehner and Anna Furberg per the application; WP2 colleagues are asked to flag early which digital-lifestyle parameters the scenario work needs, so the decomposition is built to deliver them. An RA</w:t>
      </w:r>
      <w:r w:rsidR="00435CBB">
        <w:rPr>
          <w:lang w:val="en-US"/>
        </w:rPr>
        <w:t xml:space="preserve"> (Mikael Eriksson)</w:t>
      </w:r>
      <w:r w:rsidRPr="00A11EA4">
        <w:rPr>
          <w:lang w:val="en-US"/>
        </w:rPr>
        <w:t xml:space="preserve"> performs data preparation and exploration-phase analysis from </w:t>
      </w:r>
      <w:r w:rsidR="00435CBB">
        <w:rPr>
          <w:lang w:val="en-US"/>
        </w:rPr>
        <w:t>August</w:t>
      </w:r>
      <w:r w:rsidRPr="00A11EA4">
        <w:rPr>
          <w:lang w:val="en-US"/>
        </w:rPr>
        <w:t xml:space="preserve">. </w:t>
      </w:r>
    </w:p>
    <w:p w14:paraId="7CA0C956" w14:textId="77777777" w:rsidR="00CB62A7" w:rsidRPr="00A11EA4" w:rsidRDefault="00F272E7">
      <w:pPr>
        <w:pStyle w:val="Rubrik1"/>
        <w:rPr>
          <w:lang w:val="en-US"/>
        </w:rPr>
      </w:pPr>
      <w:r w:rsidRPr="00A11EA4">
        <w:rPr>
          <w:lang w:val="en-US"/>
        </w:rPr>
        <w:t>Part B. Extended abstract</w:t>
      </w:r>
    </w:p>
    <w:p w14:paraId="3F58F4F6" w14:textId="77777777" w:rsidR="00CB62A7" w:rsidRPr="00A11EA4" w:rsidRDefault="00F272E7">
      <w:pPr>
        <w:spacing w:after="160" w:line="276" w:lineRule="auto"/>
        <w:rPr>
          <w:lang w:val="en-US"/>
        </w:rPr>
      </w:pPr>
      <w:r w:rsidRPr="00A11EA4">
        <w:rPr>
          <w:b/>
          <w:bCs/>
          <w:lang w:val="en-US"/>
        </w:rPr>
        <w:t>Digital lifestyles and consumption-based carbon emissions: individual-level evidence from linked bank-transaction, survey, and register data</w:t>
      </w:r>
    </w:p>
    <w:p w14:paraId="52BA4507" w14:textId="502B714A" w:rsidR="00CB62A7" w:rsidRPr="00A11EA4" w:rsidRDefault="00F272E7">
      <w:pPr>
        <w:spacing w:after="160" w:line="276" w:lineRule="auto"/>
        <w:rPr>
          <w:lang w:val="en-US"/>
        </w:rPr>
      </w:pPr>
      <w:r w:rsidRPr="00A11EA4">
        <w:rPr>
          <w:lang w:val="en-US"/>
        </w:rPr>
        <w:t xml:space="preserve">Whether digitalization lowers or raises the greenhouse gas emissions embedded in household consumption remains unresolved. Optimists argue that digital time use substitutes for mobility and material consumption (“dematerialization, decarbonization, demobilization”); skeptics argue that the time and money freed by digital substitution </w:t>
      </w:r>
      <w:r w:rsidRPr="00A11EA4">
        <w:rPr>
          <w:lang w:val="en-US"/>
        </w:rPr>
        <w:lastRenderedPageBreak/>
        <w:t>rebound into additional consumption, and that digital channels such as e-commerce actively generate demand</w:t>
      </w:r>
      <w:r w:rsidR="00435CBB">
        <w:rPr>
          <w:lang w:val="en-US"/>
        </w:rPr>
        <w:t>, thus spurring more consumption</w:t>
      </w:r>
      <w:r w:rsidRPr="00A11EA4">
        <w:rPr>
          <w:lang w:val="en-US"/>
        </w:rPr>
        <w:t>. The evidence on both sides comes from aggregate panels or self-reported surveys: existing studies infer travel reduction from time-use diaries, or correlate broadband penetration with national emissions, but none observes digital behavior and measured consumption-based emissions in the same individuals. The two literatures consequently talk past each other, and the net micro-level relationship — and, crucially, its composition — is unknown.</w:t>
      </w:r>
    </w:p>
    <w:p w14:paraId="4EF6F835" w14:textId="77777777" w:rsidR="00CB62A7" w:rsidRPr="00A11EA4" w:rsidRDefault="00F272E7">
      <w:pPr>
        <w:spacing w:after="160" w:line="276" w:lineRule="auto"/>
        <w:rPr>
          <w:lang w:val="en-US"/>
        </w:rPr>
      </w:pPr>
      <w:r w:rsidRPr="00A11EA4">
        <w:rPr>
          <w:lang w:val="en-US"/>
        </w:rPr>
        <w:t xml:space="preserve">We provide the first individual-level evidence, to our knowledge, linking a credible measure of digital lifestyle intensity to measured consumption-based carbon footprints. Approximately 6,000 Swedish adults completed surveys in 2024 and connected their bank accounts to a research app that retrieved transactions back to 2019, categorized them to </w:t>
      </w:r>
      <w:proofErr w:type="spellStart"/>
      <w:r w:rsidRPr="00A11EA4">
        <w:rPr>
          <w:lang w:val="en-US"/>
        </w:rPr>
        <w:t>COICOP</w:t>
      </w:r>
      <w:proofErr w:type="spellEnd"/>
      <w:r w:rsidRPr="00A11EA4">
        <w:rPr>
          <w:lang w:val="en-US"/>
        </w:rPr>
        <w:t xml:space="preserve">, and converted them to CO2e. Digital lifestyle intensity is measured by a pre-registered index of device-use and digital-activity frequencies from the baseline survey, anchored cardinally by a device-assisted screen-time report (respondents read average daily screen time from their phone’s own Screen Time / Digital Wellbeing statistics). Register linkage provides income, education, household composition, and </w:t>
      </w:r>
      <w:proofErr w:type="spellStart"/>
      <w:r w:rsidRPr="00A11EA4">
        <w:rPr>
          <w:lang w:val="en-US"/>
        </w:rPr>
        <w:t>DeSO</w:t>
      </w:r>
      <w:proofErr w:type="spellEnd"/>
      <w:r w:rsidRPr="00A11EA4">
        <w:rPr>
          <w:lang w:val="en-US"/>
        </w:rPr>
        <w:t>-level urbanity.</w:t>
      </w:r>
    </w:p>
    <w:p w14:paraId="6384AF9D" w14:textId="77777777" w:rsidR="00CB62A7" w:rsidRPr="00A11EA4" w:rsidRDefault="00F272E7">
      <w:pPr>
        <w:spacing w:after="160" w:line="276" w:lineRule="auto"/>
        <w:rPr>
          <w:lang w:val="en-US"/>
        </w:rPr>
      </w:pPr>
      <w:r w:rsidRPr="00A11EA4">
        <w:rPr>
          <w:lang w:val="en-US"/>
        </w:rPr>
        <w:t>Three results structure the paper. First, the net gradient: the association between digital intensity and total consumption-based CO2e, expressed per additional daily hour of screen time. Second, the decomposition: whether the gradient is negative in transport (demobilization) and positive in goods, e-commerce-intensive categories, and digital services (rebound and direct effects), with no-channel categories (rent, insurance) as placebos — it is this pattern, rather than the net sign alone, that adjudicates</w:t>
      </w:r>
      <w:r w:rsidRPr="00A11EA4">
        <w:rPr>
          <w:lang w:val="en-US"/>
        </w:rPr>
        <w:t xml:space="preserve"> between the competing accounts. Third, the mechanism: whether lower out-of-home leisure frequency among the digitally intensive accounts for part of the transport gradient. Pre-specified heterogeneity by age, gender, and urbanity speaks to where in the population digitalization is most plausibly emission-reducing.</w:t>
      </w:r>
    </w:p>
    <w:p w14:paraId="745212BE" w14:textId="77777777" w:rsidR="00CB62A7" w:rsidRPr="00A11EA4" w:rsidRDefault="00F272E7">
      <w:pPr>
        <w:spacing w:after="160" w:line="276" w:lineRule="auto"/>
        <w:rPr>
          <w:lang w:val="en-US"/>
        </w:rPr>
      </w:pPr>
      <w:r w:rsidRPr="00A11EA4">
        <w:rPr>
          <w:lang w:val="en-US"/>
        </w:rPr>
        <w:t>The results supply the missing empirical foundation for scenario and policy work on low-carbon digitalization — within our project, the parameters for prospective life-cycle scenarios of future digital lifestyles — and a template for linking financial-transaction and survey data to study lifestyle transitions at the individual level.</w:t>
      </w:r>
    </w:p>
    <w:p w14:paraId="0BA5F4C5" w14:textId="77777777" w:rsidR="00CB62A7" w:rsidRPr="00A11EA4" w:rsidRDefault="00F272E7">
      <w:pPr>
        <w:rPr>
          <w:lang w:val="en-US"/>
        </w:rPr>
      </w:pPr>
      <w:r w:rsidRPr="00A11EA4">
        <w:rPr>
          <w:lang w:val="en-US"/>
        </w:rPr>
        <w:br w:type="page"/>
      </w:r>
    </w:p>
    <w:p w14:paraId="78ABD2B3" w14:textId="77777777" w:rsidR="00CB62A7" w:rsidRPr="00A11EA4" w:rsidRDefault="00F272E7">
      <w:pPr>
        <w:pStyle w:val="Rubrik1"/>
        <w:rPr>
          <w:lang w:val="en-US"/>
        </w:rPr>
      </w:pPr>
      <w:r w:rsidRPr="00A11EA4">
        <w:rPr>
          <w:lang w:val="en-US"/>
        </w:rPr>
        <w:lastRenderedPageBreak/>
        <w:t xml:space="preserve">Part C. </w:t>
      </w:r>
      <w:proofErr w:type="spellStart"/>
      <w:r w:rsidRPr="00A11EA4">
        <w:rPr>
          <w:lang w:val="en-US"/>
        </w:rPr>
        <w:t>OSF</w:t>
      </w:r>
      <w:proofErr w:type="spellEnd"/>
      <w:r w:rsidRPr="00A11EA4">
        <w:rPr>
          <w:lang w:val="en-US"/>
        </w:rPr>
        <w:t xml:space="preserve"> preregistration sketch</w:t>
      </w:r>
    </w:p>
    <w:p w14:paraId="72BF1283" w14:textId="77777777" w:rsidR="00CB62A7" w:rsidRPr="00A11EA4" w:rsidRDefault="00F272E7">
      <w:pPr>
        <w:spacing w:after="160" w:line="276" w:lineRule="auto"/>
        <w:rPr>
          <w:i/>
          <w:iCs/>
          <w:lang w:val="en-US"/>
        </w:rPr>
      </w:pPr>
      <w:r w:rsidRPr="00A11EA4">
        <w:rPr>
          <w:i/>
          <w:iCs/>
          <w:lang w:val="en-US"/>
        </w:rPr>
        <w:t xml:space="preserve">Template: </w:t>
      </w:r>
      <w:proofErr w:type="spellStart"/>
      <w:r w:rsidRPr="00A11EA4">
        <w:rPr>
          <w:i/>
          <w:iCs/>
          <w:lang w:val="en-US"/>
        </w:rPr>
        <w:t>OSF</w:t>
      </w:r>
      <w:proofErr w:type="spellEnd"/>
      <w:r w:rsidRPr="00A11EA4">
        <w:rPr>
          <w:i/>
          <w:iCs/>
          <w:lang w:val="en-US"/>
        </w:rPr>
        <w:t xml:space="preserve"> Preregistration for secondary data analysis. Items below follow that template’s structure; bracketed items are to be settled after group comments and a data audit by the RA (counts, exact variable names) — without opening the relationships under study.</w:t>
      </w:r>
    </w:p>
    <w:p w14:paraId="2736249A" w14:textId="77777777" w:rsidR="00CB62A7" w:rsidRPr="00A11EA4" w:rsidRDefault="00F272E7">
      <w:pPr>
        <w:pStyle w:val="Rubrik2"/>
        <w:rPr>
          <w:lang w:val="en-US"/>
        </w:rPr>
      </w:pPr>
      <w:r w:rsidRPr="00A11EA4">
        <w:rPr>
          <w:lang w:val="en-US"/>
        </w:rPr>
        <w:t>C1. Study information</w:t>
      </w:r>
    </w:p>
    <w:p w14:paraId="6326E8E8" w14:textId="77777777" w:rsidR="00CB62A7" w:rsidRPr="00A11EA4" w:rsidRDefault="00F272E7">
      <w:pPr>
        <w:pStyle w:val="Liststycke"/>
        <w:numPr>
          <w:ilvl w:val="0"/>
          <w:numId w:val="2"/>
        </w:numPr>
        <w:spacing w:after="100" w:line="276" w:lineRule="auto"/>
        <w:rPr>
          <w:lang w:val="en-US"/>
        </w:rPr>
      </w:pPr>
      <w:r w:rsidRPr="00A11EA4">
        <w:rPr>
          <w:b/>
          <w:bCs/>
          <w:lang w:val="en-US"/>
        </w:rPr>
        <w:t xml:space="preserve">Title: </w:t>
      </w:r>
      <w:r w:rsidRPr="00A11EA4">
        <w:rPr>
          <w:lang w:val="en-US"/>
        </w:rPr>
        <w:t>Digital lifestyles and consumption-based carbon emissions: individual-level evidence from linked bank-transaction, survey, and register data.</w:t>
      </w:r>
    </w:p>
    <w:p w14:paraId="66C1F8A0" w14:textId="77777777" w:rsidR="00CB62A7" w:rsidRPr="00A11EA4" w:rsidRDefault="00F272E7">
      <w:pPr>
        <w:pStyle w:val="Liststycke"/>
        <w:numPr>
          <w:ilvl w:val="0"/>
          <w:numId w:val="2"/>
        </w:numPr>
        <w:spacing w:after="100" w:line="276" w:lineRule="auto"/>
        <w:rPr>
          <w:lang w:val="en-US"/>
        </w:rPr>
      </w:pPr>
      <w:r w:rsidRPr="00A11EA4">
        <w:rPr>
          <w:b/>
          <w:bCs/>
          <w:lang w:val="en-US"/>
        </w:rPr>
        <w:t xml:space="preserve">Research questions: </w:t>
      </w:r>
      <w:r w:rsidRPr="00A11EA4">
        <w:rPr>
          <w:lang w:val="en-US"/>
        </w:rPr>
        <w:t>RQ1: What is the association between digital lifestyle intensity and total consumption-based GHG emissions at the individual level? RQ2: How is this association composed across consumption categories — consistent with demobilization, rebound, both, or neither? RQ3: Does out-of-home activity frequency mediate the transport component? RQ4: How does the gradient vary by age, gender, and urbanity?</w:t>
      </w:r>
    </w:p>
    <w:p w14:paraId="3A6C04FE" w14:textId="77777777" w:rsidR="00CB62A7" w:rsidRPr="00A11EA4" w:rsidRDefault="00F272E7">
      <w:pPr>
        <w:pStyle w:val="Rubrik2"/>
        <w:rPr>
          <w:lang w:val="en-US"/>
        </w:rPr>
      </w:pPr>
      <w:r w:rsidRPr="00A11EA4">
        <w:rPr>
          <w:lang w:val="en-US"/>
        </w:rPr>
        <w:t>C2. Hypotheses</w:t>
      </w:r>
    </w:p>
    <w:p w14:paraId="5D084935" w14:textId="77777777" w:rsidR="00CB62A7" w:rsidRPr="00A11EA4" w:rsidRDefault="00F272E7">
      <w:pPr>
        <w:pStyle w:val="Liststycke"/>
        <w:numPr>
          <w:ilvl w:val="0"/>
          <w:numId w:val="3"/>
        </w:numPr>
        <w:spacing w:after="100" w:line="276" w:lineRule="auto"/>
        <w:rPr>
          <w:lang w:val="en-US"/>
        </w:rPr>
      </w:pPr>
      <w:r w:rsidRPr="00A11EA4">
        <w:rPr>
          <w:lang w:val="en-US"/>
        </w:rPr>
        <w:t>Digital intensity is associated with total CO2e from consumption (two-sided test; the contested quantity is the sign and magnitude).</w:t>
      </w:r>
    </w:p>
    <w:p w14:paraId="21ED544B" w14:textId="77777777" w:rsidR="00CB62A7" w:rsidRPr="00A11EA4" w:rsidRDefault="00F272E7">
      <w:pPr>
        <w:pStyle w:val="Liststycke"/>
        <w:numPr>
          <w:ilvl w:val="0"/>
          <w:numId w:val="3"/>
        </w:numPr>
        <w:spacing w:after="100" w:line="276" w:lineRule="auto"/>
        <w:rPr>
          <w:lang w:val="en-US"/>
        </w:rPr>
      </w:pPr>
      <w:r w:rsidRPr="00A11EA4">
        <w:rPr>
          <w:lang w:val="en-US"/>
        </w:rPr>
        <w:t>Digital intensity is negatively associated with transport emissions (fuel, flights, public transport combined; also reported separately).</w:t>
      </w:r>
    </w:p>
    <w:p w14:paraId="28C77326" w14:textId="77777777" w:rsidR="00CB62A7" w:rsidRPr="00A11EA4" w:rsidRDefault="00F272E7">
      <w:pPr>
        <w:pStyle w:val="Liststycke"/>
        <w:numPr>
          <w:ilvl w:val="0"/>
          <w:numId w:val="3"/>
        </w:numPr>
        <w:spacing w:after="100" w:line="276" w:lineRule="auto"/>
        <w:rPr>
          <w:lang w:val="en-US"/>
        </w:rPr>
      </w:pPr>
      <w:r w:rsidRPr="00A11EA4">
        <w:rPr>
          <w:lang w:val="en-US"/>
        </w:rPr>
        <w:t>Digital intensity is positively associated with (a) goods categories incl. clothing and electronics, and (b) digital services spending.</w:t>
      </w:r>
    </w:p>
    <w:p w14:paraId="06995199" w14:textId="77777777" w:rsidR="00CB62A7" w:rsidRPr="00A11EA4" w:rsidRDefault="00F272E7">
      <w:pPr>
        <w:pStyle w:val="Liststycke"/>
        <w:numPr>
          <w:ilvl w:val="0"/>
          <w:numId w:val="3"/>
        </w:numPr>
        <w:spacing w:after="100" w:line="276" w:lineRule="auto"/>
        <w:rPr>
          <w:lang w:val="en-US"/>
        </w:rPr>
      </w:pPr>
      <w:r w:rsidRPr="00A11EA4">
        <w:rPr>
          <w:lang w:val="en-US"/>
        </w:rPr>
        <w:t>Digital intensity is not associated with placebo categories (housing rent, insurance, financial fees); a non-zero placebo gradient triggers the confounding-diagnostics protocol in C6.</w:t>
      </w:r>
    </w:p>
    <w:p w14:paraId="42DC176D" w14:textId="77777777" w:rsidR="00CB62A7" w:rsidRPr="00A11EA4" w:rsidRDefault="00F272E7">
      <w:pPr>
        <w:pStyle w:val="Liststycke"/>
        <w:numPr>
          <w:ilvl w:val="0"/>
          <w:numId w:val="3"/>
        </w:numPr>
        <w:spacing w:after="100" w:line="276" w:lineRule="auto"/>
        <w:rPr>
          <w:lang w:val="en-US"/>
        </w:rPr>
      </w:pPr>
      <w:r w:rsidRPr="00A11EA4">
        <w:rPr>
          <w:lang w:val="en-US"/>
        </w:rPr>
        <w:t>Digital intensity is negatively associated with out-of-home leisure frequency (endline battery, control arm), and adjusting for it attenuates the transport gradient.</w:t>
      </w:r>
    </w:p>
    <w:p w14:paraId="107B76F5" w14:textId="77777777" w:rsidR="00CB62A7" w:rsidRPr="00A11EA4" w:rsidRDefault="00F272E7">
      <w:pPr>
        <w:pStyle w:val="Liststycke"/>
        <w:numPr>
          <w:ilvl w:val="0"/>
          <w:numId w:val="3"/>
        </w:numPr>
        <w:spacing w:after="100" w:line="276" w:lineRule="auto"/>
        <w:rPr>
          <w:lang w:val="en-US"/>
        </w:rPr>
      </w:pPr>
      <w:r w:rsidRPr="00A11EA4">
        <w:rPr>
          <w:lang w:val="en-US"/>
        </w:rPr>
        <w:t>Auxiliary, experimental: randomized assignment to the carbon-feedback treatment does not predict endline screen time (balance test licensing the trait interpretation).</w:t>
      </w:r>
    </w:p>
    <w:p w14:paraId="6B8F5DFB" w14:textId="77777777" w:rsidR="00CB62A7" w:rsidRPr="00A11EA4" w:rsidRDefault="00F272E7">
      <w:pPr>
        <w:pStyle w:val="Rubrik2"/>
        <w:rPr>
          <w:lang w:val="en-US"/>
        </w:rPr>
      </w:pPr>
      <w:r w:rsidRPr="00A11EA4">
        <w:rPr>
          <w:lang w:val="en-US"/>
        </w:rPr>
        <w:t>C3. Data description and knowledge-of-data statement</w:t>
      </w:r>
    </w:p>
    <w:p w14:paraId="7615633C" w14:textId="77777777" w:rsidR="00CB62A7" w:rsidRPr="00A11EA4" w:rsidRDefault="00F272E7">
      <w:pPr>
        <w:spacing w:after="160" w:line="276" w:lineRule="auto"/>
        <w:rPr>
          <w:lang w:val="en-US"/>
        </w:rPr>
      </w:pPr>
      <w:r w:rsidRPr="00A11EA4">
        <w:rPr>
          <w:lang w:val="en-US"/>
        </w:rPr>
        <w:t xml:space="preserve">Existing data: surveys fielded May–June 2024 (baseline) and circa nine months after recruitment began (endline); bank transactions January 2019 – December 2024 with cleaned analysis window March 2021 – August 2024; register linkage (income, education, household, </w:t>
      </w:r>
      <w:proofErr w:type="spellStart"/>
      <w:r w:rsidRPr="00A11EA4">
        <w:rPr>
          <w:lang w:val="en-US"/>
        </w:rPr>
        <w:t>DeSO</w:t>
      </w:r>
      <w:proofErr w:type="spellEnd"/>
      <w:r w:rsidRPr="00A11EA4">
        <w:rPr>
          <w:lang w:val="en-US"/>
        </w:rPr>
        <w:t>); randomized carbon-feedback intervention between baseline and endline (50/50).</w:t>
      </w:r>
    </w:p>
    <w:p w14:paraId="2D8CFB25" w14:textId="77777777" w:rsidR="00CB62A7" w:rsidRPr="00A11EA4" w:rsidRDefault="00F272E7">
      <w:pPr>
        <w:spacing w:after="160" w:line="276" w:lineRule="auto"/>
        <w:rPr>
          <w:lang w:val="en-US"/>
        </w:rPr>
      </w:pPr>
      <w:r w:rsidRPr="00A11EA4">
        <w:rPr>
          <w:lang w:val="en-US"/>
        </w:rPr>
        <w:t>Transparency statement: members of the team have previously analyzed the transaction data and treatment-related outcomes for separate studies of the randomized intervention. The variables central to the present study — the baseline digital-behavior battery, the endline screen-time item, and the endline time-use battery — have not been analyzed, and no cross-tabulation or model involving these variables and consumption outcomes has been run. Prior publications and working papers using the data will be listed</w:t>
      </w:r>
      <w:r w:rsidRPr="00A11EA4">
        <w:rPr>
          <w:lang w:val="en-US"/>
        </w:rPr>
        <w:t>. [List.]</w:t>
      </w:r>
    </w:p>
    <w:p w14:paraId="148B8825" w14:textId="77777777" w:rsidR="00CB62A7" w:rsidRPr="00A11EA4" w:rsidRDefault="00F272E7">
      <w:pPr>
        <w:pStyle w:val="Rubrik2"/>
        <w:rPr>
          <w:lang w:val="en-US"/>
        </w:rPr>
      </w:pPr>
      <w:r w:rsidRPr="00A11EA4">
        <w:rPr>
          <w:lang w:val="en-US"/>
        </w:rPr>
        <w:lastRenderedPageBreak/>
        <w:t>C4. Variables</w:t>
      </w:r>
    </w:p>
    <w:p w14:paraId="47F2B4C7" w14:textId="77777777" w:rsidR="00CB62A7" w:rsidRPr="00A11EA4" w:rsidRDefault="00F272E7">
      <w:pPr>
        <w:pStyle w:val="Liststycke"/>
        <w:numPr>
          <w:ilvl w:val="0"/>
          <w:numId w:val="2"/>
        </w:numPr>
        <w:spacing w:after="100" w:line="276" w:lineRule="auto"/>
        <w:rPr>
          <w:lang w:val="en-US"/>
        </w:rPr>
      </w:pPr>
      <w:r w:rsidRPr="00A11EA4">
        <w:rPr>
          <w:b/>
          <w:bCs/>
          <w:lang w:val="en-US"/>
        </w:rPr>
        <w:t xml:space="preserve">Primary exposure: </w:t>
      </w:r>
      <w:r w:rsidRPr="00A11EA4">
        <w:rPr>
          <w:lang w:val="en-US"/>
        </w:rPr>
        <w:t>standardized index over baseline device-use frequencies (computer, smartphone, TV, console, tablet) and digital-activity frequencies (streaming, calls/video, social media, information search, gaming, digital reading, e-commerce, online selling). Construction: [first principal component vs. equal-weight z-score mean — decide pre-registration; report the other as robustness].</w:t>
      </w:r>
    </w:p>
    <w:p w14:paraId="450E1F1E" w14:textId="77777777" w:rsidR="00CB62A7" w:rsidRPr="00A11EA4" w:rsidRDefault="00F272E7">
      <w:pPr>
        <w:pStyle w:val="Liststycke"/>
        <w:numPr>
          <w:ilvl w:val="0"/>
          <w:numId w:val="2"/>
        </w:numPr>
        <w:spacing w:after="100" w:line="276" w:lineRule="auto"/>
        <w:rPr>
          <w:lang w:val="en-US"/>
        </w:rPr>
      </w:pPr>
      <w:r w:rsidRPr="00A11EA4">
        <w:rPr>
          <w:b/>
          <w:bCs/>
          <w:lang w:val="en-US"/>
        </w:rPr>
        <w:t xml:space="preserve">Cardinal anchor / second indicator: </w:t>
      </w:r>
      <w:r w:rsidRPr="00A11EA4">
        <w:rPr>
          <w:lang w:val="en-US"/>
        </w:rPr>
        <w:t>endline device-assisted screen time in minutes/day (hours and minutes fields combined); respondents reporting “function not enabled” or skipping are flagged; selection model reported.</w:t>
      </w:r>
    </w:p>
    <w:p w14:paraId="49CCA028" w14:textId="77777777" w:rsidR="00CB62A7" w:rsidRPr="00A11EA4" w:rsidRDefault="00F272E7">
      <w:pPr>
        <w:pStyle w:val="Liststycke"/>
        <w:numPr>
          <w:ilvl w:val="0"/>
          <w:numId w:val="2"/>
        </w:numPr>
        <w:spacing w:after="100" w:line="276" w:lineRule="auto"/>
        <w:rPr>
          <w:lang w:val="en-US"/>
        </w:rPr>
      </w:pPr>
      <w:r w:rsidRPr="00A11EA4">
        <w:rPr>
          <w:b/>
          <w:bCs/>
          <w:lang w:val="en-US"/>
        </w:rPr>
        <w:t xml:space="preserve">Primary outcome: </w:t>
      </w:r>
      <w:r w:rsidRPr="00A11EA4">
        <w:rPr>
          <w:lang w:val="en-US"/>
        </w:rPr>
        <w:t xml:space="preserve">mean monthly CO2e over the 12 calendar months preceding the individual’s app-join date, total and by category group: transport-fuel; flights; public transport; restaurants/out-of-home services; clothing; electronics; other goods; digital services; food; placebo group (rent, insurance, fees). [Exact </w:t>
      </w:r>
      <w:proofErr w:type="spellStart"/>
      <w:r w:rsidRPr="00A11EA4">
        <w:rPr>
          <w:lang w:val="en-US"/>
        </w:rPr>
        <w:t>COICOP</w:t>
      </w:r>
      <w:proofErr w:type="spellEnd"/>
      <w:r w:rsidRPr="00A11EA4">
        <w:rPr>
          <w:lang w:val="en-US"/>
        </w:rPr>
        <w:t xml:space="preserve"> mapping appended as a table.]</w:t>
      </w:r>
    </w:p>
    <w:p w14:paraId="4A290BB4" w14:textId="77777777" w:rsidR="00CB62A7" w:rsidRPr="00A11EA4" w:rsidRDefault="00F272E7">
      <w:pPr>
        <w:pStyle w:val="Liststycke"/>
        <w:numPr>
          <w:ilvl w:val="0"/>
          <w:numId w:val="2"/>
        </w:numPr>
        <w:spacing w:after="100" w:line="276" w:lineRule="auto"/>
        <w:rPr>
          <w:lang w:val="en-US"/>
        </w:rPr>
      </w:pPr>
      <w:r w:rsidRPr="00A11EA4">
        <w:rPr>
          <w:b/>
          <w:bCs/>
          <w:lang w:val="en-US"/>
        </w:rPr>
        <w:t xml:space="preserve">Secondary outcomes: </w:t>
      </w:r>
      <w:r w:rsidRPr="00A11EA4">
        <w:rPr>
          <w:lang w:val="en-US"/>
        </w:rPr>
        <w:t>total expenditure; CO2e per krona (carbon intensity); category expenditure shares; full-window (March 2021 – join) averages.</w:t>
      </w:r>
    </w:p>
    <w:p w14:paraId="23B2C4D2" w14:textId="77777777" w:rsidR="00CB62A7" w:rsidRPr="00A11EA4" w:rsidRDefault="00F272E7">
      <w:pPr>
        <w:pStyle w:val="Liststycke"/>
        <w:numPr>
          <w:ilvl w:val="0"/>
          <w:numId w:val="2"/>
        </w:numPr>
        <w:spacing w:after="100" w:line="276" w:lineRule="auto"/>
        <w:rPr>
          <w:lang w:val="en-US"/>
        </w:rPr>
      </w:pPr>
      <w:r w:rsidRPr="00A11EA4">
        <w:rPr>
          <w:b/>
          <w:bCs/>
          <w:lang w:val="en-US"/>
        </w:rPr>
        <w:t xml:space="preserve">Mediator: </w:t>
      </w:r>
      <w:r w:rsidRPr="00A11EA4">
        <w:rPr>
          <w:lang w:val="en-US"/>
        </w:rPr>
        <w:t>out-of-home activity index from the endline time-use battery (sports events, culture, dancing, dinner hosting/visits, nature, exercise; exclude home-based items).</w:t>
      </w:r>
    </w:p>
    <w:p w14:paraId="1C356A42" w14:textId="77777777" w:rsidR="00CB62A7" w:rsidRPr="00A11EA4" w:rsidRDefault="00F272E7">
      <w:pPr>
        <w:pStyle w:val="Liststycke"/>
        <w:numPr>
          <w:ilvl w:val="0"/>
          <w:numId w:val="2"/>
        </w:numPr>
        <w:spacing w:after="100" w:line="276" w:lineRule="auto"/>
        <w:rPr>
          <w:lang w:val="en-US"/>
        </w:rPr>
      </w:pPr>
      <w:r w:rsidRPr="00A11EA4">
        <w:rPr>
          <w:b/>
          <w:bCs/>
          <w:lang w:val="en-US"/>
        </w:rPr>
        <w:t xml:space="preserve">Covariates: </w:t>
      </w:r>
      <w:r w:rsidRPr="00A11EA4">
        <w:rPr>
          <w:lang w:val="en-US"/>
        </w:rPr>
        <w:t xml:space="preserve">register disposable income (log), education, age (spline or 10-year bins), sex, household size and composition, </w:t>
      </w:r>
      <w:proofErr w:type="spellStart"/>
      <w:r w:rsidRPr="00A11EA4">
        <w:rPr>
          <w:lang w:val="en-US"/>
        </w:rPr>
        <w:t>DeSO</w:t>
      </w:r>
      <w:proofErr w:type="spellEnd"/>
      <w:r w:rsidRPr="00A11EA4">
        <w:rPr>
          <w:lang w:val="en-US"/>
        </w:rPr>
        <w:t xml:space="preserve"> urbanity class, employment/full-time status (baseline), recruitment-source indicator, join-month fixed effects. [Car ownership from the vehicle </w:t>
      </w:r>
      <w:proofErr w:type="gramStart"/>
      <w:r w:rsidRPr="00A11EA4">
        <w:rPr>
          <w:lang w:val="en-US"/>
        </w:rPr>
        <w:t>register</w:t>
      </w:r>
      <w:proofErr w:type="gramEnd"/>
      <w:r w:rsidRPr="00A11EA4">
        <w:rPr>
          <w:lang w:val="en-US"/>
        </w:rPr>
        <w:t xml:space="preserve"> if available — confirm.]</w:t>
      </w:r>
    </w:p>
    <w:p w14:paraId="483A21C5" w14:textId="77777777" w:rsidR="00CB62A7" w:rsidRPr="00A11EA4" w:rsidRDefault="00F272E7">
      <w:pPr>
        <w:pStyle w:val="Rubrik2"/>
        <w:rPr>
          <w:lang w:val="en-US"/>
        </w:rPr>
      </w:pPr>
      <w:r w:rsidRPr="00A11EA4">
        <w:rPr>
          <w:lang w:val="en-US"/>
        </w:rPr>
        <w:t>C5. Analysis plan</w:t>
      </w:r>
    </w:p>
    <w:p w14:paraId="792E5A74" w14:textId="77777777" w:rsidR="00CB62A7" w:rsidRPr="00A11EA4" w:rsidRDefault="00F272E7">
      <w:pPr>
        <w:pStyle w:val="Liststycke"/>
        <w:numPr>
          <w:ilvl w:val="0"/>
          <w:numId w:val="4"/>
        </w:numPr>
        <w:spacing w:after="100" w:line="276" w:lineRule="auto"/>
        <w:rPr>
          <w:lang w:val="en-US"/>
        </w:rPr>
      </w:pPr>
      <w:r w:rsidRPr="00A11EA4">
        <w:rPr>
          <w:lang w:val="en-US"/>
        </w:rPr>
        <w:t>Estimator: OLS of inverse-hyperbolic-sine CO2e on the exposure with the covariate set above; marginal effects also expressed per +1 hour/day screen time via the anchor. Heteroskedasticity-robust standard errors. [Cluster level: none anticipated; confirm no household clustering in recruitment.]</w:t>
      </w:r>
    </w:p>
    <w:p w14:paraId="025116D2" w14:textId="77777777" w:rsidR="00CB62A7" w:rsidRPr="00A11EA4" w:rsidRDefault="00F272E7">
      <w:pPr>
        <w:pStyle w:val="Liststycke"/>
        <w:numPr>
          <w:ilvl w:val="0"/>
          <w:numId w:val="4"/>
        </w:numPr>
        <w:spacing w:after="100" w:line="276" w:lineRule="auto"/>
        <w:rPr>
          <w:lang w:val="en-US"/>
        </w:rPr>
      </w:pPr>
      <w:r w:rsidRPr="00A11EA4">
        <w:rPr>
          <w:lang w:val="en-US"/>
        </w:rPr>
        <w:t xml:space="preserve">Measurement error: </w:t>
      </w:r>
      <w:proofErr w:type="spellStart"/>
      <w:r w:rsidRPr="00A11EA4">
        <w:rPr>
          <w:lang w:val="en-US"/>
        </w:rPr>
        <w:t>ORIV</w:t>
      </w:r>
      <w:proofErr w:type="spellEnd"/>
      <w:r w:rsidRPr="00A11EA4">
        <w:rPr>
          <w:lang w:val="en-US"/>
        </w:rPr>
        <w:t xml:space="preserve"> using the baseline index and endline screen time as dual indicators of latent digital intensity; report naive and corrected estimates.</w:t>
      </w:r>
    </w:p>
    <w:p w14:paraId="7BE5215F" w14:textId="77777777" w:rsidR="00CB62A7" w:rsidRPr="00A11EA4" w:rsidRDefault="00F272E7">
      <w:pPr>
        <w:pStyle w:val="Liststycke"/>
        <w:numPr>
          <w:ilvl w:val="0"/>
          <w:numId w:val="4"/>
        </w:numPr>
        <w:spacing w:after="100" w:line="276" w:lineRule="auto"/>
        <w:rPr>
          <w:lang w:val="en-US"/>
        </w:rPr>
      </w:pPr>
      <w:r w:rsidRPr="00A11EA4">
        <w:rPr>
          <w:lang w:val="en-US"/>
        </w:rPr>
        <w:t>Decomposition: same specification per category group; multiple-testing adjustment across category outcomes by Romano–Wolf stepdown (Benjamini–Hochberg as sensitivity).</w:t>
      </w:r>
    </w:p>
    <w:p w14:paraId="203E245D" w14:textId="77777777" w:rsidR="00CB62A7" w:rsidRPr="00A11EA4" w:rsidRDefault="00F272E7">
      <w:pPr>
        <w:pStyle w:val="Liststycke"/>
        <w:numPr>
          <w:ilvl w:val="0"/>
          <w:numId w:val="4"/>
        </w:numPr>
        <w:spacing w:after="100" w:line="276" w:lineRule="auto"/>
        <w:rPr>
          <w:lang w:val="en-US"/>
        </w:rPr>
      </w:pPr>
      <w:r w:rsidRPr="00A11EA4">
        <w:rPr>
          <w:lang w:val="en-US"/>
        </w:rPr>
        <w:t>Mechanism: control arm only; (</w:t>
      </w:r>
      <w:proofErr w:type="spellStart"/>
      <w:r w:rsidRPr="00A11EA4">
        <w:rPr>
          <w:lang w:val="en-US"/>
        </w:rPr>
        <w:t>i</w:t>
      </w:r>
      <w:proofErr w:type="spellEnd"/>
      <w:r w:rsidRPr="00A11EA4">
        <w:rPr>
          <w:lang w:val="en-US"/>
        </w:rPr>
        <w:t>) exposure → mediator; (ii) transport gradient with and without mediator adjustment; framed as descriptive mediation evidence, not causal mediation.</w:t>
      </w:r>
    </w:p>
    <w:p w14:paraId="0B05CEF1" w14:textId="77777777" w:rsidR="00CB62A7" w:rsidRPr="00A11EA4" w:rsidRDefault="00F272E7">
      <w:pPr>
        <w:pStyle w:val="Liststycke"/>
        <w:numPr>
          <w:ilvl w:val="0"/>
          <w:numId w:val="4"/>
        </w:numPr>
        <w:spacing w:after="100" w:line="276" w:lineRule="auto"/>
        <w:rPr>
          <w:lang w:val="en-US"/>
        </w:rPr>
      </w:pPr>
      <w:proofErr w:type="spellStart"/>
      <w:r w:rsidRPr="00A11EA4">
        <w:rPr>
          <w:lang w:val="en-US"/>
        </w:rPr>
        <w:t>RCT</w:t>
      </w:r>
      <w:proofErr w:type="spellEnd"/>
      <w:r w:rsidRPr="00A11EA4">
        <w:rPr>
          <w:lang w:val="en-US"/>
        </w:rPr>
        <w:t>-based checks: treatment-irrelevance coefficient in the primary regression; screen-time balance test by arm; control-arm contemporaneous replication (consumption during treatment period on screen time).</w:t>
      </w:r>
    </w:p>
    <w:p w14:paraId="78E0AE24" w14:textId="77777777" w:rsidR="00CB62A7" w:rsidRPr="00A11EA4" w:rsidRDefault="00F272E7">
      <w:pPr>
        <w:pStyle w:val="Liststycke"/>
        <w:numPr>
          <w:ilvl w:val="0"/>
          <w:numId w:val="4"/>
        </w:numPr>
        <w:spacing w:after="100" w:line="276" w:lineRule="auto"/>
        <w:rPr>
          <w:lang w:val="en-US"/>
        </w:rPr>
      </w:pPr>
      <w:r w:rsidRPr="00A11EA4">
        <w:rPr>
          <w:lang w:val="en-US"/>
        </w:rPr>
        <w:t>Heterogeneity (pre-specified, exhaustive): exposure × age, × gender, × urbanity, one at a time.</w:t>
      </w:r>
    </w:p>
    <w:p w14:paraId="5E859CED" w14:textId="77777777" w:rsidR="00CB62A7" w:rsidRPr="00A11EA4" w:rsidRDefault="00F272E7">
      <w:pPr>
        <w:pStyle w:val="Liststycke"/>
        <w:numPr>
          <w:ilvl w:val="0"/>
          <w:numId w:val="4"/>
        </w:numPr>
        <w:spacing w:after="100" w:line="276" w:lineRule="auto"/>
        <w:rPr>
          <w:lang w:val="en-US"/>
        </w:rPr>
      </w:pPr>
      <w:r w:rsidRPr="00A11EA4">
        <w:rPr>
          <w:lang w:val="en-US"/>
        </w:rPr>
        <w:lastRenderedPageBreak/>
        <w:t>Exploratory (labelled as such): within-person 2021–2024 trends in category shares by digital intensity (do the digitally intensive dematerialize faster?); carbon intensity per hour of leisure comparisons.</w:t>
      </w:r>
    </w:p>
    <w:p w14:paraId="46E2280F" w14:textId="77777777" w:rsidR="00CB62A7" w:rsidRPr="00A11EA4" w:rsidRDefault="00F272E7">
      <w:pPr>
        <w:pStyle w:val="Rubrik2"/>
        <w:rPr>
          <w:lang w:val="en-US"/>
        </w:rPr>
      </w:pPr>
      <w:r w:rsidRPr="00A11EA4">
        <w:rPr>
          <w:lang w:val="en-US"/>
        </w:rPr>
        <w:t>C6. Inference criteria, exclusions, missing data</w:t>
      </w:r>
    </w:p>
    <w:p w14:paraId="6D2799DE" w14:textId="77777777" w:rsidR="00CB62A7" w:rsidRPr="00A11EA4" w:rsidRDefault="00F272E7">
      <w:pPr>
        <w:pStyle w:val="Liststycke"/>
        <w:numPr>
          <w:ilvl w:val="0"/>
          <w:numId w:val="2"/>
        </w:numPr>
        <w:spacing w:after="100" w:line="276" w:lineRule="auto"/>
        <w:rPr>
          <w:lang w:val="en-US"/>
        </w:rPr>
      </w:pPr>
      <w:r w:rsidRPr="00A11EA4">
        <w:rPr>
          <w:b/>
          <w:bCs/>
          <w:lang w:val="en-US"/>
        </w:rPr>
        <w:t xml:space="preserve">Confirmation standard: </w:t>
      </w:r>
      <w:r w:rsidRPr="00A11EA4">
        <w:rPr>
          <w:lang w:val="en-US"/>
        </w:rPr>
        <w:t>hypotheses are evaluated on the held-out probability subsample at α = .05 (two-sided) with the adjustments above; exploration-sample results are reported as such. Population estimates use entropy-balancing weights to register margins (age, sex, income, education, urbanity).</w:t>
      </w:r>
    </w:p>
    <w:p w14:paraId="2346D25C" w14:textId="77777777" w:rsidR="00CB62A7" w:rsidRPr="00A11EA4" w:rsidRDefault="00F272E7">
      <w:pPr>
        <w:pStyle w:val="Liststycke"/>
        <w:numPr>
          <w:ilvl w:val="0"/>
          <w:numId w:val="2"/>
        </w:numPr>
        <w:spacing w:after="100" w:line="276" w:lineRule="auto"/>
        <w:rPr>
          <w:lang w:val="en-US"/>
        </w:rPr>
      </w:pPr>
      <w:r w:rsidRPr="00A11EA4">
        <w:rPr>
          <w:b/>
          <w:bCs/>
          <w:lang w:val="en-US"/>
        </w:rPr>
        <w:t xml:space="preserve">Exclusions: </w:t>
      </w:r>
      <w:r w:rsidRPr="00A11EA4">
        <w:rPr>
          <w:lang w:val="en-US"/>
        </w:rPr>
        <w:t>failed attention checks (baseline minister item; endline C11); respondents with [&lt;k] months of usable transaction data in the primary window or flagged incomplete account coverage [criterion from existing data-quality flags — specify]; duplicate accounts. All N flows reported in a CONSORT-style diagram.</w:t>
      </w:r>
    </w:p>
    <w:p w14:paraId="6F00DEDF" w14:textId="77777777" w:rsidR="00CB62A7" w:rsidRPr="00A11EA4" w:rsidRDefault="00F272E7">
      <w:pPr>
        <w:pStyle w:val="Liststycke"/>
        <w:numPr>
          <w:ilvl w:val="0"/>
          <w:numId w:val="2"/>
        </w:numPr>
        <w:spacing w:after="100" w:line="276" w:lineRule="auto"/>
        <w:rPr>
          <w:lang w:val="en-US"/>
        </w:rPr>
      </w:pPr>
      <w:r w:rsidRPr="00A11EA4">
        <w:rPr>
          <w:b/>
          <w:bCs/>
          <w:lang w:val="en-US"/>
        </w:rPr>
        <w:t xml:space="preserve">Missing data: </w:t>
      </w:r>
      <w:r w:rsidRPr="00A11EA4">
        <w:rPr>
          <w:lang w:val="en-US"/>
        </w:rPr>
        <w:t>screen-time nonresponse handled by (</w:t>
      </w:r>
      <w:proofErr w:type="spellStart"/>
      <w:r w:rsidRPr="00A11EA4">
        <w:rPr>
          <w:lang w:val="en-US"/>
        </w:rPr>
        <w:t>i</w:t>
      </w:r>
      <w:proofErr w:type="spellEnd"/>
      <w:r w:rsidRPr="00A11EA4">
        <w:rPr>
          <w:lang w:val="en-US"/>
        </w:rPr>
        <w:t>) primary analysis on the index (available for nearly all), (ii) anchor estimated on responders with selection diagnostics, (iii) bounds if selection is non-trivial. Item-missing covariates: [complete-case primary; multiple imputation sensitivity].</w:t>
      </w:r>
    </w:p>
    <w:p w14:paraId="0F730DD8" w14:textId="77777777" w:rsidR="00CB62A7" w:rsidRPr="00A11EA4" w:rsidRDefault="00F272E7">
      <w:pPr>
        <w:pStyle w:val="Liststycke"/>
        <w:numPr>
          <w:ilvl w:val="0"/>
          <w:numId w:val="2"/>
        </w:numPr>
        <w:spacing w:after="100" w:line="276" w:lineRule="auto"/>
        <w:rPr>
          <w:lang w:val="en-US"/>
        </w:rPr>
      </w:pPr>
      <w:r w:rsidRPr="00A11EA4">
        <w:rPr>
          <w:b/>
          <w:bCs/>
          <w:lang w:val="en-US"/>
        </w:rPr>
        <w:t xml:space="preserve">Confounding diagnostics: </w:t>
      </w:r>
      <w:r w:rsidRPr="00A11EA4">
        <w:rPr>
          <w:lang w:val="en-US"/>
        </w:rPr>
        <w:t xml:space="preserve">if H4 placebo fails, report Oster-style coefficient-stability </w:t>
      </w:r>
      <w:proofErr w:type="gramStart"/>
      <w:r w:rsidRPr="00A11EA4">
        <w:rPr>
          <w:lang w:val="en-US"/>
        </w:rPr>
        <w:t>bounds</w:t>
      </w:r>
      <w:proofErr w:type="gramEnd"/>
      <w:r w:rsidRPr="00A11EA4">
        <w:rPr>
          <w:lang w:val="en-US"/>
        </w:rPr>
        <w:t xml:space="preserve"> and re-frame affected estimates accordingly.</w:t>
      </w:r>
    </w:p>
    <w:p w14:paraId="4BE6E279" w14:textId="77777777" w:rsidR="00CB62A7" w:rsidRPr="00A11EA4" w:rsidRDefault="00F272E7">
      <w:pPr>
        <w:pStyle w:val="Rubrik2"/>
        <w:rPr>
          <w:lang w:val="en-US"/>
        </w:rPr>
      </w:pPr>
      <w:r w:rsidRPr="00A11EA4">
        <w:rPr>
          <w:lang w:val="en-US"/>
        </w:rPr>
        <w:t>C7. Workflow declaration</w:t>
      </w:r>
    </w:p>
    <w:p w14:paraId="738B0EFA" w14:textId="77777777" w:rsidR="00CB62A7" w:rsidRPr="00A11EA4" w:rsidRDefault="00F272E7">
      <w:pPr>
        <w:spacing w:after="160" w:line="276" w:lineRule="auto"/>
        <w:rPr>
          <w:lang w:val="en-US"/>
        </w:rPr>
      </w:pPr>
      <w:r w:rsidRPr="00A11EA4">
        <w:rPr>
          <w:lang w:val="en-US"/>
        </w:rPr>
        <w:t xml:space="preserve">The preregistration is submitted before any analysis involving the digital-behavior, screen-time, or time-use variables. Phase 1 (exploration) is conducted exclusively on the non-probability subsample; the probability subsample is withheld behind a data-access flag managed by the RA. Phase 2 (confirmation) is a single scripted run on the probability subsample after the specification is frozen and the freeze is logged on </w:t>
      </w:r>
      <w:proofErr w:type="spellStart"/>
      <w:r w:rsidRPr="00A11EA4">
        <w:rPr>
          <w:lang w:val="en-US"/>
        </w:rPr>
        <w:t>OSF</w:t>
      </w:r>
      <w:proofErr w:type="spellEnd"/>
      <w:r w:rsidRPr="00A11EA4">
        <w:rPr>
          <w:lang w:val="en-US"/>
        </w:rPr>
        <w:t>. Code and (where data agreements permit) aggregated replication materials will be posted.</w:t>
      </w:r>
    </w:p>
    <w:p w14:paraId="38CA708D" w14:textId="77777777" w:rsidR="00CB62A7" w:rsidRPr="00A11EA4" w:rsidRDefault="00F272E7">
      <w:pPr>
        <w:pBdr>
          <w:top w:val="single" w:sz="4" w:space="4" w:color="AAAAAA"/>
        </w:pBdr>
        <w:spacing w:before="240"/>
        <w:rPr>
          <w:lang w:val="en-US"/>
        </w:rPr>
      </w:pPr>
      <w:r w:rsidRPr="00A11EA4">
        <w:rPr>
          <w:i/>
          <w:iCs/>
          <w:color w:val="555555"/>
          <w:sz w:val="18"/>
          <w:szCs w:val="18"/>
          <w:lang w:val="en-US"/>
        </w:rPr>
        <w:t xml:space="preserve">Prepared by David Andersson with project-internal discussion in mind; please send comments on Parts A and </w:t>
      </w:r>
      <w:proofErr w:type="gramStart"/>
      <w:r w:rsidRPr="00A11EA4">
        <w:rPr>
          <w:i/>
          <w:iCs/>
          <w:color w:val="555555"/>
          <w:sz w:val="18"/>
          <w:szCs w:val="18"/>
          <w:lang w:val="en-US"/>
        </w:rPr>
        <w:t>C in particular</w:t>
      </w:r>
      <w:proofErr w:type="gramEnd"/>
      <w:r w:rsidRPr="00A11EA4">
        <w:rPr>
          <w:i/>
          <w:iCs/>
          <w:color w:val="555555"/>
          <w:sz w:val="18"/>
          <w:szCs w:val="18"/>
          <w:lang w:val="en-US"/>
        </w:rPr>
        <w:t>. Bracketed items in Part C require decisions before registration.</w:t>
      </w:r>
    </w:p>
    <w:sectPr w:rsidR="00CB62A7" w:rsidRPr="00A11EA4">
      <w:footerReference w:type="even"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50D8F" w14:textId="77777777" w:rsidR="00F272E7" w:rsidRDefault="00F272E7" w:rsidP="00435CBB">
      <w:r>
        <w:separator/>
      </w:r>
    </w:p>
  </w:endnote>
  <w:endnote w:type="continuationSeparator" w:id="0">
    <w:p w14:paraId="76808E25" w14:textId="77777777" w:rsidR="00F272E7" w:rsidRDefault="00F272E7" w:rsidP="00435C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nummer"/>
      </w:rPr>
      <w:id w:val="749625799"/>
      <w:docPartObj>
        <w:docPartGallery w:val="Page Numbers (Bottom of Page)"/>
        <w:docPartUnique/>
      </w:docPartObj>
    </w:sdtPr>
    <w:sdtContent>
      <w:p w14:paraId="67347748" w14:textId="07B06D22" w:rsidR="00435CBB" w:rsidRDefault="00435CBB" w:rsidP="00D27309">
        <w:pPr>
          <w:pStyle w:val="Sidfot"/>
          <w:framePr w:wrap="none" w:vAnchor="text" w:hAnchor="margin" w:xAlign="right" w:y="1"/>
          <w:rPr>
            <w:rStyle w:val="Sidnummer"/>
          </w:rPr>
        </w:pPr>
        <w:r>
          <w:rPr>
            <w:rStyle w:val="Sidnummer"/>
          </w:rPr>
          <w:fldChar w:fldCharType="begin"/>
        </w:r>
        <w:r>
          <w:rPr>
            <w:rStyle w:val="Sidnummer"/>
          </w:rPr>
          <w:instrText xml:space="preserve"> PAGE </w:instrText>
        </w:r>
        <w:r>
          <w:rPr>
            <w:rStyle w:val="Sidnummer"/>
          </w:rPr>
          <w:fldChar w:fldCharType="separate"/>
        </w:r>
        <w:r>
          <w:rPr>
            <w:rStyle w:val="Sidnummer"/>
          </w:rPr>
          <w:fldChar w:fldCharType="end"/>
        </w:r>
      </w:p>
    </w:sdtContent>
  </w:sdt>
  <w:p w14:paraId="4B932663" w14:textId="77777777" w:rsidR="00435CBB" w:rsidRDefault="00435CBB" w:rsidP="00435CBB">
    <w:pPr>
      <w:pStyle w:val="Sidfo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nummer"/>
      </w:rPr>
      <w:id w:val="1290013428"/>
      <w:docPartObj>
        <w:docPartGallery w:val="Page Numbers (Bottom of Page)"/>
        <w:docPartUnique/>
      </w:docPartObj>
    </w:sdtPr>
    <w:sdtContent>
      <w:p w14:paraId="66BD4CFE" w14:textId="35CC231C" w:rsidR="00435CBB" w:rsidRDefault="00435CBB" w:rsidP="00D27309">
        <w:pPr>
          <w:pStyle w:val="Sidfot"/>
          <w:framePr w:wrap="none" w:vAnchor="text" w:hAnchor="margin" w:xAlign="right" w:y="1"/>
          <w:rPr>
            <w:rStyle w:val="Sidnummer"/>
          </w:rPr>
        </w:pPr>
        <w:r>
          <w:rPr>
            <w:rStyle w:val="Sidnummer"/>
          </w:rPr>
          <w:fldChar w:fldCharType="begin"/>
        </w:r>
        <w:r>
          <w:rPr>
            <w:rStyle w:val="Sidnummer"/>
          </w:rPr>
          <w:instrText xml:space="preserve"> PAGE </w:instrText>
        </w:r>
        <w:r>
          <w:rPr>
            <w:rStyle w:val="Sidnummer"/>
          </w:rPr>
          <w:fldChar w:fldCharType="separate"/>
        </w:r>
        <w:r>
          <w:rPr>
            <w:rStyle w:val="Sidnummer"/>
            <w:noProof/>
          </w:rPr>
          <w:t>4</w:t>
        </w:r>
        <w:r>
          <w:rPr>
            <w:rStyle w:val="Sidnummer"/>
          </w:rPr>
          <w:fldChar w:fldCharType="end"/>
        </w:r>
      </w:p>
    </w:sdtContent>
  </w:sdt>
  <w:p w14:paraId="162363EE" w14:textId="77777777" w:rsidR="00435CBB" w:rsidRDefault="00435CBB" w:rsidP="00435CBB">
    <w:pPr>
      <w:pStyle w:val="Sidfot"/>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21464" w14:textId="77777777" w:rsidR="00F272E7" w:rsidRDefault="00F272E7" w:rsidP="00435CBB">
      <w:r>
        <w:separator/>
      </w:r>
    </w:p>
  </w:footnote>
  <w:footnote w:type="continuationSeparator" w:id="0">
    <w:p w14:paraId="5881668C" w14:textId="77777777" w:rsidR="00F272E7" w:rsidRDefault="00F272E7" w:rsidP="00435C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A6150"/>
    <w:multiLevelType w:val="hybridMultilevel"/>
    <w:tmpl w:val="0EECCA6E"/>
    <w:lvl w:ilvl="0" w:tplc="6C5C63BA">
      <w:start w:val="1"/>
      <w:numFmt w:val="bullet"/>
      <w:lvlText w:val="●"/>
      <w:lvlJc w:val="left"/>
      <w:pPr>
        <w:ind w:left="720" w:hanging="360"/>
      </w:pPr>
    </w:lvl>
    <w:lvl w:ilvl="1" w:tplc="50843D36">
      <w:start w:val="1"/>
      <w:numFmt w:val="bullet"/>
      <w:lvlText w:val="○"/>
      <w:lvlJc w:val="left"/>
      <w:pPr>
        <w:ind w:left="1440" w:hanging="360"/>
      </w:pPr>
    </w:lvl>
    <w:lvl w:ilvl="2" w:tplc="CDAE4C50">
      <w:start w:val="1"/>
      <w:numFmt w:val="bullet"/>
      <w:lvlText w:val="■"/>
      <w:lvlJc w:val="left"/>
      <w:pPr>
        <w:ind w:left="2160" w:hanging="360"/>
      </w:pPr>
    </w:lvl>
    <w:lvl w:ilvl="3" w:tplc="E872E50C">
      <w:start w:val="1"/>
      <w:numFmt w:val="bullet"/>
      <w:lvlText w:val="●"/>
      <w:lvlJc w:val="left"/>
      <w:pPr>
        <w:ind w:left="2880" w:hanging="360"/>
      </w:pPr>
    </w:lvl>
    <w:lvl w:ilvl="4" w:tplc="868892C8">
      <w:start w:val="1"/>
      <w:numFmt w:val="bullet"/>
      <w:lvlText w:val="○"/>
      <w:lvlJc w:val="left"/>
      <w:pPr>
        <w:ind w:left="3600" w:hanging="360"/>
      </w:pPr>
    </w:lvl>
    <w:lvl w:ilvl="5" w:tplc="681088A8">
      <w:start w:val="1"/>
      <w:numFmt w:val="bullet"/>
      <w:lvlText w:val="■"/>
      <w:lvlJc w:val="left"/>
      <w:pPr>
        <w:ind w:left="4320" w:hanging="360"/>
      </w:pPr>
    </w:lvl>
    <w:lvl w:ilvl="6" w:tplc="2BC46108">
      <w:start w:val="1"/>
      <w:numFmt w:val="bullet"/>
      <w:lvlText w:val="●"/>
      <w:lvlJc w:val="left"/>
      <w:pPr>
        <w:ind w:left="5040" w:hanging="360"/>
      </w:pPr>
    </w:lvl>
    <w:lvl w:ilvl="7" w:tplc="EAB6CA7A">
      <w:start w:val="1"/>
      <w:numFmt w:val="bullet"/>
      <w:lvlText w:val="●"/>
      <w:lvlJc w:val="left"/>
      <w:pPr>
        <w:ind w:left="5760" w:hanging="360"/>
      </w:pPr>
    </w:lvl>
    <w:lvl w:ilvl="8" w:tplc="497C8E3C">
      <w:start w:val="1"/>
      <w:numFmt w:val="bullet"/>
      <w:lvlText w:val="●"/>
      <w:lvlJc w:val="left"/>
      <w:pPr>
        <w:ind w:left="6480" w:hanging="360"/>
      </w:pPr>
    </w:lvl>
  </w:abstractNum>
  <w:abstractNum w:abstractNumId="1" w15:restartNumberingAfterBreak="0">
    <w:nsid w:val="4D58742D"/>
    <w:multiLevelType w:val="hybridMultilevel"/>
    <w:tmpl w:val="85E084F2"/>
    <w:lvl w:ilvl="0" w:tplc="9E469112">
      <w:start w:val="1"/>
      <w:numFmt w:val="decimal"/>
      <w:lvlText w:val="%1."/>
      <w:lvlJc w:val="left"/>
      <w:pPr>
        <w:ind w:left="720" w:hanging="360"/>
      </w:pPr>
    </w:lvl>
    <w:lvl w:ilvl="1" w:tplc="D4FA0F90">
      <w:numFmt w:val="decimal"/>
      <w:lvlText w:val=""/>
      <w:lvlJc w:val="left"/>
    </w:lvl>
    <w:lvl w:ilvl="2" w:tplc="876CE2B0">
      <w:numFmt w:val="decimal"/>
      <w:lvlText w:val=""/>
      <w:lvlJc w:val="left"/>
    </w:lvl>
    <w:lvl w:ilvl="3" w:tplc="27DA3482">
      <w:numFmt w:val="decimal"/>
      <w:lvlText w:val=""/>
      <w:lvlJc w:val="left"/>
    </w:lvl>
    <w:lvl w:ilvl="4" w:tplc="B950A9C8">
      <w:numFmt w:val="decimal"/>
      <w:lvlText w:val=""/>
      <w:lvlJc w:val="left"/>
    </w:lvl>
    <w:lvl w:ilvl="5" w:tplc="0CC2DE96">
      <w:numFmt w:val="decimal"/>
      <w:lvlText w:val=""/>
      <w:lvlJc w:val="left"/>
    </w:lvl>
    <w:lvl w:ilvl="6" w:tplc="B3FC604A">
      <w:numFmt w:val="decimal"/>
      <w:lvlText w:val=""/>
      <w:lvlJc w:val="left"/>
    </w:lvl>
    <w:lvl w:ilvl="7" w:tplc="6976395C">
      <w:numFmt w:val="decimal"/>
      <w:lvlText w:val=""/>
      <w:lvlJc w:val="left"/>
    </w:lvl>
    <w:lvl w:ilvl="8" w:tplc="C7161E3C">
      <w:numFmt w:val="decimal"/>
      <w:lvlText w:val=""/>
      <w:lvlJc w:val="left"/>
    </w:lvl>
  </w:abstractNum>
  <w:abstractNum w:abstractNumId="2" w15:restartNumberingAfterBreak="0">
    <w:nsid w:val="74FC4ADF"/>
    <w:multiLevelType w:val="hybridMultilevel"/>
    <w:tmpl w:val="05E21814"/>
    <w:lvl w:ilvl="0" w:tplc="1ED2A342">
      <w:start w:val="1"/>
      <w:numFmt w:val="bullet"/>
      <w:lvlText w:val="•"/>
      <w:lvlJc w:val="left"/>
      <w:pPr>
        <w:ind w:left="720" w:hanging="360"/>
      </w:pPr>
    </w:lvl>
    <w:lvl w:ilvl="1" w:tplc="B62C4518">
      <w:numFmt w:val="decimal"/>
      <w:lvlText w:val=""/>
      <w:lvlJc w:val="left"/>
    </w:lvl>
    <w:lvl w:ilvl="2" w:tplc="098A5240">
      <w:numFmt w:val="decimal"/>
      <w:lvlText w:val=""/>
      <w:lvlJc w:val="left"/>
    </w:lvl>
    <w:lvl w:ilvl="3" w:tplc="EDAA1B00">
      <w:numFmt w:val="decimal"/>
      <w:lvlText w:val=""/>
      <w:lvlJc w:val="left"/>
    </w:lvl>
    <w:lvl w:ilvl="4" w:tplc="4F6C3AF2">
      <w:numFmt w:val="decimal"/>
      <w:lvlText w:val=""/>
      <w:lvlJc w:val="left"/>
    </w:lvl>
    <w:lvl w:ilvl="5" w:tplc="E75C7298">
      <w:numFmt w:val="decimal"/>
      <w:lvlText w:val=""/>
      <w:lvlJc w:val="left"/>
    </w:lvl>
    <w:lvl w:ilvl="6" w:tplc="9E2441F0">
      <w:numFmt w:val="decimal"/>
      <w:lvlText w:val=""/>
      <w:lvlJc w:val="left"/>
    </w:lvl>
    <w:lvl w:ilvl="7" w:tplc="1E7023AC">
      <w:numFmt w:val="decimal"/>
      <w:lvlText w:val=""/>
      <w:lvlJc w:val="left"/>
    </w:lvl>
    <w:lvl w:ilvl="8" w:tplc="DA2459E4">
      <w:numFmt w:val="decimal"/>
      <w:lvlText w:val=""/>
      <w:lvlJc w:val="left"/>
    </w:lvl>
  </w:abstractNum>
  <w:abstractNum w:abstractNumId="3" w15:restartNumberingAfterBreak="0">
    <w:nsid w:val="7604451B"/>
    <w:multiLevelType w:val="hybridMultilevel"/>
    <w:tmpl w:val="AC224414"/>
    <w:lvl w:ilvl="0" w:tplc="234A3510">
      <w:start w:val="1"/>
      <w:numFmt w:val="decimal"/>
      <w:lvlText w:val="H%1."/>
      <w:lvlJc w:val="left"/>
      <w:pPr>
        <w:ind w:left="720" w:hanging="360"/>
      </w:pPr>
    </w:lvl>
    <w:lvl w:ilvl="1" w:tplc="14E05A36">
      <w:numFmt w:val="decimal"/>
      <w:lvlText w:val=""/>
      <w:lvlJc w:val="left"/>
    </w:lvl>
    <w:lvl w:ilvl="2" w:tplc="4F4A1C24">
      <w:numFmt w:val="decimal"/>
      <w:lvlText w:val=""/>
      <w:lvlJc w:val="left"/>
    </w:lvl>
    <w:lvl w:ilvl="3" w:tplc="1160DF6A">
      <w:numFmt w:val="decimal"/>
      <w:lvlText w:val=""/>
      <w:lvlJc w:val="left"/>
    </w:lvl>
    <w:lvl w:ilvl="4" w:tplc="7C80CDFE">
      <w:numFmt w:val="decimal"/>
      <w:lvlText w:val=""/>
      <w:lvlJc w:val="left"/>
    </w:lvl>
    <w:lvl w:ilvl="5" w:tplc="30047B76">
      <w:numFmt w:val="decimal"/>
      <w:lvlText w:val=""/>
      <w:lvlJc w:val="left"/>
    </w:lvl>
    <w:lvl w:ilvl="6" w:tplc="CCB603F2">
      <w:numFmt w:val="decimal"/>
      <w:lvlText w:val=""/>
      <w:lvlJc w:val="left"/>
    </w:lvl>
    <w:lvl w:ilvl="7" w:tplc="D6DC3BFA">
      <w:numFmt w:val="decimal"/>
      <w:lvlText w:val=""/>
      <w:lvlJc w:val="left"/>
    </w:lvl>
    <w:lvl w:ilvl="8" w:tplc="589CDB98">
      <w:numFmt w:val="decimal"/>
      <w:lvlText w:val=""/>
      <w:lvlJc w:val="left"/>
    </w:lvl>
  </w:abstractNum>
  <w:num w:numId="1" w16cid:durableId="1510291351">
    <w:abstractNumId w:val="0"/>
    <w:lvlOverride w:ilvl="0">
      <w:startOverride w:val="1"/>
    </w:lvlOverride>
  </w:num>
  <w:num w:numId="2" w16cid:durableId="83192255">
    <w:abstractNumId w:val="2"/>
    <w:lvlOverride w:ilvl="0">
      <w:startOverride w:val="1"/>
    </w:lvlOverride>
  </w:num>
  <w:num w:numId="3" w16cid:durableId="1596211291">
    <w:abstractNumId w:val="3"/>
    <w:lvlOverride w:ilvl="0">
      <w:startOverride w:val="1"/>
    </w:lvlOverride>
  </w:num>
  <w:num w:numId="4" w16cid:durableId="11055417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2A7"/>
    <w:rsid w:val="00207AD4"/>
    <w:rsid w:val="00435CBB"/>
    <w:rsid w:val="00A11EA4"/>
    <w:rsid w:val="00CB62A7"/>
    <w:rsid w:val="00D41BCD"/>
    <w:rsid w:val="00DD7845"/>
    <w:rsid w:val="00F272E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5CBB7A94"/>
  <w15:docId w15:val="{75743233-77A7-C844-8DD5-B2BE606DE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uiPriority w:val="9"/>
    <w:qFormat/>
    <w:pPr>
      <w:spacing w:before="320" w:after="200"/>
      <w:outlineLvl w:val="0"/>
    </w:pPr>
    <w:rPr>
      <w:b/>
      <w:bCs/>
      <w:color w:val="1F3864"/>
      <w:sz w:val="30"/>
      <w:szCs w:val="30"/>
    </w:rPr>
  </w:style>
  <w:style w:type="paragraph" w:styleId="Rubrik2">
    <w:name w:val="heading 2"/>
    <w:uiPriority w:val="9"/>
    <w:unhideWhenUsed/>
    <w:qFormat/>
    <w:pPr>
      <w:spacing w:before="240" w:after="140"/>
      <w:outlineLvl w:val="1"/>
    </w:pPr>
    <w:rPr>
      <w:b/>
      <w:bCs/>
      <w:color w:val="2E5395"/>
      <w:sz w:val="25"/>
      <w:szCs w:val="25"/>
    </w:rPr>
  </w:style>
  <w:style w:type="paragraph" w:styleId="Rubrik3">
    <w:name w:val="heading 3"/>
    <w:uiPriority w:val="9"/>
    <w:unhideWhenUsed/>
    <w:qFormat/>
    <w:pPr>
      <w:spacing w:before="200" w:after="120"/>
      <w:outlineLvl w:val="2"/>
    </w:pPr>
    <w:rPr>
      <w:b/>
      <w:bCs/>
      <w:i/>
      <w:iCs/>
    </w:rPr>
  </w:style>
  <w:style w:type="paragraph" w:styleId="Rubrik4">
    <w:name w:val="heading 4"/>
    <w:uiPriority w:val="9"/>
    <w:semiHidden/>
    <w:unhideWhenUsed/>
    <w:qFormat/>
    <w:pPr>
      <w:outlineLvl w:val="3"/>
    </w:pPr>
    <w:rPr>
      <w:i/>
      <w:iCs/>
      <w:color w:val="2E74B5"/>
    </w:rPr>
  </w:style>
  <w:style w:type="paragraph" w:styleId="Rubrik5">
    <w:name w:val="heading 5"/>
    <w:uiPriority w:val="9"/>
    <w:semiHidden/>
    <w:unhideWhenUsed/>
    <w:qFormat/>
    <w:pPr>
      <w:outlineLvl w:val="4"/>
    </w:pPr>
    <w:rPr>
      <w:color w:val="2E74B5"/>
    </w:rPr>
  </w:style>
  <w:style w:type="paragraph" w:styleId="Rubrik6">
    <w:name w:val="heading 6"/>
    <w:uiPriority w:val="9"/>
    <w:semiHidden/>
    <w:unhideWhenUsed/>
    <w:qFormat/>
    <w:pPr>
      <w:outlineLvl w:val="5"/>
    </w:pPr>
    <w:rPr>
      <w:color w:val="1F4D7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Rubrik">
    <w:name w:val="Title"/>
    <w:uiPriority w:val="10"/>
    <w:qFormat/>
    <w:rPr>
      <w:sz w:val="56"/>
      <w:szCs w:val="56"/>
    </w:rPr>
  </w:style>
  <w:style w:type="paragraph" w:customStyle="1" w:styleId="Stark1">
    <w:name w:val="Stark1"/>
    <w:qFormat/>
    <w:rPr>
      <w:b/>
      <w:bCs/>
    </w:rPr>
  </w:style>
  <w:style w:type="paragraph" w:styleId="Liststycke">
    <w:name w:val="List Paragraph"/>
    <w:qFormat/>
  </w:style>
  <w:style w:type="character" w:styleId="Hyperlnk">
    <w:name w:val="Hyperlink"/>
    <w:uiPriority w:val="99"/>
    <w:unhideWhenUsed/>
    <w:rPr>
      <w:color w:val="0563C1"/>
      <w:u w:val="single"/>
    </w:rPr>
  </w:style>
  <w:style w:type="character" w:styleId="Fotnotsreferens">
    <w:name w:val="footnote reference"/>
    <w:uiPriority w:val="99"/>
    <w:semiHidden/>
    <w:unhideWhenUsed/>
    <w:rPr>
      <w:vertAlign w:val="superscript"/>
    </w:rPr>
  </w:style>
  <w:style w:type="paragraph" w:styleId="Fotnotstext">
    <w:name w:val="footnote text"/>
    <w:link w:val="FotnotstextChar"/>
    <w:uiPriority w:val="99"/>
    <w:semiHidden/>
    <w:unhideWhenUsed/>
    <w:rPr>
      <w:sz w:val="20"/>
      <w:szCs w:val="20"/>
    </w:rPr>
  </w:style>
  <w:style w:type="character" w:customStyle="1" w:styleId="FotnotstextChar">
    <w:name w:val="Fotnotstext Char"/>
    <w:link w:val="Fotnotstext"/>
    <w:uiPriority w:val="99"/>
    <w:semiHidden/>
    <w:unhideWhenUsed/>
    <w:rPr>
      <w:sz w:val="20"/>
      <w:szCs w:val="20"/>
    </w:rPr>
  </w:style>
  <w:style w:type="character" w:styleId="Slutnotsreferens">
    <w:name w:val="endnote reference"/>
    <w:uiPriority w:val="99"/>
    <w:semiHidden/>
    <w:unhideWhenUsed/>
    <w:rPr>
      <w:vertAlign w:val="superscript"/>
    </w:rPr>
  </w:style>
  <w:style w:type="paragraph" w:styleId="Slutnotstext">
    <w:name w:val="endnote text"/>
    <w:link w:val="SlutnotstextChar"/>
    <w:uiPriority w:val="99"/>
    <w:semiHidden/>
    <w:unhideWhenUsed/>
    <w:rPr>
      <w:sz w:val="20"/>
      <w:szCs w:val="20"/>
    </w:rPr>
  </w:style>
  <w:style w:type="character" w:customStyle="1" w:styleId="SlutnotstextChar">
    <w:name w:val="Slutnotstext Char"/>
    <w:link w:val="Slutnotstext"/>
    <w:uiPriority w:val="99"/>
    <w:semiHidden/>
    <w:unhideWhenUsed/>
    <w:rPr>
      <w:sz w:val="20"/>
      <w:szCs w:val="20"/>
    </w:rPr>
  </w:style>
  <w:style w:type="paragraph" w:styleId="Sidfot">
    <w:name w:val="footer"/>
    <w:basedOn w:val="Normal"/>
    <w:link w:val="SidfotChar"/>
    <w:uiPriority w:val="99"/>
    <w:unhideWhenUsed/>
    <w:rsid w:val="00435CBB"/>
    <w:pPr>
      <w:tabs>
        <w:tab w:val="center" w:pos="4536"/>
        <w:tab w:val="right" w:pos="9072"/>
      </w:tabs>
    </w:pPr>
  </w:style>
  <w:style w:type="character" w:customStyle="1" w:styleId="SidfotChar">
    <w:name w:val="Sidfot Char"/>
    <w:basedOn w:val="Standardstycketeckensnitt"/>
    <w:link w:val="Sidfot"/>
    <w:uiPriority w:val="99"/>
    <w:rsid w:val="00435CBB"/>
  </w:style>
  <w:style w:type="character" w:styleId="Sidnummer">
    <w:name w:val="page number"/>
    <w:basedOn w:val="Standardstycketeckensnitt"/>
    <w:uiPriority w:val="99"/>
    <w:semiHidden/>
    <w:unhideWhenUsed/>
    <w:rsid w:val="00435C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3506</Words>
  <Characters>18586</Characters>
  <Application>Microsoft Office Word</Application>
  <DocSecurity>0</DocSecurity>
  <Lines>154</Lines>
  <Paragraphs>44</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22048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Andersson</cp:lastModifiedBy>
  <cp:revision>2</cp:revision>
  <dcterms:created xsi:type="dcterms:W3CDTF">2026-06-11T13:53:00Z</dcterms:created>
  <dcterms:modified xsi:type="dcterms:W3CDTF">2026-06-11T13:53:00Z</dcterms:modified>
</cp:coreProperties>
</file>