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0530" w:type="dxa"/>
        <w:tblLayout w:type="fixed"/>
        <w:tblLook w:val="00A0" w:firstRow="1" w:lastRow="0" w:firstColumn="1" w:lastColumn="0" w:noHBand="0" w:noVBand="0"/>
        <w:tblDescription w:val="Indicative Content table containing weekly class schedule.  Includes chapters &amp; topics, pre-class readings and homework questions."/>
      </w:tblPr>
      <w:tblGrid>
        <w:gridCol w:w="2250"/>
        <w:gridCol w:w="90"/>
        <w:gridCol w:w="1190"/>
        <w:gridCol w:w="222"/>
        <w:gridCol w:w="681"/>
        <w:gridCol w:w="2713"/>
        <w:gridCol w:w="1982"/>
        <w:gridCol w:w="636"/>
        <w:gridCol w:w="90"/>
        <w:gridCol w:w="676"/>
      </w:tblGrid>
      <w:tr w:rsidR="0005530D" w14:paraId="7847E4A2" w14:textId="77777777" w:rsidTr="0041513D">
        <w:trPr>
          <w:trHeight w:val="1802"/>
        </w:trPr>
        <w:tc>
          <w:tcPr>
            <w:tcW w:w="4433" w:type="dxa"/>
            <w:gridSpan w:val="5"/>
          </w:tcPr>
          <w:p w14:paraId="24FE7CDE" w14:textId="6C67C7F6" w:rsidR="0005530D" w:rsidRDefault="00940F72" w:rsidP="003166E5">
            <w:pPr>
              <w:ind w:left="-108"/>
              <w:rPr>
                <w:sz w:val="16"/>
                <w:szCs w:val="16"/>
              </w:rPr>
            </w:pPr>
            <w:r>
              <w:rPr>
                <w:noProof/>
                <w:lang w:eastAsia="en-CA"/>
              </w:rPr>
              <w:drawing>
                <wp:inline distT="0" distB="0" distL="0" distR="0" wp14:anchorId="41A312FA" wp14:editId="6ADE4772">
                  <wp:extent cx="18669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790575"/>
                          </a:xfrm>
                          <a:prstGeom prst="rect">
                            <a:avLst/>
                          </a:prstGeom>
                          <a:noFill/>
                          <a:ln>
                            <a:noFill/>
                          </a:ln>
                        </pic:spPr>
                      </pic:pic>
                    </a:graphicData>
                  </a:graphic>
                </wp:inline>
              </w:drawing>
            </w:r>
          </w:p>
          <w:p w14:paraId="52091A4D" w14:textId="0951170D" w:rsidR="0005530D" w:rsidRDefault="0005530D" w:rsidP="003166E5">
            <w:pPr>
              <w:ind w:left="-108"/>
              <w:rPr>
                <w:sz w:val="16"/>
                <w:szCs w:val="16"/>
              </w:rPr>
            </w:pPr>
          </w:p>
        </w:tc>
        <w:tc>
          <w:tcPr>
            <w:tcW w:w="6097" w:type="dxa"/>
            <w:gridSpan w:val="5"/>
          </w:tcPr>
          <w:p w14:paraId="4242EB04" w14:textId="77777777" w:rsidR="0005530D" w:rsidRDefault="0005530D" w:rsidP="003166E5">
            <w:pPr>
              <w:pStyle w:val="Title"/>
            </w:pPr>
          </w:p>
          <w:p w14:paraId="1C3ED9A3" w14:textId="77777777" w:rsidR="0005530D" w:rsidRDefault="0005530D" w:rsidP="003166E5">
            <w:pPr>
              <w:pStyle w:val="Title"/>
            </w:pPr>
            <w:r>
              <w:br/>
            </w:r>
          </w:p>
          <w:p w14:paraId="32300C3F" w14:textId="77777777" w:rsidR="0005530D" w:rsidRDefault="0005530D" w:rsidP="003166E5">
            <w:pPr>
              <w:pStyle w:val="Title"/>
            </w:pPr>
          </w:p>
          <w:p w14:paraId="7852920B" w14:textId="7610990F" w:rsidR="0005530D" w:rsidRDefault="004F7881" w:rsidP="003166E5">
            <w:pPr>
              <w:pStyle w:val="Title"/>
              <w:jc w:val="center"/>
            </w:pPr>
            <w:r>
              <w:t xml:space="preserve">ACCT*3340 </w:t>
            </w:r>
          </w:p>
          <w:p w14:paraId="75CCC2E4" w14:textId="7FCF8D7F" w:rsidR="004F7881" w:rsidRDefault="004F7881" w:rsidP="003166E5">
            <w:pPr>
              <w:pStyle w:val="Title"/>
              <w:jc w:val="center"/>
            </w:pPr>
            <w:r>
              <w:t>In</w:t>
            </w:r>
            <w:r w:rsidR="00F9574B">
              <w:t>termediate Financial Accounting</w:t>
            </w:r>
            <w:r>
              <w:t xml:space="preserve"> II</w:t>
            </w:r>
          </w:p>
          <w:p w14:paraId="12B9A2F0" w14:textId="2E682B64" w:rsidR="00796895" w:rsidRDefault="008B2E3B" w:rsidP="003166E5">
            <w:pPr>
              <w:pStyle w:val="Title"/>
              <w:jc w:val="center"/>
            </w:pPr>
            <w:r>
              <w:t xml:space="preserve">Fall </w:t>
            </w:r>
            <w:r w:rsidR="00ED40A7">
              <w:t>2019</w:t>
            </w:r>
          </w:p>
          <w:p w14:paraId="76AC9D3D" w14:textId="7D499810" w:rsidR="0005530D" w:rsidRDefault="0005530D" w:rsidP="003166E5">
            <w:pPr>
              <w:pStyle w:val="Title"/>
              <w:jc w:val="center"/>
            </w:pPr>
            <w:r>
              <w:t xml:space="preserve">0.5 </w:t>
            </w:r>
            <w:r w:rsidRPr="007D11B4">
              <w:t>Credit</w:t>
            </w:r>
            <w:r>
              <w:t>s</w:t>
            </w:r>
          </w:p>
          <w:p w14:paraId="0B5B9986" w14:textId="3C65763C" w:rsidR="003C4AAC" w:rsidRDefault="003C4AAC" w:rsidP="003166E5">
            <w:pPr>
              <w:pStyle w:val="Title"/>
              <w:jc w:val="center"/>
            </w:pPr>
          </w:p>
          <w:p w14:paraId="1B759F62" w14:textId="28954B1F" w:rsidR="003C4AAC" w:rsidRPr="0016685E" w:rsidRDefault="003C4AAC" w:rsidP="003166E5">
            <w:pPr>
              <w:pStyle w:val="Title"/>
              <w:jc w:val="center"/>
              <w:rPr>
                <w:rFonts w:ascii="Calibri" w:hAnsi="Calibri"/>
                <w:i/>
                <w:szCs w:val="28"/>
              </w:rPr>
            </w:pPr>
            <w:r>
              <w:t>AMENDED</w:t>
            </w:r>
          </w:p>
          <w:p w14:paraId="57191502" w14:textId="77777777" w:rsidR="0005530D" w:rsidRPr="00D27ACE" w:rsidRDefault="0005530D" w:rsidP="003166E5">
            <w:pPr>
              <w:rPr>
                <w:szCs w:val="22"/>
              </w:rPr>
            </w:pPr>
            <w:r w:rsidRPr="0016685E">
              <w:rPr>
                <w:rFonts w:ascii="Calibri" w:hAnsi="Calibri"/>
                <w:b/>
                <w:i/>
                <w:color w:val="BFBFBF"/>
              </w:rPr>
              <w:t xml:space="preserve"> </w:t>
            </w:r>
          </w:p>
        </w:tc>
      </w:tr>
      <w:tr w:rsidR="0005530D" w:rsidRPr="00256563" w14:paraId="216DC873" w14:textId="77777777" w:rsidTr="0041513D">
        <w:tc>
          <w:tcPr>
            <w:tcW w:w="10530" w:type="dxa"/>
            <w:gridSpan w:val="10"/>
            <w:shd w:val="clear" w:color="auto" w:fill="E0E0E0"/>
            <w:vAlign w:val="center"/>
          </w:tcPr>
          <w:p w14:paraId="791B252B" w14:textId="77777777" w:rsidR="0005530D" w:rsidRPr="00591659" w:rsidRDefault="0005530D" w:rsidP="003166E5">
            <w:pPr>
              <w:pStyle w:val="Heading1"/>
            </w:pPr>
            <w:r>
              <w:t>General Course Information</w:t>
            </w:r>
          </w:p>
        </w:tc>
      </w:tr>
      <w:tr w:rsidR="0005530D" w14:paraId="13C8A43E" w14:textId="77777777" w:rsidTr="0041513D">
        <w:tc>
          <w:tcPr>
            <w:tcW w:w="3752" w:type="dxa"/>
            <w:gridSpan w:val="4"/>
          </w:tcPr>
          <w:p w14:paraId="0BAFB7ED" w14:textId="77777777" w:rsidR="0005530D" w:rsidRPr="003166E5" w:rsidRDefault="0005530D" w:rsidP="003166E5">
            <w:pPr>
              <w:pStyle w:val="Heading2"/>
              <w:rPr>
                <w:szCs w:val="24"/>
              </w:rPr>
            </w:pPr>
            <w:r w:rsidRPr="003166E5">
              <w:rPr>
                <w:szCs w:val="24"/>
              </w:rPr>
              <w:t>Instructor:</w:t>
            </w:r>
          </w:p>
        </w:tc>
        <w:tc>
          <w:tcPr>
            <w:tcW w:w="6778" w:type="dxa"/>
            <w:gridSpan w:val="6"/>
            <w:vAlign w:val="center"/>
          </w:tcPr>
          <w:p w14:paraId="6F2FB1E6" w14:textId="6E6E80C3" w:rsidR="0005530D" w:rsidRPr="003166E5" w:rsidRDefault="00C113CA" w:rsidP="003166E5">
            <w:r>
              <w:t>Allan W. Foerster BBA, CPA-CA</w:t>
            </w:r>
          </w:p>
        </w:tc>
      </w:tr>
      <w:tr w:rsidR="0005530D" w14:paraId="2D9D1548" w14:textId="77777777" w:rsidTr="0041513D">
        <w:tc>
          <w:tcPr>
            <w:tcW w:w="3752" w:type="dxa"/>
            <w:gridSpan w:val="4"/>
          </w:tcPr>
          <w:p w14:paraId="1351905B" w14:textId="77777777" w:rsidR="0005530D" w:rsidRPr="003166E5" w:rsidRDefault="0005530D" w:rsidP="003166E5">
            <w:pPr>
              <w:rPr>
                <w:i/>
              </w:rPr>
            </w:pPr>
            <w:r w:rsidRPr="003166E5">
              <w:rPr>
                <w:i/>
              </w:rPr>
              <w:t>Email</w:t>
            </w:r>
          </w:p>
        </w:tc>
        <w:tc>
          <w:tcPr>
            <w:tcW w:w="6778" w:type="dxa"/>
            <w:gridSpan w:val="6"/>
            <w:vAlign w:val="center"/>
          </w:tcPr>
          <w:p w14:paraId="3B1B9E85" w14:textId="750F76EA" w:rsidR="0005530D" w:rsidRPr="003166E5" w:rsidRDefault="00C113CA" w:rsidP="003166E5">
            <w:r>
              <w:t>afoerste@uoguelph.ca</w:t>
            </w:r>
          </w:p>
        </w:tc>
      </w:tr>
      <w:tr w:rsidR="0005530D" w:rsidRPr="009F3D6D" w14:paraId="2A4E5F24" w14:textId="77777777" w:rsidTr="0041513D">
        <w:tc>
          <w:tcPr>
            <w:tcW w:w="3752" w:type="dxa"/>
            <w:gridSpan w:val="4"/>
          </w:tcPr>
          <w:p w14:paraId="7E463123" w14:textId="77777777" w:rsidR="0005530D" w:rsidRPr="003166E5" w:rsidRDefault="0005530D" w:rsidP="003166E5">
            <w:pPr>
              <w:rPr>
                <w:i/>
              </w:rPr>
            </w:pPr>
            <w:r w:rsidRPr="003166E5">
              <w:rPr>
                <w:i/>
              </w:rPr>
              <w:t xml:space="preserve">Office Location </w:t>
            </w:r>
          </w:p>
        </w:tc>
        <w:tc>
          <w:tcPr>
            <w:tcW w:w="6778" w:type="dxa"/>
            <w:gridSpan w:val="6"/>
            <w:vAlign w:val="center"/>
          </w:tcPr>
          <w:p w14:paraId="65D7FE94" w14:textId="2D09A8A0" w:rsidR="0005530D" w:rsidRPr="003166E5" w:rsidRDefault="00DB11B1" w:rsidP="003166E5">
            <w:pPr>
              <w:rPr>
                <w:i/>
              </w:rPr>
            </w:pPr>
            <w:r>
              <w:rPr>
                <w:i/>
              </w:rPr>
              <w:t>MAC 217</w:t>
            </w:r>
          </w:p>
        </w:tc>
      </w:tr>
      <w:tr w:rsidR="0005530D" w14:paraId="14D82714" w14:textId="77777777" w:rsidTr="0041513D">
        <w:tc>
          <w:tcPr>
            <w:tcW w:w="3752" w:type="dxa"/>
            <w:gridSpan w:val="4"/>
          </w:tcPr>
          <w:p w14:paraId="1BA4A6B9" w14:textId="77777777" w:rsidR="0005530D" w:rsidRPr="003166E5" w:rsidRDefault="003166E5" w:rsidP="003166E5">
            <w:pPr>
              <w:rPr>
                <w:i/>
              </w:rPr>
            </w:pPr>
            <w:r>
              <w:rPr>
                <w:i/>
              </w:rPr>
              <w:t>O</w:t>
            </w:r>
            <w:r w:rsidR="0005530D" w:rsidRPr="003166E5">
              <w:rPr>
                <w:i/>
              </w:rPr>
              <w:t xml:space="preserve">ffice Hours </w:t>
            </w:r>
          </w:p>
        </w:tc>
        <w:tc>
          <w:tcPr>
            <w:tcW w:w="6778" w:type="dxa"/>
            <w:gridSpan w:val="6"/>
            <w:vAlign w:val="center"/>
          </w:tcPr>
          <w:p w14:paraId="169CB4FE" w14:textId="2321E845" w:rsidR="0005530D" w:rsidRPr="003166E5" w:rsidRDefault="00C113CA" w:rsidP="003166E5">
            <w:r>
              <w:t>By appointment</w:t>
            </w:r>
          </w:p>
        </w:tc>
      </w:tr>
      <w:tr w:rsidR="0005530D" w14:paraId="43053086" w14:textId="77777777" w:rsidTr="0041513D">
        <w:tc>
          <w:tcPr>
            <w:tcW w:w="3752" w:type="dxa"/>
            <w:gridSpan w:val="4"/>
          </w:tcPr>
          <w:p w14:paraId="435FE396" w14:textId="77777777" w:rsidR="0005530D" w:rsidRPr="003166E5" w:rsidRDefault="0005530D" w:rsidP="003166E5">
            <w:pPr>
              <w:rPr>
                <w:i/>
              </w:rPr>
            </w:pPr>
            <w:r w:rsidRPr="003166E5">
              <w:rPr>
                <w:i/>
              </w:rPr>
              <w:t>Department/School</w:t>
            </w:r>
          </w:p>
        </w:tc>
        <w:tc>
          <w:tcPr>
            <w:tcW w:w="6778" w:type="dxa"/>
            <w:gridSpan w:val="6"/>
            <w:vAlign w:val="center"/>
          </w:tcPr>
          <w:p w14:paraId="50AAC99B" w14:textId="48586368" w:rsidR="0005530D" w:rsidRPr="003166E5" w:rsidRDefault="0041513D" w:rsidP="003166E5">
            <w:r>
              <w:t>Management</w:t>
            </w:r>
          </w:p>
        </w:tc>
      </w:tr>
      <w:tr w:rsidR="0005530D" w14:paraId="2840289B" w14:textId="77777777" w:rsidTr="0041513D">
        <w:tc>
          <w:tcPr>
            <w:tcW w:w="3752" w:type="dxa"/>
            <w:gridSpan w:val="4"/>
          </w:tcPr>
          <w:p w14:paraId="39237021" w14:textId="77777777" w:rsidR="0005530D" w:rsidRPr="008F1FEE" w:rsidRDefault="0005530D" w:rsidP="003166E5">
            <w:pPr>
              <w:rPr>
                <w:i/>
                <w:sz w:val="20"/>
              </w:rPr>
            </w:pPr>
          </w:p>
        </w:tc>
        <w:tc>
          <w:tcPr>
            <w:tcW w:w="6778" w:type="dxa"/>
            <w:gridSpan w:val="6"/>
            <w:vAlign w:val="center"/>
          </w:tcPr>
          <w:p w14:paraId="1F916799" w14:textId="77777777" w:rsidR="0005530D" w:rsidRPr="009D2CE2" w:rsidRDefault="0005530D" w:rsidP="003166E5">
            <w:pPr>
              <w:rPr>
                <w:sz w:val="20"/>
              </w:rPr>
            </w:pPr>
          </w:p>
        </w:tc>
      </w:tr>
      <w:tr w:rsidR="0005530D" w:rsidRPr="009F3D6D" w14:paraId="35C98D26" w14:textId="77777777" w:rsidTr="0041513D">
        <w:tc>
          <w:tcPr>
            <w:tcW w:w="3752" w:type="dxa"/>
            <w:gridSpan w:val="4"/>
          </w:tcPr>
          <w:p w14:paraId="40629BD9" w14:textId="77777777" w:rsidR="0005530D" w:rsidRPr="003166E5" w:rsidRDefault="0005530D" w:rsidP="003166E5">
            <w:pPr>
              <w:pStyle w:val="Heading2"/>
              <w:rPr>
                <w:szCs w:val="24"/>
              </w:rPr>
            </w:pPr>
            <w:r w:rsidRPr="003166E5">
              <w:rPr>
                <w:szCs w:val="24"/>
              </w:rPr>
              <w:t>Class Schedule</w:t>
            </w:r>
            <w:bookmarkStart w:id="0" w:name="_GoBack"/>
            <w:bookmarkEnd w:id="0"/>
            <w:r w:rsidRPr="003166E5">
              <w:rPr>
                <w:szCs w:val="24"/>
              </w:rPr>
              <w:t xml:space="preserve">: </w:t>
            </w:r>
          </w:p>
        </w:tc>
        <w:tc>
          <w:tcPr>
            <w:tcW w:w="6778" w:type="dxa"/>
            <w:gridSpan w:val="6"/>
            <w:vAlign w:val="center"/>
          </w:tcPr>
          <w:p w14:paraId="27CCC47E" w14:textId="77777777" w:rsidR="008B2E3B" w:rsidRDefault="008B2E3B" w:rsidP="003166E5"/>
          <w:p w14:paraId="1B307009" w14:textId="1B39B2C6" w:rsidR="008B2E3B" w:rsidRDefault="008B2E3B" w:rsidP="003166E5">
            <w:r>
              <w:t>Monday/Wednesday 11:30-1:00 and 2:30-4:00</w:t>
            </w:r>
          </w:p>
          <w:p w14:paraId="0F8C0B82" w14:textId="7AA031AF" w:rsidR="006405D0" w:rsidRDefault="006405D0" w:rsidP="003166E5">
            <w:r>
              <w:t>Please note midterm timing on:</w:t>
            </w:r>
          </w:p>
          <w:p w14:paraId="6E9F0BF2" w14:textId="7DFAD617" w:rsidR="006405D0" w:rsidRPr="00DB11B1" w:rsidRDefault="003C4AAC" w:rsidP="003166E5">
            <w:r>
              <w:t>Wednesday October 2, 3019</w:t>
            </w:r>
            <w:r w:rsidRPr="003C4AAC">
              <w:rPr>
                <w:b/>
              </w:rPr>
              <w:t xml:space="preserve"> IN CLASS</w:t>
            </w:r>
          </w:p>
          <w:p w14:paraId="5E100CEF" w14:textId="0C73B407" w:rsidR="0005530D" w:rsidRDefault="003C4AAC" w:rsidP="006405D0">
            <w:r>
              <w:t xml:space="preserve">Wednesday November 6, 2019 </w:t>
            </w:r>
            <w:r w:rsidRPr="003C4AAC">
              <w:rPr>
                <w:b/>
              </w:rPr>
              <w:t>IN CLASS</w:t>
            </w:r>
          </w:p>
          <w:p w14:paraId="2201AFFF" w14:textId="76948C02" w:rsidR="006405D0" w:rsidRPr="003166E5" w:rsidRDefault="006405D0" w:rsidP="006405D0">
            <w:r>
              <w:t>Please inform the instructor ASAP if you have an academic conflict with this timing.</w:t>
            </w:r>
          </w:p>
        </w:tc>
      </w:tr>
      <w:tr w:rsidR="0005530D" w14:paraId="098D6090" w14:textId="77777777" w:rsidTr="0041513D">
        <w:tc>
          <w:tcPr>
            <w:tcW w:w="3752" w:type="dxa"/>
            <w:gridSpan w:val="4"/>
          </w:tcPr>
          <w:p w14:paraId="1038B789" w14:textId="77777777" w:rsidR="0005530D" w:rsidRPr="00256563" w:rsidRDefault="0005530D" w:rsidP="003166E5">
            <w:pPr>
              <w:pStyle w:val="Heading2"/>
            </w:pPr>
            <w:r w:rsidRPr="00256563">
              <w:t>Pre-requisites:</w:t>
            </w:r>
          </w:p>
        </w:tc>
        <w:tc>
          <w:tcPr>
            <w:tcW w:w="6778" w:type="dxa"/>
            <w:gridSpan w:val="6"/>
            <w:vAlign w:val="center"/>
          </w:tcPr>
          <w:p w14:paraId="6AE5B63E" w14:textId="77777777" w:rsidR="0005530D" w:rsidRPr="00C35596" w:rsidRDefault="007952D2" w:rsidP="003166E5">
            <w:pPr>
              <w:rPr>
                <w:sz w:val="20"/>
              </w:rPr>
            </w:pPr>
            <w:r w:rsidRPr="00E03311">
              <w:rPr>
                <w:sz w:val="22"/>
              </w:rPr>
              <w:t>ACCT*3330</w:t>
            </w:r>
          </w:p>
        </w:tc>
      </w:tr>
      <w:tr w:rsidR="0005530D" w:rsidRPr="009F3D6D" w14:paraId="7E1E44E9" w14:textId="77777777" w:rsidTr="0041513D">
        <w:tc>
          <w:tcPr>
            <w:tcW w:w="3752" w:type="dxa"/>
            <w:gridSpan w:val="4"/>
          </w:tcPr>
          <w:p w14:paraId="0FBE277E" w14:textId="77777777" w:rsidR="0005530D" w:rsidRPr="009F3D6D" w:rsidRDefault="0005530D" w:rsidP="003166E5">
            <w:pPr>
              <w:pStyle w:val="Heading2"/>
            </w:pPr>
            <w:r>
              <w:t>Restrictions</w:t>
            </w:r>
            <w:r w:rsidRPr="009F3D6D">
              <w:t>:</w:t>
            </w:r>
          </w:p>
        </w:tc>
        <w:tc>
          <w:tcPr>
            <w:tcW w:w="6778" w:type="dxa"/>
            <w:gridSpan w:val="6"/>
            <w:vAlign w:val="center"/>
          </w:tcPr>
          <w:p w14:paraId="0CFDC293" w14:textId="77777777" w:rsidR="0005530D" w:rsidRPr="00E25603" w:rsidRDefault="0005530D" w:rsidP="003166E5">
            <w:pPr>
              <w:rPr>
                <w:sz w:val="20"/>
              </w:rPr>
            </w:pPr>
          </w:p>
        </w:tc>
      </w:tr>
      <w:tr w:rsidR="0005530D" w14:paraId="3051B323" w14:textId="77777777" w:rsidTr="0041513D">
        <w:tc>
          <w:tcPr>
            <w:tcW w:w="10530" w:type="dxa"/>
            <w:gridSpan w:val="10"/>
            <w:shd w:val="clear" w:color="auto" w:fill="E0E0E0"/>
          </w:tcPr>
          <w:p w14:paraId="6A4691BB" w14:textId="77777777" w:rsidR="0005530D" w:rsidRPr="007D11B4" w:rsidRDefault="0005530D" w:rsidP="003166E5">
            <w:pPr>
              <w:pStyle w:val="Heading1"/>
            </w:pPr>
            <w:r w:rsidRPr="007D11B4">
              <w:t xml:space="preserve">Course Description </w:t>
            </w:r>
          </w:p>
        </w:tc>
      </w:tr>
      <w:tr w:rsidR="0005530D" w14:paraId="65921348" w14:textId="77777777" w:rsidTr="0041513D">
        <w:tc>
          <w:tcPr>
            <w:tcW w:w="10530" w:type="dxa"/>
            <w:gridSpan w:val="10"/>
          </w:tcPr>
          <w:p w14:paraId="6D580A5A" w14:textId="2550C032" w:rsidR="0005530D" w:rsidRPr="00E03311" w:rsidRDefault="004F7881" w:rsidP="007952D2">
            <w:pPr>
              <w:spacing w:before="120" w:after="120"/>
              <w:jc w:val="both"/>
              <w:rPr>
                <w:sz w:val="22"/>
              </w:rPr>
            </w:pPr>
            <w:r w:rsidRPr="00E03311">
              <w:rPr>
                <w:sz w:val="22"/>
              </w:rPr>
              <w:t>T</w:t>
            </w:r>
            <w:r w:rsidR="00E03311">
              <w:rPr>
                <w:sz w:val="22"/>
              </w:rPr>
              <w:t>his course focuses on how entities account for current and non-current liabilities and equity accounts, including, income taxes, leases, pensions and other post retirement benefits, share equity and retained earnings, stock options. Additional topics may include earnings per share, restatements and statement analysis.</w:t>
            </w:r>
          </w:p>
        </w:tc>
      </w:tr>
      <w:tr w:rsidR="0005530D" w14:paraId="3D568068" w14:textId="77777777" w:rsidTr="0041513D">
        <w:tc>
          <w:tcPr>
            <w:tcW w:w="10530" w:type="dxa"/>
            <w:gridSpan w:val="10"/>
            <w:shd w:val="clear" w:color="auto" w:fill="E0E0E0"/>
          </w:tcPr>
          <w:p w14:paraId="2FFAA346" w14:textId="77777777" w:rsidR="0005530D" w:rsidRPr="00256563" w:rsidRDefault="0005530D" w:rsidP="003166E5">
            <w:pPr>
              <w:pStyle w:val="Heading1"/>
            </w:pPr>
            <w:r>
              <w:t xml:space="preserve">Course Learning Outcomes  </w:t>
            </w:r>
            <w:r w:rsidRPr="00591659">
              <w:rPr>
                <w:i/>
              </w:rPr>
              <w:t xml:space="preserve"> </w:t>
            </w:r>
          </w:p>
        </w:tc>
      </w:tr>
      <w:tr w:rsidR="0005530D" w14:paraId="3D078F60" w14:textId="77777777" w:rsidTr="0041513D">
        <w:tc>
          <w:tcPr>
            <w:tcW w:w="10530" w:type="dxa"/>
            <w:gridSpan w:val="10"/>
          </w:tcPr>
          <w:p w14:paraId="72725257" w14:textId="77777777" w:rsidR="004F7881" w:rsidRPr="00E03311" w:rsidRDefault="004F7881" w:rsidP="004F7881">
            <w:pPr>
              <w:spacing w:before="120"/>
              <w:rPr>
                <w:b/>
                <w:szCs w:val="22"/>
              </w:rPr>
            </w:pPr>
            <w:r w:rsidRPr="00E03311">
              <w:rPr>
                <w:b/>
                <w:szCs w:val="22"/>
              </w:rPr>
              <w:t>Upon successfully completing this course, you will be able to:</w:t>
            </w:r>
          </w:p>
          <w:p w14:paraId="26CDC5B9" w14:textId="77777777" w:rsidR="004F7881" w:rsidRPr="00E03311" w:rsidRDefault="004F7881" w:rsidP="004F7881">
            <w:pPr>
              <w:widowControl w:val="0"/>
              <w:numPr>
                <w:ilvl w:val="0"/>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spacing w:before="120"/>
              <w:rPr>
                <w:rFonts w:cs="Arial"/>
                <w:sz w:val="22"/>
              </w:rPr>
            </w:pPr>
            <w:r w:rsidRPr="00E03311">
              <w:rPr>
                <w:rFonts w:cs="Arial"/>
                <w:sz w:val="22"/>
              </w:rPr>
              <w:t>Apply generally accepted accounting principles and practices to situations with moderate complexity as they relate to the following topics:</w:t>
            </w:r>
          </w:p>
          <w:p w14:paraId="3F271642" w14:textId="77777777" w:rsidR="004F7881" w:rsidRPr="00E03311" w:rsidRDefault="004F7881" w:rsidP="004F7881">
            <w:pPr>
              <w:widowControl w:val="0"/>
              <w:numPr>
                <w:ilvl w:val="1"/>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rPr>
                <w:rFonts w:cs="Arial"/>
                <w:sz w:val="22"/>
              </w:rPr>
            </w:pPr>
            <w:r w:rsidRPr="00E03311">
              <w:rPr>
                <w:rFonts w:cs="Arial"/>
                <w:sz w:val="22"/>
              </w:rPr>
              <w:t>Current liabilities</w:t>
            </w:r>
          </w:p>
          <w:p w14:paraId="598DC9D3" w14:textId="77777777" w:rsidR="004F7881" w:rsidRPr="00E03311" w:rsidRDefault="004F7881" w:rsidP="004F7881">
            <w:pPr>
              <w:widowControl w:val="0"/>
              <w:numPr>
                <w:ilvl w:val="1"/>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rPr>
                <w:rFonts w:cs="Arial"/>
                <w:sz w:val="22"/>
              </w:rPr>
            </w:pPr>
            <w:r w:rsidRPr="00E03311">
              <w:rPr>
                <w:rFonts w:cs="Arial"/>
                <w:sz w:val="22"/>
              </w:rPr>
              <w:t>Long term financial liabilities</w:t>
            </w:r>
          </w:p>
          <w:p w14:paraId="2F849A6A" w14:textId="77777777" w:rsidR="004F7881" w:rsidRPr="00E03311" w:rsidRDefault="004F7881" w:rsidP="004F7881">
            <w:pPr>
              <w:widowControl w:val="0"/>
              <w:numPr>
                <w:ilvl w:val="1"/>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rPr>
                <w:rFonts w:cs="Arial"/>
                <w:sz w:val="22"/>
              </w:rPr>
            </w:pPr>
            <w:r w:rsidRPr="00E03311">
              <w:rPr>
                <w:rFonts w:cs="Arial"/>
                <w:sz w:val="22"/>
              </w:rPr>
              <w:t>Accounting for leases, pensions, deferred taxes and asset retirement obligations</w:t>
            </w:r>
          </w:p>
          <w:p w14:paraId="0D24AA87" w14:textId="77777777" w:rsidR="004F7881" w:rsidRPr="00E03311" w:rsidRDefault="004F7881" w:rsidP="004F7881">
            <w:pPr>
              <w:widowControl w:val="0"/>
              <w:numPr>
                <w:ilvl w:val="1"/>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rPr>
                <w:rFonts w:cs="Arial"/>
                <w:sz w:val="22"/>
              </w:rPr>
            </w:pPr>
            <w:r w:rsidRPr="00E03311">
              <w:rPr>
                <w:rFonts w:cs="Arial"/>
                <w:sz w:val="22"/>
              </w:rPr>
              <w:t>Shareholders’ equity</w:t>
            </w:r>
          </w:p>
          <w:p w14:paraId="52AEC499" w14:textId="77777777" w:rsidR="004F7881" w:rsidRPr="00E03311" w:rsidRDefault="004F7881" w:rsidP="004F7881">
            <w:pPr>
              <w:widowControl w:val="0"/>
              <w:numPr>
                <w:ilvl w:val="1"/>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rPr>
                <w:rFonts w:cs="Arial"/>
                <w:sz w:val="22"/>
              </w:rPr>
            </w:pPr>
            <w:r w:rsidRPr="00E03311">
              <w:rPr>
                <w:rFonts w:cs="Arial"/>
                <w:sz w:val="22"/>
              </w:rPr>
              <w:t>Other measurement and disclosure issues such as earnings per share, interim and segmented reporting, subsequent events and related party transactions</w:t>
            </w:r>
          </w:p>
          <w:p w14:paraId="15B90D55" w14:textId="77777777" w:rsidR="004F7881" w:rsidRPr="00E03311" w:rsidRDefault="004F7881" w:rsidP="004F7881">
            <w:pPr>
              <w:widowControl w:val="0"/>
              <w:numPr>
                <w:ilvl w:val="0"/>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rPr>
                <w:rFonts w:cstheme="minorHAnsi"/>
                <w:sz w:val="22"/>
              </w:rPr>
            </w:pPr>
            <w:r w:rsidRPr="00E03311">
              <w:rPr>
                <w:rFonts w:cstheme="minorHAnsi"/>
                <w:sz w:val="22"/>
              </w:rPr>
              <w:lastRenderedPageBreak/>
              <w:t>Prepare financial statement information related to the above noted topics.</w:t>
            </w:r>
          </w:p>
          <w:p w14:paraId="774130FF" w14:textId="77777777" w:rsidR="004F7881" w:rsidRPr="00E03311" w:rsidRDefault="004F7881" w:rsidP="004F7881">
            <w:pPr>
              <w:widowControl w:val="0"/>
              <w:numPr>
                <w:ilvl w:val="0"/>
                <w:numId w:val="6"/>
              </w:numPr>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rPr>
                <w:rFonts w:cstheme="minorHAnsi"/>
                <w:sz w:val="22"/>
              </w:rPr>
            </w:pPr>
            <w:r w:rsidRPr="00E03311">
              <w:rPr>
                <w:rFonts w:cstheme="minorHAnsi"/>
                <w:sz w:val="22"/>
              </w:rPr>
              <w:t>Analyze moderately complex accounting issues and research alternative treatments in support of a recommended solution.</w:t>
            </w:r>
          </w:p>
          <w:p w14:paraId="1B018C8B" w14:textId="76C56552" w:rsidR="004F7881" w:rsidRDefault="004F7881" w:rsidP="004F7881">
            <w:pPr>
              <w:pStyle w:val="Default"/>
              <w:numPr>
                <w:ilvl w:val="0"/>
                <w:numId w:val="6"/>
              </w:numPr>
              <w:rPr>
                <w:rFonts w:asciiTheme="minorHAnsi" w:hAnsiTheme="minorHAnsi" w:cstheme="minorHAnsi"/>
                <w:sz w:val="22"/>
                <w:lang w:val="en-CA"/>
              </w:rPr>
            </w:pPr>
            <w:r w:rsidRPr="00E03311">
              <w:rPr>
                <w:rFonts w:asciiTheme="minorHAnsi" w:hAnsiTheme="minorHAnsi" w:cstheme="minorHAnsi"/>
                <w:sz w:val="22"/>
                <w:lang w:val="en-CA"/>
              </w:rPr>
              <w:t>Communicate effectively in written format in response to less structured problems.</w:t>
            </w:r>
          </w:p>
          <w:p w14:paraId="0DCCE664" w14:textId="7DEBAA14" w:rsidR="00881042" w:rsidRPr="00881042" w:rsidRDefault="00881042" w:rsidP="004F7881">
            <w:pPr>
              <w:pStyle w:val="Default"/>
              <w:numPr>
                <w:ilvl w:val="0"/>
                <w:numId w:val="6"/>
              </w:numPr>
              <w:rPr>
                <w:rFonts w:asciiTheme="minorHAnsi" w:hAnsiTheme="minorHAnsi" w:cstheme="minorHAnsi"/>
                <w:sz w:val="22"/>
                <w:lang w:val="en-CA"/>
              </w:rPr>
            </w:pPr>
            <w:r w:rsidRPr="00881042">
              <w:rPr>
                <w:rFonts w:asciiTheme="minorHAnsi" w:hAnsiTheme="minorHAnsi" w:cstheme="minorHAnsi"/>
                <w:sz w:val="22"/>
                <w:lang w:val="en-CA"/>
              </w:rPr>
              <w:t xml:space="preserve">Demonstrate </w:t>
            </w:r>
            <w:r w:rsidRPr="00881042">
              <w:rPr>
                <w:rFonts w:asciiTheme="minorHAnsi" w:hAnsiTheme="minorHAnsi" w:cstheme="minorHAnsi"/>
                <w:sz w:val="22"/>
              </w:rPr>
              <w:t>an awareness of ethical and professional reporting responsibilities as they relate to financial reporting.</w:t>
            </w:r>
          </w:p>
          <w:p w14:paraId="5889E448" w14:textId="7EAC5D46" w:rsidR="0005530D" w:rsidRPr="00F9574B" w:rsidRDefault="0005530D" w:rsidP="00881042">
            <w:pPr>
              <w:widowControl w:val="0"/>
              <w:tabs>
                <w:tab w:val="left" w:pos="-1080"/>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ind w:left="720"/>
              <w:rPr>
                <w:rFonts w:cstheme="minorHAnsi"/>
                <w:sz w:val="22"/>
              </w:rPr>
            </w:pPr>
          </w:p>
        </w:tc>
      </w:tr>
      <w:tr w:rsidR="00E03311" w14:paraId="50D7187F" w14:textId="77777777" w:rsidTr="0041513D">
        <w:tc>
          <w:tcPr>
            <w:tcW w:w="10530" w:type="dxa"/>
            <w:gridSpan w:val="10"/>
          </w:tcPr>
          <w:p w14:paraId="54B4B8EC" w14:textId="77777777" w:rsidR="00B04F3D" w:rsidRDefault="00B04F3D" w:rsidP="00B04F3D">
            <w:pPr>
              <w:jc w:val="center"/>
              <w:rPr>
                <w:rFonts w:ascii="Times New" w:hAnsi="Times New" w:cs="Shruti"/>
                <w:b/>
                <w:szCs w:val="20"/>
                <w:lang w:val="en-US" w:bidi="gu-IN"/>
              </w:rPr>
            </w:pPr>
          </w:p>
          <w:p w14:paraId="7AC36ABD" w14:textId="77777777" w:rsidR="005171B7" w:rsidRDefault="005171B7" w:rsidP="00B04F3D">
            <w:pPr>
              <w:jc w:val="center"/>
              <w:rPr>
                <w:rFonts w:ascii="Times New" w:hAnsi="Times New" w:cs="Shruti"/>
                <w:b/>
                <w:szCs w:val="20"/>
                <w:lang w:val="en-US" w:bidi="gu-IN"/>
              </w:rPr>
            </w:pPr>
          </w:p>
          <w:p w14:paraId="58D681FF" w14:textId="77777777" w:rsidR="005171B7" w:rsidRDefault="005171B7" w:rsidP="00B04F3D">
            <w:pPr>
              <w:jc w:val="center"/>
              <w:rPr>
                <w:rFonts w:ascii="Times New" w:hAnsi="Times New" w:cs="Shruti"/>
                <w:b/>
                <w:szCs w:val="20"/>
                <w:lang w:val="en-US" w:bidi="gu-IN"/>
              </w:rPr>
            </w:pPr>
          </w:p>
          <w:p w14:paraId="3A9B3C55" w14:textId="6786FF14" w:rsidR="00B04F3D" w:rsidRPr="00573554" w:rsidRDefault="00B04F3D" w:rsidP="00B04F3D">
            <w:pPr>
              <w:jc w:val="center"/>
              <w:rPr>
                <w:rFonts w:ascii="Times New" w:hAnsi="Times New" w:cs="Shruti"/>
                <w:szCs w:val="20"/>
                <w:lang w:val="en-US" w:bidi="gu-IN"/>
              </w:rPr>
            </w:pPr>
            <w:r w:rsidRPr="00573554">
              <w:rPr>
                <w:rFonts w:ascii="Times New" w:hAnsi="Times New" w:cs="Shruti"/>
                <w:b/>
                <w:szCs w:val="20"/>
                <w:lang w:val="en-US" w:bidi="gu-IN"/>
              </w:rPr>
              <w:t xml:space="preserve">TENTATIVE CLASS SCHEDULE – </w:t>
            </w:r>
            <w:r w:rsidR="005A6EF8">
              <w:rPr>
                <w:rFonts w:ascii="Times New" w:hAnsi="Times New" w:cs="Shruti"/>
                <w:b/>
                <w:szCs w:val="20"/>
                <w:lang w:val="en-US" w:bidi="gu-IN"/>
              </w:rPr>
              <w:t>Fall 20</w:t>
            </w:r>
            <w:r w:rsidRPr="00573554">
              <w:rPr>
                <w:rFonts w:ascii="Times New" w:hAnsi="Times New" w:cs="Shruti"/>
                <w:b/>
                <w:szCs w:val="20"/>
                <w:lang w:val="en-US" w:bidi="gu-IN"/>
              </w:rPr>
              <w:t>19</w:t>
            </w:r>
          </w:p>
          <w:p w14:paraId="706663FD" w14:textId="77777777" w:rsidR="00B04F3D" w:rsidRPr="00573554" w:rsidRDefault="00B04F3D" w:rsidP="00B04F3D">
            <w:pPr>
              <w:rPr>
                <w:rFonts w:ascii="Times New" w:hAnsi="Times New" w:cs="Shruti"/>
                <w:sz w:val="20"/>
                <w:szCs w:val="20"/>
                <w:lang w:val="en-US" w:bidi="gu-IN"/>
              </w:rPr>
            </w:pPr>
          </w:p>
          <w:tbl>
            <w:tblPr>
              <w:tblW w:w="10488" w:type="dxa"/>
              <w:tblInd w:w="120" w:type="dxa"/>
              <w:tblLayout w:type="fixed"/>
              <w:tblCellMar>
                <w:left w:w="120" w:type="dxa"/>
                <w:right w:w="120" w:type="dxa"/>
              </w:tblCellMar>
              <w:tblLook w:val="0000" w:firstRow="0" w:lastRow="0" w:firstColumn="0" w:lastColumn="0" w:noHBand="0" w:noVBand="0"/>
            </w:tblPr>
            <w:tblGrid>
              <w:gridCol w:w="993"/>
              <w:gridCol w:w="3969"/>
              <w:gridCol w:w="1559"/>
              <w:gridCol w:w="3967"/>
            </w:tblGrid>
            <w:tr w:rsidR="00B04F3D" w:rsidRPr="00573554" w14:paraId="433DCD19" w14:textId="77777777" w:rsidTr="0041513D">
              <w:trPr>
                <w:trHeight w:val="739"/>
              </w:trPr>
              <w:tc>
                <w:tcPr>
                  <w:tcW w:w="993" w:type="dxa"/>
                  <w:tcBorders>
                    <w:top w:val="single" w:sz="4" w:space="0" w:color="auto"/>
                    <w:left w:val="single" w:sz="4" w:space="0" w:color="auto"/>
                    <w:bottom w:val="single" w:sz="4" w:space="0" w:color="auto"/>
                    <w:right w:val="single" w:sz="4" w:space="0" w:color="auto"/>
                  </w:tcBorders>
                </w:tcPr>
                <w:p w14:paraId="3F0EEF8F" w14:textId="3C3D2CD8" w:rsidR="00B04F3D" w:rsidRPr="00573554" w:rsidRDefault="00FC6D4F"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Date</w:t>
                  </w:r>
                  <w:r w:rsidR="00B04F3D" w:rsidRPr="00573554">
                    <w:rPr>
                      <w:rFonts w:ascii="Times New Roman" w:hAnsi="Times New Roman" w:cs="Shruti"/>
                      <w:sz w:val="22"/>
                      <w:szCs w:val="22"/>
                      <w:lang w:val="en-US" w:bidi="gu-IN"/>
                    </w:rPr>
                    <w:t xml:space="preserve">                  </w:t>
                  </w:r>
                </w:p>
              </w:tc>
              <w:tc>
                <w:tcPr>
                  <w:tcW w:w="3969" w:type="dxa"/>
                  <w:tcBorders>
                    <w:top w:val="single" w:sz="4" w:space="0" w:color="auto"/>
                    <w:left w:val="single" w:sz="4" w:space="0" w:color="auto"/>
                    <w:bottom w:val="single" w:sz="4" w:space="0" w:color="auto"/>
                    <w:right w:val="single" w:sz="4" w:space="0" w:color="auto"/>
                  </w:tcBorders>
                </w:tcPr>
                <w:p w14:paraId="3B091C83"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READINGS (Note: chapter coverage will generally start in the week noted, but may be completed in the following week)</w:t>
                  </w:r>
                </w:p>
              </w:tc>
              <w:tc>
                <w:tcPr>
                  <w:tcW w:w="1559" w:type="dxa"/>
                  <w:tcBorders>
                    <w:top w:val="single" w:sz="4" w:space="0" w:color="auto"/>
                    <w:left w:val="single" w:sz="4" w:space="0" w:color="auto"/>
                    <w:bottom w:val="single" w:sz="4" w:space="0" w:color="auto"/>
                    <w:right w:val="single" w:sz="4" w:space="0" w:color="auto"/>
                  </w:tcBorders>
                </w:tcPr>
                <w:p w14:paraId="6797A614" w14:textId="4CAE110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K</w:t>
                  </w:r>
                  <w:r w:rsidR="0041513D">
                    <w:rPr>
                      <w:rFonts w:ascii="Times New Roman" w:hAnsi="Times New Roman" w:cs="Shruti"/>
                      <w:sz w:val="22"/>
                      <w:szCs w:val="22"/>
                      <w:lang w:val="en-US" w:bidi="gu-IN"/>
                    </w:rPr>
                    <w:t>IE</w:t>
                  </w:r>
                  <w:r w:rsidRPr="00573554">
                    <w:rPr>
                      <w:rFonts w:ascii="Times New Roman" w:hAnsi="Times New Roman" w:cs="Shruti"/>
                      <w:sz w:val="22"/>
                      <w:szCs w:val="22"/>
                      <w:lang w:val="en-US" w:bidi="gu-IN"/>
                    </w:rPr>
                    <w:t>SO</w:t>
                  </w:r>
                </w:p>
                <w:p w14:paraId="3FCB3AF6"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Vol. 2 – Chapters &amp; Appendices</w:t>
                  </w:r>
                </w:p>
              </w:tc>
              <w:tc>
                <w:tcPr>
                  <w:tcW w:w="3967" w:type="dxa"/>
                  <w:tcBorders>
                    <w:top w:val="single" w:sz="4" w:space="0" w:color="auto"/>
                    <w:left w:val="single" w:sz="4" w:space="0" w:color="auto"/>
                    <w:bottom w:val="single" w:sz="4" w:space="0" w:color="auto"/>
                    <w:right w:val="single" w:sz="4" w:space="0" w:color="auto"/>
                  </w:tcBorders>
                </w:tcPr>
                <w:p w14:paraId="72A1C635"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DISCUSSION PROBLEMS and (tentative) timing of ASSIGNMENTS, CASES &amp; MIDTERM Exam</w:t>
                  </w:r>
                </w:p>
              </w:tc>
            </w:tr>
            <w:tr w:rsidR="00B04F3D" w:rsidRPr="00573554" w14:paraId="0DA19F28" w14:textId="77777777" w:rsidTr="0041513D">
              <w:trPr>
                <w:trHeight w:val="621"/>
              </w:trPr>
              <w:tc>
                <w:tcPr>
                  <w:tcW w:w="993" w:type="dxa"/>
                  <w:tcBorders>
                    <w:top w:val="single" w:sz="4" w:space="0" w:color="auto"/>
                    <w:left w:val="single" w:sz="4" w:space="0" w:color="auto"/>
                    <w:bottom w:val="single" w:sz="4" w:space="0" w:color="auto"/>
                    <w:right w:val="single" w:sz="4" w:space="0" w:color="auto"/>
                  </w:tcBorders>
                </w:tcPr>
                <w:p w14:paraId="34F21D03" w14:textId="2E522C1E" w:rsidR="00B04F3D" w:rsidRPr="00573554" w:rsidRDefault="008B2E3B" w:rsidP="003C4AAC">
                  <w:pPr>
                    <w:framePr w:hSpace="180" w:wrap="around" w:vAnchor="text" w:hAnchor="text" w:y="1"/>
                    <w:suppressOverlap/>
                    <w:rPr>
                      <w:rFonts w:ascii="Times New Roman" w:hAnsi="Times New Roman" w:cs="Shruti"/>
                      <w:sz w:val="22"/>
                      <w:szCs w:val="22"/>
                      <w:lang w:val="en-US" w:bidi="gu-IN"/>
                    </w:rPr>
                  </w:pPr>
                  <w:r>
                    <w:rPr>
                      <w:rFonts w:ascii="Times New Roman" w:hAnsi="Times New Roman" w:cs="Shruti"/>
                      <w:sz w:val="22"/>
                      <w:szCs w:val="22"/>
                      <w:lang w:val="en-US" w:bidi="gu-IN"/>
                    </w:rPr>
                    <w:t>Sept 9&amp;11</w:t>
                  </w:r>
                </w:p>
              </w:tc>
              <w:tc>
                <w:tcPr>
                  <w:tcW w:w="3969" w:type="dxa"/>
                  <w:tcBorders>
                    <w:top w:val="single" w:sz="4" w:space="0" w:color="auto"/>
                    <w:left w:val="single" w:sz="4" w:space="0" w:color="auto"/>
                    <w:bottom w:val="single" w:sz="4" w:space="0" w:color="auto"/>
                    <w:right w:val="single" w:sz="4" w:space="0" w:color="auto"/>
                  </w:tcBorders>
                </w:tcPr>
                <w:p w14:paraId="474FC944"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Non-Financial and Current Liabilities</w:t>
                  </w:r>
                </w:p>
                <w:p w14:paraId="5AE912FD"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IAS 37 </w:t>
                  </w:r>
                </w:p>
              </w:tc>
              <w:tc>
                <w:tcPr>
                  <w:tcW w:w="1559" w:type="dxa"/>
                  <w:tcBorders>
                    <w:top w:val="single" w:sz="4" w:space="0" w:color="auto"/>
                    <w:left w:val="single" w:sz="4" w:space="0" w:color="auto"/>
                    <w:bottom w:val="single" w:sz="4" w:space="0" w:color="auto"/>
                    <w:right w:val="single" w:sz="4" w:space="0" w:color="auto"/>
                  </w:tcBorders>
                </w:tcPr>
                <w:p w14:paraId="3A8A5338" w14:textId="77777777" w:rsidR="00B04F3D" w:rsidRPr="00573554" w:rsidRDefault="00B04F3D" w:rsidP="003C4AAC">
                  <w:pPr>
                    <w:framePr w:hSpace="180" w:wrap="around" w:vAnchor="text" w:hAnchor="text" w:y="1"/>
                    <w:suppressOverlap/>
                    <w:rPr>
                      <w:rFonts w:ascii="Times New Roman" w:hAnsi="Times New Roman" w:cs="Shruti"/>
                      <w:sz w:val="22"/>
                      <w:szCs w:val="22"/>
                      <w:lang w:val="fr-FR" w:bidi="gu-IN"/>
                    </w:rPr>
                  </w:pPr>
                  <w:r w:rsidRPr="00573554">
                    <w:rPr>
                      <w:rFonts w:ascii="Times New Roman" w:hAnsi="Times New Roman" w:cs="Shruti"/>
                      <w:sz w:val="22"/>
                      <w:szCs w:val="22"/>
                      <w:lang w:val="fr-FR" w:bidi="gu-IN"/>
                    </w:rPr>
                    <w:t>Ch. 13</w:t>
                  </w:r>
                </w:p>
              </w:tc>
              <w:tc>
                <w:tcPr>
                  <w:tcW w:w="3967" w:type="dxa"/>
                  <w:tcBorders>
                    <w:top w:val="single" w:sz="4" w:space="0" w:color="auto"/>
                    <w:left w:val="single" w:sz="4" w:space="0" w:color="auto"/>
                    <w:bottom w:val="single" w:sz="4" w:space="0" w:color="auto"/>
                    <w:right w:val="single" w:sz="4" w:space="0" w:color="auto"/>
                  </w:tcBorders>
                </w:tcPr>
                <w:p w14:paraId="67A766FB" w14:textId="77777777" w:rsidR="00B04F3D" w:rsidRPr="00573554" w:rsidRDefault="00B04F3D" w:rsidP="003C4AAC">
                  <w:pPr>
                    <w:framePr w:hSpace="180" w:wrap="around" w:vAnchor="text" w:hAnchor="text" w:y="1"/>
                    <w:suppressOverlap/>
                    <w:rPr>
                      <w:rFonts w:ascii="Times New Roman" w:hAnsi="Times New Roman" w:cs="Shruti"/>
                      <w:sz w:val="22"/>
                      <w:szCs w:val="22"/>
                      <w:lang w:val="en-US" w:eastAsia="en-CA" w:bidi="gu-IN"/>
                    </w:rPr>
                  </w:pPr>
                  <w:r w:rsidRPr="00573554">
                    <w:rPr>
                      <w:rFonts w:ascii="Times New Roman" w:hAnsi="Times New Roman" w:cs="Shruti"/>
                      <w:sz w:val="22"/>
                      <w:szCs w:val="22"/>
                      <w:lang w:val="en-US" w:eastAsia="en-CA" w:bidi="gu-IN"/>
                    </w:rPr>
                    <w:t>E13-8, 9, 15, 20, 23, 27, 29</w:t>
                  </w:r>
                </w:p>
                <w:p w14:paraId="1C268AA5" w14:textId="77777777" w:rsidR="00B04F3D" w:rsidRPr="00573554" w:rsidRDefault="00B04F3D" w:rsidP="003C4AAC">
                  <w:pPr>
                    <w:framePr w:hSpace="180" w:wrap="around" w:vAnchor="text" w:hAnchor="text" w:y="1"/>
                    <w:suppressOverlap/>
                    <w:rPr>
                      <w:rFonts w:ascii="Times New Roman" w:hAnsi="Times New Roman" w:cs="Shruti"/>
                      <w:sz w:val="22"/>
                      <w:szCs w:val="22"/>
                      <w:lang w:val="en-US" w:eastAsia="en-CA" w:bidi="gu-IN"/>
                    </w:rPr>
                  </w:pPr>
                  <w:r w:rsidRPr="00573554">
                    <w:rPr>
                      <w:rFonts w:ascii="Times New Roman" w:hAnsi="Times New Roman" w:cs="Shruti"/>
                      <w:sz w:val="22"/>
                      <w:szCs w:val="22"/>
                      <w:lang w:val="en-US" w:eastAsia="en-CA" w:bidi="gu-IN"/>
                    </w:rPr>
                    <w:t>P13-1, 2, 8, 10, 11, 13, 14, 15</w:t>
                  </w:r>
                </w:p>
              </w:tc>
            </w:tr>
            <w:tr w:rsidR="00B04F3D" w:rsidRPr="00573554" w14:paraId="1F0FC044" w14:textId="77777777" w:rsidTr="0041513D">
              <w:trPr>
                <w:trHeight w:val="621"/>
              </w:trPr>
              <w:tc>
                <w:tcPr>
                  <w:tcW w:w="993" w:type="dxa"/>
                  <w:tcBorders>
                    <w:top w:val="single" w:sz="4" w:space="0" w:color="auto"/>
                    <w:left w:val="single" w:sz="4" w:space="0" w:color="auto"/>
                    <w:bottom w:val="single" w:sz="4" w:space="0" w:color="auto"/>
                    <w:right w:val="single" w:sz="4" w:space="0" w:color="auto"/>
                  </w:tcBorders>
                </w:tcPr>
                <w:p w14:paraId="0C637263" w14:textId="78849541" w:rsidR="00B04F3D" w:rsidRPr="00573554" w:rsidRDefault="008B2E3B"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 xml:space="preserve">Sept 16 &amp; 18 </w:t>
                  </w:r>
                </w:p>
              </w:tc>
              <w:tc>
                <w:tcPr>
                  <w:tcW w:w="3969" w:type="dxa"/>
                  <w:tcBorders>
                    <w:top w:val="single" w:sz="4" w:space="0" w:color="auto"/>
                    <w:left w:val="single" w:sz="4" w:space="0" w:color="auto"/>
                    <w:bottom w:val="single" w:sz="4" w:space="0" w:color="auto"/>
                    <w:right w:val="single" w:sz="4" w:space="0" w:color="auto"/>
                  </w:tcBorders>
                </w:tcPr>
                <w:p w14:paraId="5E2803EC"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Long-Term Financial Liabilities </w:t>
                  </w:r>
                </w:p>
                <w:p w14:paraId="402B6B45" w14:textId="77777777" w:rsidR="00B04F3D" w:rsidRPr="00573554" w:rsidRDefault="00B04F3D" w:rsidP="003C4AAC">
                  <w:pPr>
                    <w:framePr w:hSpace="180" w:wrap="around" w:vAnchor="text" w:hAnchor="text" w:y="1"/>
                    <w:suppressOverlap/>
                    <w:rPr>
                      <w:rFonts w:ascii="Times New Roman" w:hAnsi="Times New Roman" w:cs="Shruti"/>
                      <w:bCs/>
                      <w:sz w:val="22"/>
                      <w:szCs w:val="22"/>
                      <w:lang w:val="en-US" w:bidi="gu-IN"/>
                    </w:rPr>
                  </w:pPr>
                  <w:r w:rsidRPr="00573554">
                    <w:rPr>
                      <w:rFonts w:ascii="Times New Roman" w:hAnsi="Times New Roman" w:cs="Shruti"/>
                      <w:sz w:val="22"/>
                      <w:szCs w:val="22"/>
                      <w:lang w:val="en-US" w:bidi="gu-IN"/>
                    </w:rPr>
                    <w:t>IFRS 9, IAS 39</w:t>
                  </w:r>
                </w:p>
              </w:tc>
              <w:tc>
                <w:tcPr>
                  <w:tcW w:w="1559" w:type="dxa"/>
                  <w:tcBorders>
                    <w:top w:val="single" w:sz="4" w:space="0" w:color="auto"/>
                    <w:left w:val="single" w:sz="4" w:space="0" w:color="auto"/>
                    <w:bottom w:val="single" w:sz="4" w:space="0" w:color="auto"/>
                    <w:right w:val="single" w:sz="4" w:space="0" w:color="auto"/>
                  </w:tcBorders>
                </w:tcPr>
                <w:p w14:paraId="5CBF1D8A"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fr-FR" w:bidi="gu-IN"/>
                    </w:rPr>
                    <w:t xml:space="preserve">Ch. </w:t>
                  </w:r>
                  <w:r w:rsidRPr="00573554">
                    <w:rPr>
                      <w:rFonts w:ascii="Times New Roman" w:hAnsi="Times New Roman" w:cs="Shruti"/>
                      <w:sz w:val="22"/>
                      <w:szCs w:val="22"/>
                      <w:lang w:val="en-US" w:bidi="gu-IN"/>
                    </w:rPr>
                    <w:t>14</w:t>
                  </w:r>
                </w:p>
              </w:tc>
              <w:tc>
                <w:tcPr>
                  <w:tcW w:w="3967" w:type="dxa"/>
                  <w:tcBorders>
                    <w:top w:val="single" w:sz="4" w:space="0" w:color="auto"/>
                    <w:left w:val="single" w:sz="4" w:space="0" w:color="auto"/>
                    <w:bottom w:val="single" w:sz="4" w:space="0" w:color="auto"/>
                    <w:right w:val="single" w:sz="4" w:space="0" w:color="auto"/>
                  </w:tcBorders>
                </w:tcPr>
                <w:p w14:paraId="2ADD316B" w14:textId="77777777" w:rsidR="00B04F3D" w:rsidRPr="00573554" w:rsidRDefault="00B04F3D" w:rsidP="003C4AAC">
                  <w:pPr>
                    <w:framePr w:hSpace="180" w:wrap="around" w:vAnchor="text" w:hAnchor="text" w:y="1"/>
                    <w:suppressOverlap/>
                    <w:rPr>
                      <w:rFonts w:ascii="Times New Roman" w:hAnsi="Times New Roman" w:cs="Shruti"/>
                      <w:sz w:val="22"/>
                      <w:szCs w:val="22"/>
                      <w:lang w:val="en-US" w:eastAsia="en-CA" w:bidi="gu-IN"/>
                    </w:rPr>
                  </w:pPr>
                  <w:r w:rsidRPr="00573554">
                    <w:rPr>
                      <w:rFonts w:ascii="Times New Roman" w:hAnsi="Times New Roman" w:cs="Shruti"/>
                      <w:sz w:val="22"/>
                      <w:szCs w:val="22"/>
                      <w:lang w:val="en-US" w:eastAsia="en-CA" w:bidi="gu-IN"/>
                    </w:rPr>
                    <w:t>E14-8, 9, 11, 17, 20, 28</w:t>
                  </w:r>
                </w:p>
                <w:p w14:paraId="02BD9A23" w14:textId="77777777" w:rsidR="00B04F3D" w:rsidRPr="00573554" w:rsidRDefault="00B04F3D" w:rsidP="003C4AAC">
                  <w:pPr>
                    <w:framePr w:hSpace="180" w:wrap="around" w:vAnchor="text" w:hAnchor="text" w:y="1"/>
                    <w:suppressOverlap/>
                    <w:rPr>
                      <w:rFonts w:ascii="Times New Roman" w:hAnsi="Times New Roman" w:cs="Shruti"/>
                      <w:sz w:val="22"/>
                      <w:szCs w:val="22"/>
                      <w:lang w:val="en-US" w:eastAsia="en-CA" w:bidi="gu-IN"/>
                    </w:rPr>
                  </w:pPr>
                  <w:r w:rsidRPr="00573554">
                    <w:rPr>
                      <w:rFonts w:ascii="Times New Roman" w:hAnsi="Times New Roman" w:cs="Shruti"/>
                      <w:sz w:val="22"/>
                      <w:szCs w:val="22"/>
                      <w:lang w:val="en-US" w:eastAsia="en-CA" w:bidi="gu-IN"/>
                    </w:rPr>
                    <w:t xml:space="preserve">P14-3, 4, 7, 10, 12  </w:t>
                  </w:r>
                </w:p>
                <w:p w14:paraId="3ECED009" w14:textId="531FB41D" w:rsidR="00B04F3D" w:rsidRPr="00573554" w:rsidRDefault="00B04F3D" w:rsidP="003C4AAC">
                  <w:pPr>
                    <w:framePr w:hSpace="180" w:wrap="around" w:vAnchor="text" w:hAnchor="text" w:y="1"/>
                    <w:suppressOverlap/>
                    <w:rPr>
                      <w:rFonts w:ascii="Times New Roman" w:hAnsi="Times New Roman" w:cs="Shruti"/>
                      <w:sz w:val="22"/>
                      <w:szCs w:val="22"/>
                      <w:lang w:val="en-US" w:eastAsia="en-CA" w:bidi="gu-IN"/>
                    </w:rPr>
                  </w:pPr>
                  <w:r w:rsidRPr="00573554">
                    <w:rPr>
                      <w:rFonts w:ascii="Times New Roman" w:hAnsi="Times New Roman" w:cs="Shruti"/>
                      <w:sz w:val="22"/>
                      <w:szCs w:val="22"/>
                      <w:lang w:val="it-IT" w:bidi="gu-IN"/>
                    </w:rPr>
                    <w:t xml:space="preserve">(Assignment 1 available on WileyPLUS by </w:t>
                  </w:r>
                  <w:r w:rsidR="007A1378">
                    <w:rPr>
                      <w:rFonts w:ascii="Times New Roman" w:hAnsi="Times New Roman" w:cs="Shruti"/>
                      <w:sz w:val="22"/>
                      <w:szCs w:val="22"/>
                      <w:lang w:val="it-IT" w:bidi="gu-IN"/>
                    </w:rPr>
                    <w:t xml:space="preserve">Sept 13, </w:t>
                  </w:r>
                  <w:r w:rsidRPr="00573554">
                    <w:rPr>
                      <w:rFonts w:ascii="Times New Roman" w:hAnsi="Times New Roman" w:cs="Shruti"/>
                      <w:sz w:val="22"/>
                      <w:szCs w:val="22"/>
                      <w:lang w:val="it-IT" w:bidi="gu-IN"/>
                    </w:rPr>
                    <w:t>2019</w:t>
                  </w:r>
                  <w:r w:rsidR="00D76799" w:rsidRPr="00573554">
                    <w:rPr>
                      <w:rFonts w:ascii="Times New Roman" w:hAnsi="Times New Roman" w:cs="Shruti"/>
                      <w:sz w:val="22"/>
                      <w:szCs w:val="22"/>
                      <w:lang w:val="it-IT" w:bidi="gu-IN"/>
                    </w:rPr>
                    <w:t xml:space="preserve"> and due </w:t>
                  </w:r>
                  <w:r w:rsidR="007A1378">
                    <w:rPr>
                      <w:rFonts w:ascii="Times New Roman" w:hAnsi="Times New Roman" w:cs="Shruti"/>
                      <w:sz w:val="22"/>
                      <w:szCs w:val="22"/>
                      <w:lang w:val="it-IT" w:bidi="gu-IN"/>
                    </w:rPr>
                    <w:t xml:space="preserve">Sept. 20 </w:t>
                  </w:r>
                  <w:r w:rsidR="00D76799" w:rsidRPr="00573554">
                    <w:rPr>
                      <w:rFonts w:ascii="Times New Roman" w:hAnsi="Times New Roman" w:cs="Shruti"/>
                      <w:sz w:val="22"/>
                      <w:szCs w:val="22"/>
                      <w:lang w:val="it-IT" w:bidi="gu-IN"/>
                    </w:rPr>
                    <w:t xml:space="preserve">, 2019 by </w:t>
                  </w:r>
                  <w:r w:rsidR="007A1378">
                    <w:rPr>
                      <w:rFonts w:ascii="Times New Roman" w:hAnsi="Times New Roman" w:cs="Shruti"/>
                      <w:sz w:val="22"/>
                      <w:szCs w:val="22"/>
                      <w:lang w:val="it-IT" w:bidi="gu-IN"/>
                    </w:rPr>
                    <w:t>5:00</w:t>
                  </w:r>
                  <w:r w:rsidR="00D76799" w:rsidRPr="00573554">
                    <w:rPr>
                      <w:rFonts w:ascii="Times New Roman" w:hAnsi="Times New Roman" w:cs="Shruti"/>
                      <w:sz w:val="22"/>
                      <w:szCs w:val="22"/>
                      <w:lang w:val="it-IT" w:bidi="gu-IN"/>
                    </w:rPr>
                    <w:t xml:space="preserve"> pm</w:t>
                  </w:r>
                  <w:r w:rsidRPr="00573554">
                    <w:rPr>
                      <w:rFonts w:ascii="Times New Roman" w:hAnsi="Times New Roman" w:cs="Shruti"/>
                      <w:sz w:val="22"/>
                      <w:szCs w:val="22"/>
                      <w:lang w:val="it-IT" w:bidi="gu-IN"/>
                    </w:rPr>
                    <w:t>)</w:t>
                  </w:r>
                </w:p>
              </w:tc>
            </w:tr>
            <w:tr w:rsidR="00B04F3D" w:rsidRPr="00573554" w14:paraId="0CA47338" w14:textId="77777777" w:rsidTr="0041513D">
              <w:trPr>
                <w:trHeight w:val="597"/>
              </w:trPr>
              <w:tc>
                <w:tcPr>
                  <w:tcW w:w="993" w:type="dxa"/>
                  <w:tcBorders>
                    <w:top w:val="single" w:sz="4" w:space="0" w:color="auto"/>
                    <w:left w:val="single" w:sz="4" w:space="0" w:color="auto"/>
                    <w:bottom w:val="single" w:sz="4" w:space="0" w:color="auto"/>
                    <w:right w:val="single" w:sz="4" w:space="0" w:color="auto"/>
                  </w:tcBorders>
                </w:tcPr>
                <w:p w14:paraId="3A4FB6C3" w14:textId="378787C0" w:rsidR="00B04F3D" w:rsidRPr="00573554" w:rsidRDefault="008B2E3B"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Sept 23 &amp; 25</w:t>
                  </w:r>
                </w:p>
              </w:tc>
              <w:tc>
                <w:tcPr>
                  <w:tcW w:w="3969" w:type="dxa"/>
                  <w:tcBorders>
                    <w:top w:val="single" w:sz="4" w:space="0" w:color="auto"/>
                    <w:left w:val="single" w:sz="4" w:space="0" w:color="auto"/>
                    <w:bottom w:val="single" w:sz="4" w:space="0" w:color="auto"/>
                    <w:right w:val="single" w:sz="4" w:space="0" w:color="auto"/>
                  </w:tcBorders>
                </w:tcPr>
                <w:p w14:paraId="1F232A50"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Shareholders’ Equity</w:t>
                  </w:r>
                </w:p>
                <w:p w14:paraId="231AFFE1"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IFRS 2</w:t>
                  </w:r>
                </w:p>
                <w:p w14:paraId="5DD712C8"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p>
              </w:tc>
              <w:tc>
                <w:tcPr>
                  <w:tcW w:w="1559" w:type="dxa"/>
                  <w:tcBorders>
                    <w:top w:val="single" w:sz="4" w:space="0" w:color="auto"/>
                    <w:left w:val="single" w:sz="4" w:space="0" w:color="auto"/>
                    <w:bottom w:val="single" w:sz="4" w:space="0" w:color="auto"/>
                    <w:right w:val="single" w:sz="4" w:space="0" w:color="auto"/>
                  </w:tcBorders>
                </w:tcPr>
                <w:p w14:paraId="1EF87DC4"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fr-FR" w:bidi="gu-IN"/>
                    </w:rPr>
                    <w:t xml:space="preserve">Ch. </w:t>
                  </w:r>
                  <w:r w:rsidRPr="00573554">
                    <w:rPr>
                      <w:rFonts w:ascii="Times New Roman" w:hAnsi="Times New Roman" w:cs="Shruti"/>
                      <w:sz w:val="22"/>
                      <w:szCs w:val="22"/>
                      <w:lang w:val="en-US" w:bidi="gu-IN"/>
                    </w:rPr>
                    <w:t>15 and App. 15B</w:t>
                  </w:r>
                </w:p>
              </w:tc>
              <w:tc>
                <w:tcPr>
                  <w:tcW w:w="3967" w:type="dxa"/>
                  <w:tcBorders>
                    <w:top w:val="single" w:sz="4" w:space="0" w:color="auto"/>
                    <w:left w:val="single" w:sz="4" w:space="0" w:color="auto"/>
                    <w:bottom w:val="single" w:sz="4" w:space="0" w:color="auto"/>
                    <w:right w:val="single" w:sz="4" w:space="0" w:color="auto"/>
                  </w:tcBorders>
                </w:tcPr>
                <w:p w14:paraId="3DFD8C63" w14:textId="77777777" w:rsidR="00B04F3D" w:rsidRPr="00573554" w:rsidRDefault="00B04F3D"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E15-2, 3, 5, 9, 12, 13,19</w:t>
                  </w:r>
                </w:p>
                <w:p w14:paraId="42FF970B" w14:textId="77777777" w:rsidR="00B04F3D" w:rsidRPr="00573554" w:rsidRDefault="00B04F3D"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 xml:space="preserve">P15-2, 4, 6,  10, 14 </w:t>
                  </w:r>
                </w:p>
                <w:p w14:paraId="62525C1B" w14:textId="565E9958" w:rsidR="00B04F3D" w:rsidRPr="00573554" w:rsidRDefault="00D76799"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 xml:space="preserve">(Assignment 2 available on WileyPLUS by </w:t>
                  </w:r>
                  <w:r w:rsidR="007A1378">
                    <w:rPr>
                      <w:rFonts w:ascii="Times New Roman" w:hAnsi="Times New Roman" w:cs="Shruti"/>
                      <w:sz w:val="22"/>
                      <w:szCs w:val="22"/>
                      <w:lang w:val="it-IT" w:bidi="gu-IN"/>
                    </w:rPr>
                    <w:t xml:space="preserve">Sept 20, </w:t>
                  </w:r>
                  <w:r w:rsidRPr="00573554">
                    <w:rPr>
                      <w:rFonts w:ascii="Times New Roman" w:hAnsi="Times New Roman" w:cs="Shruti"/>
                      <w:sz w:val="22"/>
                      <w:szCs w:val="22"/>
                      <w:lang w:val="it-IT" w:bidi="gu-IN"/>
                    </w:rPr>
                    <w:t xml:space="preserve">2019 and due </w:t>
                  </w:r>
                  <w:r w:rsidR="007A1378">
                    <w:rPr>
                      <w:rFonts w:ascii="Times New Roman" w:hAnsi="Times New Roman" w:cs="Shruti"/>
                      <w:sz w:val="22"/>
                      <w:szCs w:val="22"/>
                      <w:lang w:val="it-IT" w:bidi="gu-IN"/>
                    </w:rPr>
                    <w:t>Sept 27</w:t>
                  </w:r>
                  <w:r w:rsidRPr="00573554">
                    <w:rPr>
                      <w:rFonts w:ascii="Times New Roman" w:hAnsi="Times New Roman" w:cs="Shruti"/>
                      <w:sz w:val="22"/>
                      <w:szCs w:val="22"/>
                      <w:lang w:val="it-IT" w:bidi="gu-IN"/>
                    </w:rPr>
                    <w:t xml:space="preserve">, 2019 by </w:t>
                  </w:r>
                  <w:r w:rsidR="007A1378">
                    <w:rPr>
                      <w:rFonts w:ascii="Times New Roman" w:hAnsi="Times New Roman" w:cs="Shruti"/>
                      <w:sz w:val="22"/>
                      <w:szCs w:val="22"/>
                      <w:lang w:val="it-IT" w:bidi="gu-IN"/>
                    </w:rPr>
                    <w:t>5</w:t>
                  </w:r>
                  <w:r w:rsidRPr="00573554">
                    <w:rPr>
                      <w:rFonts w:ascii="Times New Roman" w:hAnsi="Times New Roman" w:cs="Shruti"/>
                      <w:sz w:val="22"/>
                      <w:szCs w:val="22"/>
                      <w:lang w:val="it-IT" w:bidi="gu-IN"/>
                    </w:rPr>
                    <w:t>:00 pm)</w:t>
                  </w:r>
                </w:p>
              </w:tc>
            </w:tr>
            <w:tr w:rsidR="00B04F3D" w:rsidRPr="00573554" w14:paraId="258E5341" w14:textId="77777777" w:rsidTr="0041513D">
              <w:trPr>
                <w:trHeight w:val="597"/>
              </w:trPr>
              <w:tc>
                <w:tcPr>
                  <w:tcW w:w="993" w:type="dxa"/>
                  <w:tcBorders>
                    <w:top w:val="single" w:sz="4" w:space="0" w:color="auto"/>
                    <w:left w:val="single" w:sz="4" w:space="0" w:color="auto"/>
                    <w:bottom w:val="single" w:sz="4" w:space="0" w:color="auto"/>
                    <w:right w:val="single" w:sz="4" w:space="0" w:color="auto"/>
                  </w:tcBorders>
                </w:tcPr>
                <w:p w14:paraId="1BE4E50B" w14:textId="0493458E" w:rsidR="00B04F3D" w:rsidRPr="00573554" w:rsidRDefault="008B2E3B"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 xml:space="preserve">Sept </w:t>
                  </w:r>
                  <w:r w:rsidR="00FC6D4F" w:rsidRPr="00573554">
                    <w:rPr>
                      <w:rFonts w:ascii="Times New Roman" w:hAnsi="Times New Roman" w:cs="Shruti"/>
                      <w:sz w:val="22"/>
                      <w:szCs w:val="22"/>
                      <w:lang w:val="it-IT" w:bidi="gu-IN"/>
                    </w:rPr>
                    <w:t xml:space="preserve">30 &amp; </w:t>
                  </w:r>
                  <w:r>
                    <w:rPr>
                      <w:rFonts w:ascii="Times New Roman" w:hAnsi="Times New Roman" w:cs="Shruti"/>
                      <w:sz w:val="22"/>
                      <w:szCs w:val="22"/>
                      <w:lang w:val="it-IT" w:bidi="gu-IN"/>
                    </w:rPr>
                    <w:t>Oct 2</w:t>
                  </w:r>
                </w:p>
              </w:tc>
              <w:tc>
                <w:tcPr>
                  <w:tcW w:w="3969" w:type="dxa"/>
                  <w:tcBorders>
                    <w:top w:val="single" w:sz="4" w:space="0" w:color="auto"/>
                    <w:left w:val="single" w:sz="4" w:space="0" w:color="auto"/>
                    <w:bottom w:val="single" w:sz="4" w:space="0" w:color="auto"/>
                    <w:right w:val="single" w:sz="4" w:space="0" w:color="auto"/>
                  </w:tcBorders>
                </w:tcPr>
                <w:p w14:paraId="3733853A"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Complex Financial Instruments </w:t>
                  </w:r>
                </w:p>
                <w:p w14:paraId="4E8ADEAE"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IFRS 9, IAS 39 </w:t>
                  </w:r>
                </w:p>
              </w:tc>
              <w:tc>
                <w:tcPr>
                  <w:tcW w:w="1559" w:type="dxa"/>
                  <w:tcBorders>
                    <w:top w:val="single" w:sz="4" w:space="0" w:color="auto"/>
                    <w:left w:val="single" w:sz="4" w:space="0" w:color="auto"/>
                    <w:bottom w:val="single" w:sz="4" w:space="0" w:color="auto"/>
                    <w:right w:val="single" w:sz="4" w:space="0" w:color="auto"/>
                  </w:tcBorders>
                </w:tcPr>
                <w:p w14:paraId="408DA688"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Ch. 16 and App. 16A &amp; 16B</w:t>
                  </w:r>
                </w:p>
              </w:tc>
              <w:tc>
                <w:tcPr>
                  <w:tcW w:w="3967" w:type="dxa"/>
                  <w:tcBorders>
                    <w:top w:val="single" w:sz="4" w:space="0" w:color="auto"/>
                    <w:left w:val="single" w:sz="4" w:space="0" w:color="auto"/>
                    <w:bottom w:val="single" w:sz="4" w:space="0" w:color="auto"/>
                    <w:right w:val="single" w:sz="4" w:space="0" w:color="auto"/>
                  </w:tcBorders>
                </w:tcPr>
                <w:p w14:paraId="153A89C6"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E16-1, 6, 8, 9, 13, 15, 19, 24</w:t>
                  </w:r>
                </w:p>
                <w:p w14:paraId="01C426A8" w14:textId="77777777" w:rsidR="00B04F3D" w:rsidRPr="00573554" w:rsidRDefault="00B04F3D"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P16-1, 8, 9, 10  </w:t>
                  </w:r>
                </w:p>
                <w:p w14:paraId="5D0BB792" w14:textId="45381E73" w:rsidR="00B04F3D" w:rsidRPr="00573554" w:rsidRDefault="00D76799"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it-IT" w:bidi="gu-IN"/>
                    </w:rPr>
                    <w:t xml:space="preserve">(Assignment 3 available on WileyPLUS by </w:t>
                  </w:r>
                  <w:r w:rsidR="007A1378">
                    <w:rPr>
                      <w:rFonts w:ascii="Times New Roman" w:hAnsi="Times New Roman" w:cs="Shruti"/>
                      <w:sz w:val="22"/>
                      <w:szCs w:val="22"/>
                      <w:lang w:val="it-IT" w:bidi="gu-IN"/>
                    </w:rPr>
                    <w:t>Sept 27</w:t>
                  </w:r>
                  <w:r w:rsidRPr="00573554">
                    <w:rPr>
                      <w:rFonts w:ascii="Times New Roman" w:hAnsi="Times New Roman" w:cs="Shruti"/>
                      <w:sz w:val="22"/>
                      <w:szCs w:val="22"/>
                      <w:lang w:val="it-IT" w:bidi="gu-IN"/>
                    </w:rPr>
                    <w:t xml:space="preserve">, 2019 and due </w:t>
                  </w:r>
                  <w:r w:rsidR="007A1378">
                    <w:rPr>
                      <w:rFonts w:ascii="Times New Roman" w:hAnsi="Times New Roman" w:cs="Shruti"/>
                      <w:sz w:val="22"/>
                      <w:szCs w:val="22"/>
                      <w:lang w:val="it-IT" w:bidi="gu-IN"/>
                    </w:rPr>
                    <w:t>Oct 4</w:t>
                  </w:r>
                  <w:r w:rsidRPr="00573554">
                    <w:rPr>
                      <w:rFonts w:ascii="Times New Roman" w:hAnsi="Times New Roman" w:cs="Shruti"/>
                      <w:sz w:val="22"/>
                      <w:szCs w:val="22"/>
                      <w:lang w:val="it-IT" w:bidi="gu-IN"/>
                    </w:rPr>
                    <w:t>,</w:t>
                  </w:r>
                  <w:r w:rsidR="0041513D">
                    <w:rPr>
                      <w:rFonts w:ascii="Times New Roman" w:hAnsi="Times New Roman" w:cs="Shruti"/>
                      <w:sz w:val="22"/>
                      <w:szCs w:val="22"/>
                      <w:lang w:val="it-IT" w:bidi="gu-IN"/>
                    </w:rPr>
                    <w:t xml:space="preserve"> </w:t>
                  </w:r>
                  <w:r w:rsidRPr="00573554">
                    <w:rPr>
                      <w:rFonts w:ascii="Times New Roman" w:hAnsi="Times New Roman" w:cs="Shruti"/>
                      <w:sz w:val="22"/>
                      <w:szCs w:val="22"/>
                      <w:lang w:val="it-IT" w:bidi="gu-IN"/>
                    </w:rPr>
                    <w:t xml:space="preserve">2019 by </w:t>
                  </w:r>
                  <w:r w:rsidR="007A1378">
                    <w:rPr>
                      <w:rFonts w:ascii="Times New Roman" w:hAnsi="Times New Roman" w:cs="Shruti"/>
                      <w:sz w:val="22"/>
                      <w:szCs w:val="22"/>
                      <w:lang w:val="it-IT" w:bidi="gu-IN"/>
                    </w:rPr>
                    <w:t>5</w:t>
                  </w:r>
                  <w:r w:rsidRPr="00573554">
                    <w:rPr>
                      <w:rFonts w:ascii="Times New Roman" w:hAnsi="Times New Roman" w:cs="Shruti"/>
                      <w:sz w:val="22"/>
                      <w:szCs w:val="22"/>
                      <w:lang w:val="it-IT" w:bidi="gu-IN"/>
                    </w:rPr>
                    <w:t>:00 pm)</w:t>
                  </w:r>
                </w:p>
              </w:tc>
            </w:tr>
            <w:tr w:rsidR="008B2E3B" w:rsidRPr="00573554" w14:paraId="312B14EC" w14:textId="77777777" w:rsidTr="0041513D">
              <w:trPr>
                <w:trHeight w:val="804"/>
              </w:trPr>
              <w:tc>
                <w:tcPr>
                  <w:tcW w:w="993" w:type="dxa"/>
                  <w:tcBorders>
                    <w:top w:val="single" w:sz="4" w:space="0" w:color="auto"/>
                    <w:left w:val="single" w:sz="4" w:space="0" w:color="auto"/>
                    <w:bottom w:val="single" w:sz="4" w:space="0" w:color="auto"/>
                    <w:right w:val="single" w:sz="4" w:space="0" w:color="auto"/>
                  </w:tcBorders>
                </w:tcPr>
                <w:p w14:paraId="601CAEB7" w14:textId="78BBB47E" w:rsidR="008B2E3B" w:rsidRPr="00573554" w:rsidRDefault="00A60ECA" w:rsidP="003C4AAC">
                  <w:pPr>
                    <w:framePr w:hSpace="180" w:wrap="around" w:vAnchor="text" w:hAnchor="text" w:y="1"/>
                    <w:suppressOverlap/>
                    <w:rPr>
                      <w:rFonts w:ascii="Times New Roman" w:hAnsi="Times New Roman" w:cs="Shruti"/>
                      <w:sz w:val="22"/>
                      <w:szCs w:val="22"/>
                      <w:lang w:val="en-US" w:bidi="gu-IN"/>
                    </w:rPr>
                  </w:pPr>
                  <w:r>
                    <w:rPr>
                      <w:rFonts w:ascii="Times New Roman" w:hAnsi="Times New Roman" w:cs="Shruti"/>
                      <w:sz w:val="22"/>
                      <w:szCs w:val="22"/>
                      <w:lang w:val="it-IT" w:bidi="gu-IN"/>
                    </w:rPr>
                    <w:t>Oct 7 &amp; 9</w:t>
                  </w:r>
                </w:p>
              </w:tc>
              <w:tc>
                <w:tcPr>
                  <w:tcW w:w="3969" w:type="dxa"/>
                  <w:tcBorders>
                    <w:top w:val="single" w:sz="4" w:space="0" w:color="auto"/>
                    <w:left w:val="single" w:sz="4" w:space="0" w:color="auto"/>
                    <w:bottom w:val="single" w:sz="4" w:space="0" w:color="auto"/>
                    <w:right w:val="single" w:sz="4" w:space="0" w:color="auto"/>
                  </w:tcBorders>
                </w:tcPr>
                <w:p w14:paraId="78D709F5" w14:textId="77777777" w:rsidR="008B2E3B" w:rsidRPr="00573554" w:rsidRDefault="008B2E3B"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Earnings per Share</w:t>
                  </w:r>
                </w:p>
                <w:p w14:paraId="6CA5FD1A" w14:textId="77777777" w:rsidR="008B2E3B" w:rsidRPr="00573554" w:rsidRDefault="008B2E3B"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IAS 33   </w:t>
                  </w:r>
                </w:p>
                <w:p w14:paraId="6BCADCE9" w14:textId="77777777" w:rsidR="008B2E3B" w:rsidRPr="00573554" w:rsidRDefault="008B2E3B" w:rsidP="003C4AAC">
                  <w:pPr>
                    <w:framePr w:hSpace="180" w:wrap="around" w:vAnchor="text" w:hAnchor="text" w:y="1"/>
                    <w:suppressOverlap/>
                    <w:rPr>
                      <w:rFonts w:ascii="Times New Roman" w:hAnsi="Times New Roman" w:cs="Shruti"/>
                      <w:sz w:val="22"/>
                      <w:szCs w:val="22"/>
                      <w:lang w:val="fr-CA" w:bidi="gu-IN"/>
                    </w:rPr>
                  </w:pPr>
                </w:p>
              </w:tc>
              <w:tc>
                <w:tcPr>
                  <w:tcW w:w="1559" w:type="dxa"/>
                  <w:tcBorders>
                    <w:top w:val="single" w:sz="4" w:space="0" w:color="auto"/>
                    <w:left w:val="single" w:sz="4" w:space="0" w:color="auto"/>
                    <w:bottom w:val="single" w:sz="4" w:space="0" w:color="auto"/>
                    <w:right w:val="single" w:sz="4" w:space="0" w:color="auto"/>
                  </w:tcBorders>
                </w:tcPr>
                <w:p w14:paraId="5A0C91C2" w14:textId="77777777" w:rsidR="00A60ECA"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bidi="gu-IN"/>
                    </w:rPr>
                    <w:t xml:space="preserve">Ch. </w:t>
                  </w:r>
                  <w:r w:rsidRPr="00573554">
                    <w:rPr>
                      <w:rFonts w:ascii="Times New Roman" w:hAnsi="Times New Roman" w:cs="Shruti"/>
                      <w:sz w:val="22"/>
                      <w:szCs w:val="22"/>
                      <w:lang w:val="en-US" w:bidi="gu-IN"/>
                    </w:rPr>
                    <w:t>17</w:t>
                  </w:r>
                </w:p>
                <w:p w14:paraId="6089C948" w14:textId="19D34B01" w:rsidR="008B2E3B" w:rsidRPr="00573554" w:rsidRDefault="008B2E3B" w:rsidP="003C4AAC">
                  <w:pPr>
                    <w:framePr w:hSpace="180" w:wrap="around" w:vAnchor="text" w:hAnchor="text" w:y="1"/>
                    <w:suppressOverlap/>
                    <w:rPr>
                      <w:rFonts w:ascii="Times New Roman" w:hAnsi="Times New Roman" w:cs="Shruti"/>
                      <w:sz w:val="22"/>
                      <w:szCs w:val="22"/>
                      <w:lang w:val="en-GB" w:bidi="gu-IN"/>
                    </w:rPr>
                  </w:pPr>
                </w:p>
              </w:tc>
              <w:tc>
                <w:tcPr>
                  <w:tcW w:w="3967" w:type="dxa"/>
                  <w:tcBorders>
                    <w:top w:val="single" w:sz="4" w:space="0" w:color="auto"/>
                    <w:left w:val="single" w:sz="4" w:space="0" w:color="auto"/>
                    <w:bottom w:val="single" w:sz="4" w:space="0" w:color="auto"/>
                    <w:right w:val="single" w:sz="4" w:space="0" w:color="auto"/>
                  </w:tcBorders>
                </w:tcPr>
                <w:p w14:paraId="1F4D7CDC" w14:textId="77777777" w:rsidR="00A60ECA" w:rsidRPr="00573554" w:rsidRDefault="00A60ECA"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E17-2, 5, 11,  15, 16</w:t>
                  </w:r>
                </w:p>
                <w:p w14:paraId="7ABBC542" w14:textId="77777777" w:rsidR="00A60ECA" w:rsidRPr="00573554" w:rsidRDefault="00A60ECA"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P17-3, 4, 5, 8, 10</w:t>
                  </w:r>
                </w:p>
                <w:p w14:paraId="76D053C8" w14:textId="49185315" w:rsidR="008B2E3B" w:rsidRPr="00573554" w:rsidRDefault="00A60ECA"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A</w:t>
                  </w:r>
                  <w:r w:rsidR="008B2E3B" w:rsidRPr="00573554">
                    <w:rPr>
                      <w:rFonts w:ascii="Times New Roman" w:hAnsi="Times New Roman" w:cs="Shruti"/>
                      <w:sz w:val="22"/>
                      <w:szCs w:val="22"/>
                      <w:lang w:val="it-IT" w:bidi="gu-IN"/>
                    </w:rPr>
                    <w:t xml:space="preserve">ssignment 4 available on </w:t>
                  </w:r>
                  <w:r w:rsidR="00B37FA4">
                    <w:rPr>
                      <w:rFonts w:ascii="Times New Roman" w:hAnsi="Times New Roman" w:cs="Shruti"/>
                      <w:sz w:val="22"/>
                      <w:szCs w:val="22"/>
                      <w:lang w:val="it-IT" w:bidi="gu-IN"/>
                    </w:rPr>
                    <w:t>Oct 4</w:t>
                  </w:r>
                  <w:r w:rsidR="008B2E3B" w:rsidRPr="00573554">
                    <w:rPr>
                      <w:rFonts w:ascii="Times New Roman" w:hAnsi="Times New Roman" w:cs="Shruti"/>
                      <w:sz w:val="22"/>
                      <w:szCs w:val="22"/>
                      <w:lang w:val="it-IT" w:bidi="gu-IN"/>
                    </w:rPr>
                    <w:t xml:space="preserve">, 2019 due </w:t>
                  </w:r>
                  <w:r w:rsidR="00B37FA4">
                    <w:rPr>
                      <w:rFonts w:ascii="Times New Roman" w:hAnsi="Times New Roman" w:cs="Shruti"/>
                      <w:sz w:val="22"/>
                      <w:szCs w:val="22"/>
                      <w:lang w:val="it-IT" w:bidi="gu-IN"/>
                    </w:rPr>
                    <w:t>Oct 11</w:t>
                  </w:r>
                  <w:r w:rsidR="008B2E3B" w:rsidRPr="00573554">
                    <w:rPr>
                      <w:rFonts w:ascii="Times New Roman" w:hAnsi="Times New Roman" w:cs="Shruti"/>
                      <w:sz w:val="22"/>
                      <w:szCs w:val="22"/>
                      <w:lang w:val="it-IT" w:bidi="gu-IN"/>
                    </w:rPr>
                    <w:t xml:space="preserve">, 2019 </w:t>
                  </w:r>
                  <w:r w:rsidR="00B37FA4">
                    <w:rPr>
                      <w:rFonts w:ascii="Times New Roman" w:hAnsi="Times New Roman" w:cs="Shruti"/>
                      <w:sz w:val="22"/>
                      <w:szCs w:val="22"/>
                      <w:lang w:val="it-IT" w:bidi="gu-IN"/>
                    </w:rPr>
                    <w:t>by 5:00</w:t>
                  </w:r>
                  <w:r w:rsidR="0041513D">
                    <w:rPr>
                      <w:rFonts w:ascii="Times New Roman" w:hAnsi="Times New Roman" w:cs="Shruti"/>
                      <w:sz w:val="22"/>
                      <w:szCs w:val="22"/>
                      <w:lang w:val="it-IT" w:bidi="gu-IN"/>
                    </w:rPr>
                    <w:t xml:space="preserve"> </w:t>
                  </w:r>
                  <w:r w:rsidR="00B37FA4">
                    <w:rPr>
                      <w:rFonts w:ascii="Times New Roman" w:hAnsi="Times New Roman" w:cs="Shruti"/>
                      <w:sz w:val="22"/>
                      <w:szCs w:val="22"/>
                      <w:lang w:val="it-IT" w:bidi="gu-IN"/>
                    </w:rPr>
                    <w:t>pm</w:t>
                  </w:r>
                </w:p>
              </w:tc>
            </w:tr>
            <w:tr w:rsidR="008B2E3B" w:rsidRPr="00573554" w14:paraId="0ABF200A" w14:textId="77777777" w:rsidTr="0041513D">
              <w:trPr>
                <w:trHeight w:val="804"/>
              </w:trPr>
              <w:tc>
                <w:tcPr>
                  <w:tcW w:w="993" w:type="dxa"/>
                  <w:tcBorders>
                    <w:top w:val="single" w:sz="4" w:space="0" w:color="auto"/>
                    <w:left w:val="single" w:sz="4" w:space="0" w:color="auto"/>
                    <w:bottom w:val="single" w:sz="4" w:space="0" w:color="auto"/>
                    <w:right w:val="single" w:sz="4" w:space="0" w:color="auto"/>
                  </w:tcBorders>
                </w:tcPr>
                <w:p w14:paraId="5CCE5F8C" w14:textId="1779D2E0" w:rsidR="008B2E3B" w:rsidRPr="00573554" w:rsidRDefault="00A60ECA"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Oct 16 &amp; 21</w:t>
                  </w:r>
                </w:p>
              </w:tc>
              <w:tc>
                <w:tcPr>
                  <w:tcW w:w="3969" w:type="dxa"/>
                  <w:tcBorders>
                    <w:top w:val="single" w:sz="4" w:space="0" w:color="auto"/>
                    <w:left w:val="single" w:sz="4" w:space="0" w:color="auto"/>
                    <w:bottom w:val="single" w:sz="4" w:space="0" w:color="auto"/>
                    <w:right w:val="single" w:sz="4" w:space="0" w:color="auto"/>
                  </w:tcBorders>
                </w:tcPr>
                <w:p w14:paraId="272B6F76" w14:textId="5E826CB8" w:rsidR="00A60ECA" w:rsidRPr="00573554" w:rsidRDefault="00A60ECA" w:rsidP="003C4AAC">
                  <w:pPr>
                    <w:framePr w:hSpace="180" w:wrap="around" w:vAnchor="text" w:hAnchor="text" w:y="1"/>
                    <w:suppressOverlap/>
                    <w:rPr>
                      <w:rFonts w:ascii="Times New Roman" w:hAnsi="Times New Roman" w:cs="Shruti"/>
                      <w:sz w:val="22"/>
                      <w:szCs w:val="22"/>
                      <w:lang w:val="fr-CA" w:bidi="gu-IN"/>
                    </w:rPr>
                  </w:pPr>
                  <w:r w:rsidRPr="00573554">
                    <w:rPr>
                      <w:rFonts w:ascii="Times New Roman" w:hAnsi="Times New Roman" w:cs="Shruti"/>
                      <w:sz w:val="22"/>
                      <w:szCs w:val="22"/>
                      <w:lang w:bidi="gu-IN"/>
                    </w:rPr>
                    <w:t>Income</w:t>
                  </w:r>
                  <w:r w:rsidRPr="00573554">
                    <w:rPr>
                      <w:rFonts w:ascii="Times New Roman" w:hAnsi="Times New Roman" w:cs="Shruti"/>
                      <w:sz w:val="22"/>
                      <w:szCs w:val="22"/>
                      <w:lang w:val="fr-CA" w:bidi="gu-IN"/>
                    </w:rPr>
                    <w:t xml:space="preserve"> Taxes (pages </w:t>
                  </w:r>
                  <w:r>
                    <w:rPr>
                      <w:rFonts w:ascii="Times New Roman" w:hAnsi="Times New Roman" w:cs="Shruti"/>
                      <w:sz w:val="22"/>
                      <w:szCs w:val="22"/>
                      <w:lang w:val="fr-CA" w:bidi="gu-IN"/>
                    </w:rPr>
                    <w:t>18-1 to 18-28</w:t>
                  </w:r>
                  <w:r w:rsidRPr="00573554">
                    <w:rPr>
                      <w:rFonts w:ascii="Times New Roman" w:hAnsi="Times New Roman" w:cs="Shruti"/>
                      <w:sz w:val="22"/>
                      <w:szCs w:val="22"/>
                      <w:lang w:val="fr-CA" w:bidi="gu-IN"/>
                    </w:rPr>
                    <w:t xml:space="preserve">+ </w:t>
                  </w:r>
                  <w:r w:rsidRPr="00573554">
                    <w:rPr>
                      <w:rFonts w:ascii="Times New Roman" w:hAnsi="Times New Roman" w:cs="Shruti"/>
                      <w:sz w:val="22"/>
                      <w:szCs w:val="22"/>
                      <w:lang w:bidi="gu-IN"/>
                    </w:rPr>
                    <w:t>Appendix</w:t>
                  </w:r>
                  <w:r w:rsidRPr="00573554">
                    <w:rPr>
                      <w:rFonts w:ascii="Times New Roman" w:hAnsi="Times New Roman" w:cs="Shruti"/>
                      <w:sz w:val="22"/>
                      <w:szCs w:val="22"/>
                      <w:lang w:val="fr-CA" w:bidi="gu-IN"/>
                    </w:rPr>
                    <w:t xml:space="preserve"> 18A) IAS 12</w:t>
                  </w:r>
                </w:p>
                <w:p w14:paraId="74347870" w14:textId="4C8E7B42" w:rsidR="008B2E3B" w:rsidRPr="00573554" w:rsidRDefault="008B2E3B" w:rsidP="003C4AAC">
                  <w:pPr>
                    <w:framePr w:hSpace="180" w:wrap="around" w:vAnchor="text" w:hAnchor="text" w:y="1"/>
                    <w:suppressOverlap/>
                    <w:rPr>
                      <w:rFonts w:ascii="Times New Roman" w:hAnsi="Times New Roman" w:cs="Shruti"/>
                      <w:sz w:val="22"/>
                      <w:szCs w:val="22"/>
                      <w:lang w:val="en-US" w:bidi="gu-IN"/>
                    </w:rPr>
                  </w:pPr>
                </w:p>
              </w:tc>
              <w:tc>
                <w:tcPr>
                  <w:tcW w:w="1559" w:type="dxa"/>
                  <w:tcBorders>
                    <w:top w:val="single" w:sz="4" w:space="0" w:color="auto"/>
                    <w:left w:val="single" w:sz="4" w:space="0" w:color="auto"/>
                    <w:bottom w:val="single" w:sz="4" w:space="0" w:color="auto"/>
                    <w:right w:val="single" w:sz="4" w:space="0" w:color="auto"/>
                  </w:tcBorders>
                </w:tcPr>
                <w:p w14:paraId="1BFD6730" w14:textId="3FDC5044" w:rsidR="008B2E3B" w:rsidRPr="00573554" w:rsidRDefault="00A60ECA" w:rsidP="003C4AAC">
                  <w:pPr>
                    <w:framePr w:hSpace="180" w:wrap="around" w:vAnchor="text" w:hAnchor="text" w:y="1"/>
                    <w:suppressOverlap/>
                    <w:rPr>
                      <w:rFonts w:ascii="Times New Roman" w:hAnsi="Times New Roman" w:cs="Shruti"/>
                      <w:sz w:val="22"/>
                      <w:szCs w:val="22"/>
                      <w:lang w:val="en-GB" w:bidi="gu-IN"/>
                    </w:rPr>
                  </w:pPr>
                  <w:r w:rsidRPr="00573554">
                    <w:rPr>
                      <w:rFonts w:ascii="Times New Roman" w:hAnsi="Times New Roman" w:cs="Shruti"/>
                      <w:sz w:val="22"/>
                      <w:szCs w:val="22"/>
                      <w:lang w:val="fr-FR" w:bidi="gu-IN"/>
                    </w:rPr>
                    <w:t xml:space="preserve">Ch. </w:t>
                  </w:r>
                  <w:r w:rsidRPr="00573554">
                    <w:rPr>
                      <w:rFonts w:ascii="Times New Roman" w:hAnsi="Times New Roman" w:cs="Shruti"/>
                      <w:sz w:val="22"/>
                      <w:szCs w:val="22"/>
                      <w:lang w:val="en-GB" w:bidi="gu-IN"/>
                    </w:rPr>
                    <w:t xml:space="preserve">18 </w:t>
                  </w:r>
                  <w:r w:rsidRPr="00573554">
                    <w:rPr>
                      <w:rFonts w:ascii="Times New Roman" w:hAnsi="Times New Roman" w:cs="Shruti"/>
                      <w:sz w:val="22"/>
                      <w:szCs w:val="22"/>
                      <w:lang w:val="en-US" w:bidi="gu-IN"/>
                    </w:rPr>
                    <w:t>and App. 18A</w:t>
                  </w:r>
                  <w:r w:rsidRPr="00573554">
                    <w:rPr>
                      <w:rFonts w:ascii="Times New Roman" w:hAnsi="Times New Roman" w:cs="Shruti"/>
                      <w:sz w:val="22"/>
                      <w:szCs w:val="22"/>
                      <w:lang w:bidi="gu-IN"/>
                    </w:rPr>
                    <w:t xml:space="preserve"> </w:t>
                  </w:r>
                </w:p>
              </w:tc>
              <w:tc>
                <w:tcPr>
                  <w:tcW w:w="3967" w:type="dxa"/>
                  <w:tcBorders>
                    <w:top w:val="single" w:sz="4" w:space="0" w:color="auto"/>
                    <w:left w:val="single" w:sz="4" w:space="0" w:color="auto"/>
                    <w:bottom w:val="single" w:sz="4" w:space="0" w:color="auto"/>
                    <w:right w:val="single" w:sz="4" w:space="0" w:color="auto"/>
                  </w:tcBorders>
                </w:tcPr>
                <w:p w14:paraId="052AC608" w14:textId="77777777" w:rsidR="00A60ECA" w:rsidRPr="00573554" w:rsidRDefault="00A60ECA"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E18-1, 5, 6, 7, 12, 19, 34</w:t>
                  </w:r>
                </w:p>
                <w:p w14:paraId="650EFAF9" w14:textId="54FBDBE0" w:rsidR="008B2E3B" w:rsidRPr="00573554" w:rsidRDefault="00A60ECA"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P18-1, 8, 14, 15</w:t>
                  </w:r>
                </w:p>
              </w:tc>
            </w:tr>
            <w:tr w:rsidR="00A60ECA" w:rsidRPr="00573554" w14:paraId="36381F51" w14:textId="77777777" w:rsidTr="0041513D">
              <w:trPr>
                <w:trHeight w:val="669"/>
              </w:trPr>
              <w:tc>
                <w:tcPr>
                  <w:tcW w:w="993" w:type="dxa"/>
                  <w:tcBorders>
                    <w:top w:val="single" w:sz="4" w:space="0" w:color="auto"/>
                    <w:left w:val="single" w:sz="4" w:space="0" w:color="auto"/>
                    <w:bottom w:val="single" w:sz="4" w:space="0" w:color="auto"/>
                    <w:right w:val="single" w:sz="4" w:space="0" w:color="auto"/>
                  </w:tcBorders>
                </w:tcPr>
                <w:p w14:paraId="4CE3DF3C" w14:textId="30DC5AEE" w:rsidR="00A60ECA" w:rsidRPr="00573554" w:rsidRDefault="00A60ECA"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Oct 23</w:t>
                  </w:r>
                </w:p>
              </w:tc>
              <w:tc>
                <w:tcPr>
                  <w:tcW w:w="3969" w:type="dxa"/>
                  <w:tcBorders>
                    <w:top w:val="single" w:sz="4" w:space="0" w:color="auto"/>
                    <w:left w:val="single" w:sz="4" w:space="0" w:color="auto"/>
                    <w:bottom w:val="single" w:sz="4" w:space="0" w:color="auto"/>
                    <w:right w:val="single" w:sz="4" w:space="0" w:color="auto"/>
                  </w:tcBorders>
                </w:tcPr>
                <w:p w14:paraId="6862E776" w14:textId="26EB5554"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Income Taxes (Loss Carryover Benefits) (</w:t>
                  </w:r>
                  <w:r w:rsidRPr="00573554">
                    <w:rPr>
                      <w:rFonts w:ascii="Times New Roman" w:hAnsi="Times New Roman" w:cs="Shruti"/>
                      <w:sz w:val="22"/>
                      <w:szCs w:val="22"/>
                      <w:lang w:bidi="gu-IN"/>
                    </w:rPr>
                    <w:t xml:space="preserve">pages </w:t>
                  </w:r>
                  <w:r>
                    <w:rPr>
                      <w:rFonts w:ascii="Times New Roman" w:hAnsi="Times New Roman" w:cs="Shruti"/>
                      <w:sz w:val="22"/>
                      <w:szCs w:val="22"/>
                      <w:lang w:bidi="gu-IN"/>
                    </w:rPr>
                    <w:t>18-28</w:t>
                  </w:r>
                  <w:r w:rsidRPr="00573554">
                    <w:rPr>
                      <w:rFonts w:ascii="Times New Roman" w:hAnsi="Times New Roman" w:cs="Shruti"/>
                      <w:sz w:val="22"/>
                      <w:szCs w:val="22"/>
                      <w:lang w:bidi="gu-IN"/>
                    </w:rPr>
                    <w:t xml:space="preserve"> –end).  </w:t>
                  </w:r>
                  <w:r w:rsidRPr="00573554">
                    <w:rPr>
                      <w:rFonts w:ascii="Times New Roman" w:hAnsi="Times New Roman" w:cs="Shruti"/>
                      <w:sz w:val="22"/>
                      <w:szCs w:val="22"/>
                      <w:lang w:val="en-US" w:bidi="gu-IN"/>
                    </w:rPr>
                    <w:t xml:space="preserve"> </w:t>
                  </w:r>
                  <w:r w:rsidRPr="00573554">
                    <w:rPr>
                      <w:rFonts w:ascii="Times New Roman" w:hAnsi="Times New Roman" w:cs="Shruti"/>
                      <w:i/>
                      <w:sz w:val="22"/>
                      <w:szCs w:val="22"/>
                      <w:lang w:val="en-US" w:bidi="gu-IN"/>
                    </w:rPr>
                    <w:t>Handbook</w:t>
                  </w:r>
                  <w:r w:rsidRPr="00573554">
                    <w:rPr>
                      <w:rFonts w:ascii="Times New Roman" w:hAnsi="Times New Roman" w:cs="Shruti"/>
                      <w:sz w:val="22"/>
                      <w:szCs w:val="22"/>
                      <w:lang w:val="en-US" w:bidi="gu-IN"/>
                    </w:rPr>
                    <w:t xml:space="preserve">, s. 3465  </w:t>
                  </w:r>
                </w:p>
              </w:tc>
              <w:tc>
                <w:tcPr>
                  <w:tcW w:w="1559" w:type="dxa"/>
                  <w:tcBorders>
                    <w:top w:val="single" w:sz="4" w:space="0" w:color="auto"/>
                    <w:left w:val="single" w:sz="4" w:space="0" w:color="auto"/>
                    <w:bottom w:val="single" w:sz="4" w:space="0" w:color="auto"/>
                    <w:right w:val="single" w:sz="4" w:space="0" w:color="auto"/>
                  </w:tcBorders>
                </w:tcPr>
                <w:p w14:paraId="35568218" w14:textId="5960F408"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bidi="gu-IN"/>
                    </w:rPr>
                    <w:t xml:space="preserve">Ch. </w:t>
                  </w:r>
                  <w:r w:rsidRPr="00573554">
                    <w:rPr>
                      <w:rFonts w:ascii="Times New Roman" w:hAnsi="Times New Roman" w:cs="Shruti"/>
                      <w:sz w:val="22"/>
                      <w:szCs w:val="22"/>
                      <w:lang w:val="en-GB" w:bidi="gu-IN"/>
                    </w:rPr>
                    <w:t>18</w:t>
                  </w:r>
                </w:p>
              </w:tc>
              <w:tc>
                <w:tcPr>
                  <w:tcW w:w="3967" w:type="dxa"/>
                  <w:tcBorders>
                    <w:top w:val="single" w:sz="4" w:space="0" w:color="auto"/>
                    <w:left w:val="single" w:sz="4" w:space="0" w:color="auto"/>
                    <w:bottom w:val="single" w:sz="4" w:space="0" w:color="auto"/>
                    <w:right w:val="single" w:sz="4" w:space="0" w:color="auto"/>
                  </w:tcBorders>
                </w:tcPr>
                <w:p w14:paraId="75F42CFF" w14:textId="77777777" w:rsidR="00A60ECA" w:rsidRPr="00573554" w:rsidRDefault="00A60ECA" w:rsidP="003C4AAC">
                  <w:pPr>
                    <w:framePr w:hSpace="180" w:wrap="around" w:vAnchor="text" w:hAnchor="text" w:y="1"/>
                    <w:suppressOverlap/>
                    <w:rPr>
                      <w:rFonts w:ascii="Times New Roman" w:hAnsi="Times New Roman" w:cs="Shruti"/>
                      <w:sz w:val="22"/>
                      <w:szCs w:val="22"/>
                      <w:lang w:val="it-IT" w:bidi="gu-IN"/>
                    </w:rPr>
                  </w:pPr>
                  <w:r w:rsidRPr="00573554">
                    <w:rPr>
                      <w:rFonts w:ascii="Times New Roman" w:hAnsi="Times New Roman" w:cs="Shruti"/>
                      <w:sz w:val="22"/>
                      <w:szCs w:val="22"/>
                      <w:lang w:val="it-IT" w:bidi="gu-IN"/>
                    </w:rPr>
                    <w:t>E18-22, 23, 25, 26</w:t>
                  </w:r>
                </w:p>
                <w:p w14:paraId="059C87BA" w14:textId="77777777" w:rsidR="00A60ECA" w:rsidRDefault="00A60ECA"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P18-12,</w:t>
                  </w:r>
                </w:p>
                <w:p w14:paraId="3EAE0D11" w14:textId="68777033" w:rsidR="00B37FA4" w:rsidRPr="00573554" w:rsidRDefault="00B37FA4"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A</w:t>
                  </w:r>
                  <w:r w:rsidRPr="00573554">
                    <w:rPr>
                      <w:rFonts w:ascii="Times New Roman" w:hAnsi="Times New Roman" w:cs="Shruti"/>
                      <w:sz w:val="22"/>
                      <w:szCs w:val="22"/>
                      <w:lang w:val="it-IT" w:bidi="gu-IN"/>
                    </w:rPr>
                    <w:t xml:space="preserve">ssignment </w:t>
                  </w:r>
                  <w:r>
                    <w:rPr>
                      <w:rFonts w:ascii="Times New Roman" w:hAnsi="Times New Roman" w:cs="Shruti"/>
                      <w:sz w:val="22"/>
                      <w:szCs w:val="22"/>
                      <w:lang w:val="it-IT" w:bidi="gu-IN"/>
                    </w:rPr>
                    <w:t>5</w:t>
                  </w:r>
                  <w:r w:rsidRPr="00573554">
                    <w:rPr>
                      <w:rFonts w:ascii="Times New Roman" w:hAnsi="Times New Roman" w:cs="Shruti"/>
                      <w:sz w:val="22"/>
                      <w:szCs w:val="22"/>
                      <w:lang w:val="it-IT" w:bidi="gu-IN"/>
                    </w:rPr>
                    <w:t xml:space="preserve"> available on </w:t>
                  </w:r>
                  <w:r>
                    <w:rPr>
                      <w:rFonts w:ascii="Times New Roman" w:hAnsi="Times New Roman" w:cs="Shruti"/>
                      <w:sz w:val="22"/>
                      <w:szCs w:val="22"/>
                      <w:lang w:val="it-IT" w:bidi="gu-IN"/>
                    </w:rPr>
                    <w:t>Oct 18</w:t>
                  </w:r>
                  <w:r w:rsidRPr="00573554">
                    <w:rPr>
                      <w:rFonts w:ascii="Times New Roman" w:hAnsi="Times New Roman" w:cs="Shruti"/>
                      <w:sz w:val="22"/>
                      <w:szCs w:val="22"/>
                      <w:lang w:val="it-IT" w:bidi="gu-IN"/>
                    </w:rPr>
                    <w:t xml:space="preserve">, 2019 due </w:t>
                  </w:r>
                  <w:r>
                    <w:rPr>
                      <w:rFonts w:ascii="Times New Roman" w:hAnsi="Times New Roman" w:cs="Shruti"/>
                      <w:sz w:val="22"/>
                      <w:szCs w:val="22"/>
                      <w:lang w:val="it-IT" w:bidi="gu-IN"/>
                    </w:rPr>
                    <w:t>Oct 25</w:t>
                  </w:r>
                  <w:r w:rsidRPr="00573554">
                    <w:rPr>
                      <w:rFonts w:ascii="Times New Roman" w:hAnsi="Times New Roman" w:cs="Shruti"/>
                      <w:sz w:val="22"/>
                      <w:szCs w:val="22"/>
                      <w:lang w:val="it-IT" w:bidi="gu-IN"/>
                    </w:rPr>
                    <w:t xml:space="preserve">, 2019 </w:t>
                  </w:r>
                  <w:r>
                    <w:rPr>
                      <w:rFonts w:ascii="Times New Roman" w:hAnsi="Times New Roman" w:cs="Shruti"/>
                      <w:sz w:val="22"/>
                      <w:szCs w:val="22"/>
                      <w:lang w:val="it-IT" w:bidi="gu-IN"/>
                    </w:rPr>
                    <w:t>by 5:00</w:t>
                  </w:r>
                  <w:r w:rsidR="0041513D">
                    <w:rPr>
                      <w:rFonts w:ascii="Times New Roman" w:hAnsi="Times New Roman" w:cs="Shruti"/>
                      <w:sz w:val="22"/>
                      <w:szCs w:val="22"/>
                      <w:lang w:val="it-IT" w:bidi="gu-IN"/>
                    </w:rPr>
                    <w:t xml:space="preserve"> </w:t>
                  </w:r>
                  <w:r>
                    <w:rPr>
                      <w:rFonts w:ascii="Times New Roman" w:hAnsi="Times New Roman" w:cs="Shruti"/>
                      <w:sz w:val="22"/>
                      <w:szCs w:val="22"/>
                      <w:lang w:val="it-IT" w:bidi="gu-IN"/>
                    </w:rPr>
                    <w:t>pm</w:t>
                  </w:r>
                </w:p>
              </w:tc>
            </w:tr>
            <w:tr w:rsidR="00A60ECA" w:rsidRPr="00573554" w14:paraId="705BA86D" w14:textId="77777777" w:rsidTr="0041513D">
              <w:trPr>
                <w:trHeight w:val="804"/>
              </w:trPr>
              <w:tc>
                <w:tcPr>
                  <w:tcW w:w="993" w:type="dxa"/>
                  <w:tcBorders>
                    <w:top w:val="single" w:sz="4" w:space="0" w:color="auto"/>
                    <w:left w:val="single" w:sz="4" w:space="0" w:color="auto"/>
                    <w:bottom w:val="single" w:sz="4" w:space="0" w:color="auto"/>
                    <w:right w:val="single" w:sz="4" w:space="0" w:color="auto"/>
                  </w:tcBorders>
                </w:tcPr>
                <w:p w14:paraId="22162D9C" w14:textId="0343AD70" w:rsidR="00A60ECA" w:rsidRPr="00573554" w:rsidRDefault="00A60ECA"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Oct 28 &amp; 30</w:t>
                  </w:r>
                </w:p>
              </w:tc>
              <w:tc>
                <w:tcPr>
                  <w:tcW w:w="3969" w:type="dxa"/>
                  <w:tcBorders>
                    <w:top w:val="single" w:sz="4" w:space="0" w:color="auto"/>
                    <w:left w:val="single" w:sz="4" w:space="0" w:color="auto"/>
                    <w:bottom w:val="single" w:sz="4" w:space="0" w:color="auto"/>
                    <w:right w:val="single" w:sz="4" w:space="0" w:color="auto"/>
                  </w:tcBorders>
                </w:tcPr>
                <w:p w14:paraId="492C16BB" w14:textId="77777777" w:rsidR="005A6EF8" w:rsidRPr="00573554" w:rsidRDefault="005A6EF8"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Pensions and Other Post-Employment Benefits </w:t>
                  </w:r>
                </w:p>
                <w:p w14:paraId="0AFE377E" w14:textId="3B70D395" w:rsidR="00A60ECA" w:rsidRPr="00573554" w:rsidRDefault="005A6EF8"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IAS 19</w:t>
                  </w:r>
                </w:p>
              </w:tc>
              <w:tc>
                <w:tcPr>
                  <w:tcW w:w="1559" w:type="dxa"/>
                  <w:tcBorders>
                    <w:top w:val="single" w:sz="4" w:space="0" w:color="auto"/>
                    <w:left w:val="single" w:sz="4" w:space="0" w:color="auto"/>
                    <w:bottom w:val="single" w:sz="4" w:space="0" w:color="auto"/>
                    <w:right w:val="single" w:sz="4" w:space="0" w:color="auto"/>
                  </w:tcBorders>
                </w:tcPr>
                <w:p w14:paraId="55A39A70" w14:textId="43DCA0BA" w:rsidR="00A60ECA" w:rsidRPr="00573554" w:rsidRDefault="005A6EF8" w:rsidP="003C4AAC">
                  <w:pPr>
                    <w:framePr w:hSpace="180" w:wrap="around" w:vAnchor="text" w:hAnchor="text" w:y="1"/>
                    <w:suppressOverlap/>
                    <w:rPr>
                      <w:rFonts w:ascii="Times New Roman" w:hAnsi="Times New Roman" w:cs="Shruti"/>
                      <w:sz w:val="22"/>
                      <w:szCs w:val="22"/>
                      <w:lang w:val="en-GB" w:bidi="gu-IN"/>
                    </w:rPr>
                  </w:pPr>
                  <w:r w:rsidRPr="00573554">
                    <w:rPr>
                      <w:rFonts w:ascii="Times New Roman" w:hAnsi="Times New Roman" w:cs="Shruti"/>
                      <w:sz w:val="22"/>
                      <w:szCs w:val="22"/>
                      <w:lang w:val="fr-FR" w:bidi="gu-IN"/>
                    </w:rPr>
                    <w:t xml:space="preserve">Ch. </w:t>
                  </w:r>
                  <w:r w:rsidRPr="00573554">
                    <w:rPr>
                      <w:rFonts w:ascii="Times New Roman" w:hAnsi="Times New Roman" w:cs="Shruti"/>
                      <w:sz w:val="22"/>
                      <w:szCs w:val="22"/>
                      <w:lang w:val="en-US" w:bidi="gu-IN"/>
                    </w:rPr>
                    <w:t>19</w:t>
                  </w:r>
                </w:p>
              </w:tc>
              <w:tc>
                <w:tcPr>
                  <w:tcW w:w="3967" w:type="dxa"/>
                  <w:tcBorders>
                    <w:top w:val="single" w:sz="4" w:space="0" w:color="auto"/>
                    <w:left w:val="single" w:sz="4" w:space="0" w:color="auto"/>
                    <w:bottom w:val="single" w:sz="4" w:space="0" w:color="auto"/>
                    <w:right w:val="single" w:sz="4" w:space="0" w:color="auto"/>
                  </w:tcBorders>
                </w:tcPr>
                <w:p w14:paraId="0975FF11" w14:textId="178FFE04" w:rsidR="005A6EF8" w:rsidRPr="00573554" w:rsidRDefault="005A6EF8" w:rsidP="003C4AAC">
                  <w:pPr>
                    <w:framePr w:hSpace="180" w:wrap="around" w:vAnchor="text" w:hAnchor="text" w:y="1"/>
                    <w:suppressOverlap/>
                    <w:rPr>
                      <w:rFonts w:ascii="Times New Roman" w:hAnsi="Times New Roman" w:cs="Shruti"/>
                      <w:bCs/>
                      <w:sz w:val="22"/>
                      <w:szCs w:val="22"/>
                      <w:lang w:val="en-US" w:bidi="gu-IN"/>
                    </w:rPr>
                  </w:pPr>
                  <w:r>
                    <w:rPr>
                      <w:rFonts w:ascii="Times New Roman" w:hAnsi="Times New Roman" w:cs="Shruti"/>
                      <w:bCs/>
                      <w:sz w:val="22"/>
                      <w:szCs w:val="22"/>
                      <w:lang w:val="en-US" w:bidi="gu-IN"/>
                    </w:rPr>
                    <w:t>E</w:t>
                  </w:r>
                  <w:r w:rsidRPr="00573554">
                    <w:rPr>
                      <w:rFonts w:ascii="Times New Roman" w:hAnsi="Times New Roman" w:cs="Shruti"/>
                      <w:bCs/>
                      <w:sz w:val="22"/>
                      <w:szCs w:val="22"/>
                      <w:lang w:val="en-US" w:bidi="gu-IN"/>
                    </w:rPr>
                    <w:t>19-3, 5, 7, 10, 14, 16</w:t>
                  </w:r>
                </w:p>
                <w:p w14:paraId="0EC6D83E" w14:textId="77777777" w:rsidR="005A6EF8" w:rsidRPr="00573554" w:rsidRDefault="005A6EF8" w:rsidP="003C4AAC">
                  <w:pPr>
                    <w:framePr w:hSpace="180" w:wrap="around" w:vAnchor="text" w:hAnchor="text" w:y="1"/>
                    <w:suppressOverlap/>
                    <w:rPr>
                      <w:rFonts w:ascii="Times New Roman" w:hAnsi="Times New Roman" w:cs="Shruti"/>
                      <w:bCs/>
                      <w:sz w:val="22"/>
                      <w:szCs w:val="22"/>
                      <w:lang w:val="en-US" w:bidi="gu-IN"/>
                    </w:rPr>
                  </w:pPr>
                  <w:r w:rsidRPr="00573554">
                    <w:rPr>
                      <w:rFonts w:ascii="Times New Roman" w:hAnsi="Times New Roman" w:cs="Shruti"/>
                      <w:bCs/>
                      <w:sz w:val="22"/>
                      <w:szCs w:val="22"/>
                      <w:lang w:val="en-US" w:bidi="gu-IN"/>
                    </w:rPr>
                    <w:t>P19-3, 5, 8, 11, 12, 13</w:t>
                  </w:r>
                </w:p>
                <w:p w14:paraId="49E85041" w14:textId="651BB971"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it-IT" w:bidi="gu-IN"/>
                    </w:rPr>
                    <w:t xml:space="preserve">Assignment 6 available on </w:t>
                  </w:r>
                  <w:r w:rsidR="00B37FA4">
                    <w:rPr>
                      <w:rFonts w:ascii="Times New Roman" w:hAnsi="Times New Roman" w:cs="Shruti"/>
                      <w:sz w:val="22"/>
                      <w:szCs w:val="22"/>
                      <w:lang w:val="it-IT" w:bidi="gu-IN"/>
                    </w:rPr>
                    <w:t>Oct 25</w:t>
                  </w:r>
                  <w:r w:rsidRPr="00573554">
                    <w:rPr>
                      <w:rFonts w:ascii="Times New Roman" w:hAnsi="Times New Roman" w:cs="Shruti"/>
                      <w:sz w:val="22"/>
                      <w:szCs w:val="22"/>
                      <w:lang w:val="it-IT" w:bidi="gu-IN"/>
                    </w:rPr>
                    <w:t xml:space="preserve">, 2019 due </w:t>
                  </w:r>
                  <w:r w:rsidR="00B37FA4">
                    <w:rPr>
                      <w:rFonts w:ascii="Times New Roman" w:hAnsi="Times New Roman" w:cs="Shruti"/>
                      <w:sz w:val="22"/>
                      <w:szCs w:val="22"/>
                      <w:lang w:val="it-IT" w:bidi="gu-IN"/>
                    </w:rPr>
                    <w:t>Nov 1,</w:t>
                  </w:r>
                  <w:r w:rsidRPr="00573554">
                    <w:rPr>
                      <w:rFonts w:ascii="Times New Roman" w:hAnsi="Times New Roman" w:cs="Shruti"/>
                      <w:sz w:val="22"/>
                      <w:szCs w:val="22"/>
                      <w:lang w:val="it-IT" w:bidi="gu-IN"/>
                    </w:rPr>
                    <w:t xml:space="preserve"> 2019 </w:t>
                  </w:r>
                  <w:r w:rsidR="00B37FA4">
                    <w:rPr>
                      <w:rFonts w:ascii="Times New Roman" w:hAnsi="Times New Roman" w:cs="Shruti"/>
                      <w:sz w:val="22"/>
                      <w:szCs w:val="22"/>
                      <w:lang w:val="it-IT" w:bidi="gu-IN"/>
                    </w:rPr>
                    <w:t>by 5:00 pm</w:t>
                  </w:r>
                </w:p>
              </w:tc>
            </w:tr>
            <w:tr w:rsidR="00A60ECA" w:rsidRPr="00573554" w14:paraId="3A99D9A4" w14:textId="77777777" w:rsidTr="0041513D">
              <w:trPr>
                <w:trHeight w:val="804"/>
              </w:trPr>
              <w:tc>
                <w:tcPr>
                  <w:tcW w:w="993" w:type="dxa"/>
                  <w:tcBorders>
                    <w:top w:val="single" w:sz="4" w:space="0" w:color="auto"/>
                    <w:left w:val="single" w:sz="4" w:space="0" w:color="auto"/>
                    <w:bottom w:val="single" w:sz="4" w:space="0" w:color="auto"/>
                    <w:right w:val="single" w:sz="4" w:space="0" w:color="auto"/>
                  </w:tcBorders>
                </w:tcPr>
                <w:p w14:paraId="07594B85" w14:textId="3BF527B1" w:rsidR="00A60ECA" w:rsidRPr="00573554" w:rsidRDefault="005A6EF8"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Nov 4 &amp; 6</w:t>
                  </w:r>
                </w:p>
              </w:tc>
              <w:tc>
                <w:tcPr>
                  <w:tcW w:w="3969" w:type="dxa"/>
                  <w:tcBorders>
                    <w:top w:val="single" w:sz="4" w:space="0" w:color="auto"/>
                    <w:left w:val="single" w:sz="4" w:space="0" w:color="auto"/>
                    <w:bottom w:val="single" w:sz="4" w:space="0" w:color="auto"/>
                    <w:right w:val="single" w:sz="4" w:space="0" w:color="auto"/>
                  </w:tcBorders>
                </w:tcPr>
                <w:p w14:paraId="4EAB88FC"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Leases</w:t>
                  </w:r>
                </w:p>
                <w:p w14:paraId="07B2F2C7" w14:textId="2A22FB8F" w:rsidR="005A6EF8" w:rsidRPr="00573554" w:rsidRDefault="00A60ECA" w:rsidP="003C4AAC">
                  <w:pPr>
                    <w:framePr w:hSpace="180" w:wrap="around" w:vAnchor="text" w:hAnchor="text" w:y="1"/>
                    <w:suppressOverlap/>
                    <w:rPr>
                      <w:rFonts w:ascii="Times New Roman" w:hAnsi="Times New Roman" w:cs="Shruti"/>
                      <w:bCs/>
                      <w:sz w:val="22"/>
                      <w:szCs w:val="22"/>
                      <w:lang w:val="en-US" w:bidi="gu-IN"/>
                    </w:rPr>
                  </w:pPr>
                  <w:r w:rsidRPr="00573554">
                    <w:rPr>
                      <w:rFonts w:ascii="Times New Roman" w:hAnsi="Times New Roman" w:cs="Shruti"/>
                      <w:sz w:val="22"/>
                      <w:szCs w:val="22"/>
                      <w:lang w:val="en-US" w:bidi="gu-IN"/>
                    </w:rPr>
                    <w:t>IFRS 16 and IAS 17</w:t>
                  </w:r>
                  <w:r w:rsidR="005A6EF8">
                    <w:rPr>
                      <w:rFonts w:ascii="Times New Roman" w:hAnsi="Times New Roman" w:cs="Shruti"/>
                      <w:sz w:val="22"/>
                      <w:szCs w:val="22"/>
                      <w:lang w:val="en-US" w:bidi="gu-IN"/>
                    </w:rPr>
                    <w:t xml:space="preserve"> </w:t>
                  </w:r>
                  <w:r w:rsidRPr="00573554">
                    <w:rPr>
                      <w:rFonts w:ascii="Times New Roman" w:hAnsi="Times New Roman" w:cs="Shruti"/>
                      <w:sz w:val="22"/>
                      <w:szCs w:val="22"/>
                      <w:lang w:val="en-US" w:bidi="gu-IN"/>
                    </w:rPr>
                    <w:t xml:space="preserve">Pensions and Other </w:t>
                  </w:r>
                </w:p>
                <w:p w14:paraId="77187E60" w14:textId="16C5DD43" w:rsidR="00A60ECA" w:rsidRPr="00573554" w:rsidRDefault="00A60ECA" w:rsidP="003C4AAC">
                  <w:pPr>
                    <w:framePr w:hSpace="180" w:wrap="around" w:vAnchor="text" w:hAnchor="text" w:y="1"/>
                    <w:suppressOverlap/>
                    <w:rPr>
                      <w:rFonts w:ascii="Times New Roman" w:hAnsi="Times New Roman" w:cs="Shruti"/>
                      <w:bCs/>
                      <w:sz w:val="22"/>
                      <w:szCs w:val="22"/>
                      <w:lang w:val="en-US" w:bidi="gu-IN"/>
                    </w:rPr>
                  </w:pPr>
                </w:p>
              </w:tc>
              <w:tc>
                <w:tcPr>
                  <w:tcW w:w="1559" w:type="dxa"/>
                  <w:tcBorders>
                    <w:top w:val="single" w:sz="4" w:space="0" w:color="auto"/>
                    <w:left w:val="single" w:sz="4" w:space="0" w:color="auto"/>
                    <w:bottom w:val="single" w:sz="4" w:space="0" w:color="auto"/>
                    <w:right w:val="single" w:sz="4" w:space="0" w:color="auto"/>
                  </w:tcBorders>
                </w:tcPr>
                <w:p w14:paraId="01B53106" w14:textId="49708DE9" w:rsidR="00A60ECA" w:rsidRPr="00573554" w:rsidRDefault="00A60ECA" w:rsidP="003C4AAC">
                  <w:pPr>
                    <w:framePr w:hSpace="180" w:wrap="around" w:vAnchor="text" w:hAnchor="text" w:y="1"/>
                    <w:suppressOverlap/>
                    <w:rPr>
                      <w:rFonts w:ascii="Times New Roman" w:hAnsi="Times New Roman" w:cs="Shruti"/>
                      <w:bCs/>
                      <w:sz w:val="22"/>
                      <w:szCs w:val="22"/>
                      <w:lang w:val="en-US" w:bidi="gu-IN"/>
                    </w:rPr>
                  </w:pPr>
                  <w:r w:rsidRPr="00573554">
                    <w:rPr>
                      <w:rFonts w:ascii="Times New Roman" w:hAnsi="Times New Roman" w:cs="Shruti"/>
                      <w:sz w:val="22"/>
                      <w:szCs w:val="22"/>
                      <w:lang w:val="en-US" w:bidi="gu-IN"/>
                    </w:rPr>
                    <w:t xml:space="preserve">Ch. </w:t>
                  </w:r>
                  <w:r w:rsidRPr="00573554">
                    <w:rPr>
                      <w:rFonts w:ascii="Times New Roman" w:hAnsi="Times New Roman" w:cs="Shruti"/>
                      <w:sz w:val="22"/>
                      <w:szCs w:val="22"/>
                      <w:lang w:val="en-GB" w:bidi="gu-IN"/>
                    </w:rPr>
                    <w:t xml:space="preserve">20 </w:t>
                  </w:r>
                  <w:r w:rsidRPr="00573554">
                    <w:rPr>
                      <w:rFonts w:ascii="Times New Roman" w:hAnsi="Times New Roman" w:cs="Shruti"/>
                      <w:sz w:val="22"/>
                      <w:szCs w:val="22"/>
                      <w:lang w:val="en-US" w:bidi="gu-IN"/>
                    </w:rPr>
                    <w:t xml:space="preserve">and App. 20A </w:t>
                  </w:r>
                </w:p>
              </w:tc>
              <w:tc>
                <w:tcPr>
                  <w:tcW w:w="3967" w:type="dxa"/>
                  <w:tcBorders>
                    <w:top w:val="single" w:sz="4" w:space="0" w:color="auto"/>
                    <w:left w:val="single" w:sz="4" w:space="0" w:color="auto"/>
                    <w:bottom w:val="single" w:sz="4" w:space="0" w:color="auto"/>
                    <w:right w:val="single" w:sz="4" w:space="0" w:color="auto"/>
                  </w:tcBorders>
                </w:tcPr>
                <w:p w14:paraId="14B794A7" w14:textId="4DA6F6A0" w:rsidR="005A6EF8"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bCs/>
                      <w:sz w:val="22"/>
                      <w:szCs w:val="22"/>
                      <w:lang w:val="en-US" w:bidi="gu-IN"/>
                    </w:rPr>
                    <w:t>E</w:t>
                  </w:r>
                  <w:r w:rsidR="005A6EF8" w:rsidRPr="00573554">
                    <w:rPr>
                      <w:rFonts w:ascii="Times New Roman" w:hAnsi="Times New Roman" w:cs="Shruti"/>
                      <w:sz w:val="22"/>
                      <w:szCs w:val="22"/>
                      <w:lang w:val="en-US" w:bidi="gu-IN"/>
                    </w:rPr>
                    <w:t xml:space="preserve"> E20-3, 5, 6, 11, 12, 17, 24</w:t>
                  </w:r>
                </w:p>
                <w:p w14:paraId="61CE97EB" w14:textId="77777777" w:rsidR="005A6EF8" w:rsidRPr="00573554" w:rsidRDefault="005A6EF8"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P20-3, 5, 9, 10, 11, 17</w:t>
                  </w:r>
                </w:p>
                <w:p w14:paraId="42F9C27B" w14:textId="178C9DA7" w:rsidR="00B37FA4" w:rsidRDefault="00B37FA4"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 xml:space="preserve">Group </w:t>
                  </w:r>
                  <w:r w:rsidR="00A60ECA" w:rsidRPr="00573554">
                    <w:rPr>
                      <w:rFonts w:ascii="Times New Roman" w:hAnsi="Times New Roman" w:cs="Shruti"/>
                      <w:sz w:val="22"/>
                      <w:szCs w:val="22"/>
                      <w:lang w:val="it-IT" w:bidi="gu-IN"/>
                    </w:rPr>
                    <w:t xml:space="preserve">Case  available for purchase by </w:t>
                  </w:r>
                  <w:r>
                    <w:rPr>
                      <w:rFonts w:ascii="Times New Roman" w:hAnsi="Times New Roman" w:cs="Shruti"/>
                      <w:sz w:val="22"/>
                      <w:szCs w:val="22"/>
                      <w:lang w:val="it-IT" w:bidi="gu-IN"/>
                    </w:rPr>
                    <w:t>Nov 5</w:t>
                  </w:r>
                  <w:r w:rsidR="00A60ECA" w:rsidRPr="00573554">
                    <w:rPr>
                      <w:rFonts w:ascii="Times New Roman" w:hAnsi="Times New Roman" w:cs="Shruti"/>
                      <w:sz w:val="22"/>
                      <w:szCs w:val="22"/>
                      <w:lang w:val="it-IT" w:bidi="gu-IN"/>
                    </w:rPr>
                    <w:t xml:space="preserve">, 2019 due </w:t>
                  </w:r>
                  <w:r>
                    <w:rPr>
                      <w:rFonts w:ascii="Times New Roman" w:hAnsi="Times New Roman" w:cs="Shruti"/>
                      <w:sz w:val="22"/>
                      <w:szCs w:val="22"/>
                      <w:lang w:val="it-IT" w:bidi="gu-IN"/>
                    </w:rPr>
                    <w:t>Nov 18,</w:t>
                  </w:r>
                  <w:r w:rsidR="00A60ECA" w:rsidRPr="00573554">
                    <w:rPr>
                      <w:rFonts w:ascii="Times New Roman" w:hAnsi="Times New Roman" w:cs="Shruti"/>
                      <w:sz w:val="22"/>
                      <w:szCs w:val="22"/>
                      <w:lang w:val="it-IT" w:bidi="gu-IN"/>
                    </w:rPr>
                    <w:t xml:space="preserve"> 2019 </w:t>
                  </w:r>
                  <w:r>
                    <w:rPr>
                      <w:rFonts w:ascii="Times New Roman" w:hAnsi="Times New Roman" w:cs="Shruti"/>
                      <w:sz w:val="22"/>
                      <w:szCs w:val="22"/>
                      <w:lang w:val="it-IT" w:bidi="gu-IN"/>
                    </w:rPr>
                    <w:t>at the beginning of class</w:t>
                  </w:r>
                </w:p>
                <w:p w14:paraId="7E2A5F60" w14:textId="0B426A23" w:rsidR="00A60ECA" w:rsidRPr="00573554" w:rsidRDefault="00B37FA4" w:rsidP="003C4AAC">
                  <w:pPr>
                    <w:framePr w:hSpace="180" w:wrap="around" w:vAnchor="text" w:hAnchor="text" w:y="1"/>
                    <w:suppressOverlap/>
                    <w:rPr>
                      <w:rFonts w:ascii="Times New Roman" w:hAnsi="Times New Roman" w:cs="Shruti"/>
                      <w:bCs/>
                      <w:sz w:val="22"/>
                      <w:szCs w:val="22"/>
                      <w:lang w:val="en-US" w:bidi="gu-IN"/>
                    </w:rPr>
                  </w:pPr>
                  <w:r>
                    <w:rPr>
                      <w:rFonts w:ascii="Times New Roman" w:hAnsi="Times New Roman" w:cs="Shruti"/>
                      <w:sz w:val="22"/>
                      <w:szCs w:val="22"/>
                      <w:lang w:val="it-IT" w:bidi="gu-IN"/>
                    </w:rPr>
                    <w:lastRenderedPageBreak/>
                    <w:t>Ass</w:t>
                  </w:r>
                  <w:r w:rsidR="00A60ECA" w:rsidRPr="00573554">
                    <w:rPr>
                      <w:rFonts w:ascii="Times New Roman" w:hAnsi="Times New Roman" w:cs="Shruti"/>
                      <w:sz w:val="22"/>
                      <w:szCs w:val="22"/>
                      <w:lang w:val="it-IT" w:bidi="gu-IN"/>
                    </w:rPr>
                    <w:t xml:space="preserve">ignment 7 available on </w:t>
                  </w:r>
                  <w:r>
                    <w:rPr>
                      <w:rFonts w:ascii="Times New Roman" w:hAnsi="Times New Roman" w:cs="Shruti"/>
                      <w:sz w:val="22"/>
                      <w:szCs w:val="22"/>
                      <w:lang w:val="it-IT" w:bidi="gu-IN"/>
                    </w:rPr>
                    <w:t>Nov 1</w:t>
                  </w:r>
                  <w:r w:rsidR="00A60ECA" w:rsidRPr="00573554">
                    <w:rPr>
                      <w:rFonts w:ascii="Times New Roman" w:hAnsi="Times New Roman" w:cs="Shruti"/>
                      <w:sz w:val="22"/>
                      <w:szCs w:val="22"/>
                      <w:lang w:val="it-IT" w:bidi="gu-IN"/>
                    </w:rPr>
                    <w:t xml:space="preserve">, 2019 due </w:t>
                  </w:r>
                  <w:r>
                    <w:rPr>
                      <w:rFonts w:ascii="Times New Roman" w:hAnsi="Times New Roman" w:cs="Shruti"/>
                      <w:sz w:val="22"/>
                      <w:szCs w:val="22"/>
                      <w:lang w:val="it-IT" w:bidi="gu-IN"/>
                    </w:rPr>
                    <w:t>Nov 8, 2019 by 5:00 pm</w:t>
                  </w:r>
                </w:p>
              </w:tc>
            </w:tr>
            <w:tr w:rsidR="00A60ECA" w:rsidRPr="00573554" w14:paraId="7F402FBB" w14:textId="77777777" w:rsidTr="0041513D">
              <w:trPr>
                <w:trHeight w:val="804"/>
              </w:trPr>
              <w:tc>
                <w:tcPr>
                  <w:tcW w:w="993" w:type="dxa"/>
                  <w:tcBorders>
                    <w:top w:val="single" w:sz="4" w:space="0" w:color="auto"/>
                    <w:left w:val="single" w:sz="4" w:space="0" w:color="auto"/>
                    <w:bottom w:val="single" w:sz="4" w:space="0" w:color="auto"/>
                    <w:right w:val="single" w:sz="4" w:space="0" w:color="auto"/>
                  </w:tcBorders>
                </w:tcPr>
                <w:p w14:paraId="3B3F347B" w14:textId="14B21D65" w:rsidR="00A60ECA" w:rsidRPr="00573554" w:rsidRDefault="005A6EF8"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lastRenderedPageBreak/>
                    <w:t>Nov 11 &amp; 13</w:t>
                  </w:r>
                </w:p>
              </w:tc>
              <w:tc>
                <w:tcPr>
                  <w:tcW w:w="3969" w:type="dxa"/>
                  <w:tcBorders>
                    <w:top w:val="single" w:sz="4" w:space="0" w:color="auto"/>
                    <w:left w:val="single" w:sz="4" w:space="0" w:color="auto"/>
                    <w:bottom w:val="single" w:sz="4" w:space="0" w:color="auto"/>
                    <w:right w:val="single" w:sz="4" w:space="0" w:color="auto"/>
                  </w:tcBorders>
                </w:tcPr>
                <w:p w14:paraId="02CD2C9A"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Accounting Changes and Error Analysis </w:t>
                  </w:r>
                </w:p>
                <w:p w14:paraId="1434C23A"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IAS 8</w:t>
                  </w:r>
                </w:p>
              </w:tc>
              <w:tc>
                <w:tcPr>
                  <w:tcW w:w="1559" w:type="dxa"/>
                  <w:tcBorders>
                    <w:top w:val="single" w:sz="4" w:space="0" w:color="auto"/>
                    <w:left w:val="single" w:sz="4" w:space="0" w:color="auto"/>
                    <w:bottom w:val="single" w:sz="4" w:space="0" w:color="auto"/>
                    <w:right w:val="single" w:sz="4" w:space="0" w:color="auto"/>
                  </w:tcBorders>
                </w:tcPr>
                <w:p w14:paraId="470BD9FA"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fr-FR" w:bidi="gu-IN"/>
                    </w:rPr>
                    <w:t xml:space="preserve">Ch. </w:t>
                  </w:r>
                  <w:r w:rsidRPr="00573554">
                    <w:rPr>
                      <w:rFonts w:ascii="Times New Roman" w:hAnsi="Times New Roman" w:cs="Shruti"/>
                      <w:sz w:val="22"/>
                      <w:szCs w:val="22"/>
                      <w:lang w:val="en-US" w:bidi="gu-IN"/>
                    </w:rPr>
                    <w:t>21 and App. 21A</w:t>
                  </w:r>
                </w:p>
              </w:tc>
              <w:tc>
                <w:tcPr>
                  <w:tcW w:w="3967" w:type="dxa"/>
                  <w:tcBorders>
                    <w:top w:val="single" w:sz="4" w:space="0" w:color="auto"/>
                    <w:left w:val="single" w:sz="4" w:space="0" w:color="auto"/>
                    <w:bottom w:val="single" w:sz="4" w:space="0" w:color="auto"/>
                    <w:right w:val="single" w:sz="4" w:space="0" w:color="auto"/>
                  </w:tcBorders>
                </w:tcPr>
                <w:p w14:paraId="2CB6316D" w14:textId="77777777" w:rsidR="00A60ECA" w:rsidRPr="00573554" w:rsidRDefault="00A60ECA" w:rsidP="003C4AAC">
                  <w:pPr>
                    <w:framePr w:hSpace="180" w:wrap="around" w:vAnchor="text" w:hAnchor="text" w:y="1"/>
                    <w:suppressOverlap/>
                    <w:rPr>
                      <w:rFonts w:ascii="Times New Roman" w:hAnsi="Times New Roman" w:cs="Shruti"/>
                      <w:bCs/>
                      <w:sz w:val="22"/>
                      <w:szCs w:val="22"/>
                      <w:lang w:val="it-IT" w:bidi="gu-IN"/>
                    </w:rPr>
                  </w:pPr>
                  <w:r w:rsidRPr="00573554">
                    <w:rPr>
                      <w:rFonts w:ascii="Times New Roman" w:hAnsi="Times New Roman" w:cs="Shruti"/>
                      <w:bCs/>
                      <w:sz w:val="22"/>
                      <w:szCs w:val="22"/>
                      <w:lang w:val="it-IT" w:bidi="gu-IN"/>
                    </w:rPr>
                    <w:t>E21-2, 7, 8, 11, 18</w:t>
                  </w:r>
                </w:p>
                <w:p w14:paraId="6492E1C3" w14:textId="77777777" w:rsidR="00A60ECA" w:rsidRPr="00573554" w:rsidRDefault="00A60ECA" w:rsidP="003C4AAC">
                  <w:pPr>
                    <w:framePr w:hSpace="180" w:wrap="around" w:vAnchor="text" w:hAnchor="text" w:y="1"/>
                    <w:suppressOverlap/>
                    <w:rPr>
                      <w:rFonts w:ascii="Times New Roman" w:hAnsi="Times New Roman" w:cs="Shruti"/>
                      <w:bCs/>
                      <w:sz w:val="22"/>
                      <w:szCs w:val="22"/>
                      <w:lang w:val="it-IT" w:bidi="gu-IN"/>
                    </w:rPr>
                  </w:pPr>
                  <w:r w:rsidRPr="00573554">
                    <w:rPr>
                      <w:rFonts w:ascii="Times New Roman" w:hAnsi="Times New Roman" w:cs="Shruti"/>
                      <w:bCs/>
                      <w:sz w:val="22"/>
                      <w:szCs w:val="22"/>
                      <w:lang w:val="it-IT" w:bidi="gu-IN"/>
                    </w:rPr>
                    <w:t>P21-3, 8, 12, 15</w:t>
                  </w:r>
                </w:p>
                <w:p w14:paraId="71EBD466" w14:textId="383C1071" w:rsidR="00A60ECA" w:rsidRPr="00573554" w:rsidRDefault="00A60ECA" w:rsidP="003C4AAC">
                  <w:pPr>
                    <w:framePr w:hSpace="180" w:wrap="around" w:vAnchor="text" w:hAnchor="text" w:y="1"/>
                    <w:suppressOverlap/>
                    <w:rPr>
                      <w:rFonts w:ascii="Times New Roman" w:hAnsi="Times New Roman" w:cs="Shruti"/>
                      <w:bCs/>
                      <w:sz w:val="22"/>
                      <w:szCs w:val="22"/>
                      <w:lang w:val="it-IT" w:bidi="gu-IN"/>
                    </w:rPr>
                  </w:pPr>
                  <w:r w:rsidRPr="00573554">
                    <w:rPr>
                      <w:rFonts w:ascii="Times New Roman" w:hAnsi="Times New Roman" w:cs="Shruti"/>
                      <w:sz w:val="22"/>
                      <w:szCs w:val="22"/>
                      <w:lang w:val="it-IT" w:bidi="gu-IN"/>
                    </w:rPr>
                    <w:t xml:space="preserve">Assignment 8 available on </w:t>
                  </w:r>
                  <w:r w:rsidR="00B37FA4">
                    <w:rPr>
                      <w:rFonts w:ascii="Times New Roman" w:hAnsi="Times New Roman" w:cs="Shruti"/>
                      <w:sz w:val="22"/>
                      <w:szCs w:val="22"/>
                      <w:lang w:val="it-IT" w:bidi="gu-IN"/>
                    </w:rPr>
                    <w:t>Nov 8</w:t>
                  </w:r>
                  <w:r w:rsidRPr="00573554">
                    <w:rPr>
                      <w:rFonts w:ascii="Times New Roman" w:hAnsi="Times New Roman" w:cs="Shruti"/>
                      <w:sz w:val="22"/>
                      <w:szCs w:val="22"/>
                      <w:lang w:val="it-IT" w:bidi="gu-IN"/>
                    </w:rPr>
                    <w:t xml:space="preserve">, 2019 due </w:t>
                  </w:r>
                  <w:r w:rsidR="00B37FA4">
                    <w:rPr>
                      <w:rFonts w:ascii="Times New Roman" w:hAnsi="Times New Roman" w:cs="Shruti"/>
                      <w:sz w:val="22"/>
                      <w:szCs w:val="22"/>
                      <w:lang w:val="it-IT" w:bidi="gu-IN"/>
                    </w:rPr>
                    <w:t>Nov 15</w:t>
                  </w:r>
                  <w:r w:rsidR="0041513D">
                    <w:rPr>
                      <w:rFonts w:ascii="Times New Roman" w:hAnsi="Times New Roman" w:cs="Shruti"/>
                      <w:sz w:val="22"/>
                      <w:szCs w:val="22"/>
                      <w:lang w:val="it-IT" w:bidi="gu-IN"/>
                    </w:rPr>
                    <w:t>, 2019</w:t>
                  </w:r>
                  <w:r w:rsidR="00B37FA4">
                    <w:rPr>
                      <w:rFonts w:ascii="Times New Roman" w:hAnsi="Times New Roman" w:cs="Shruti"/>
                      <w:sz w:val="22"/>
                      <w:szCs w:val="22"/>
                      <w:lang w:val="it-IT" w:bidi="gu-IN"/>
                    </w:rPr>
                    <w:t xml:space="preserve"> by 5:00 pm</w:t>
                  </w:r>
                </w:p>
              </w:tc>
            </w:tr>
            <w:tr w:rsidR="00A60ECA" w:rsidRPr="00573554" w14:paraId="1268C12E" w14:textId="77777777" w:rsidTr="0041513D">
              <w:trPr>
                <w:trHeight w:val="403"/>
              </w:trPr>
              <w:tc>
                <w:tcPr>
                  <w:tcW w:w="993" w:type="dxa"/>
                  <w:tcBorders>
                    <w:top w:val="single" w:sz="4" w:space="0" w:color="auto"/>
                    <w:left w:val="single" w:sz="4" w:space="0" w:color="auto"/>
                    <w:bottom w:val="single" w:sz="4" w:space="0" w:color="auto"/>
                    <w:right w:val="single" w:sz="4" w:space="0" w:color="auto"/>
                  </w:tcBorders>
                </w:tcPr>
                <w:p w14:paraId="5C7421AD" w14:textId="257A9117" w:rsidR="00A60ECA" w:rsidRPr="00573554" w:rsidRDefault="005A6EF8"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Nov 18 &amp; 20</w:t>
                  </w:r>
                </w:p>
              </w:tc>
              <w:tc>
                <w:tcPr>
                  <w:tcW w:w="3969" w:type="dxa"/>
                  <w:tcBorders>
                    <w:top w:val="single" w:sz="4" w:space="0" w:color="auto"/>
                    <w:left w:val="single" w:sz="4" w:space="0" w:color="auto"/>
                    <w:bottom w:val="single" w:sz="4" w:space="0" w:color="auto"/>
                    <w:right w:val="single" w:sz="4" w:space="0" w:color="auto"/>
                  </w:tcBorders>
                </w:tcPr>
                <w:p w14:paraId="6E3CD6B7"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Statement of Cash Flows </w:t>
                  </w:r>
                </w:p>
                <w:p w14:paraId="2F0627C3"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IAS 7</w:t>
                  </w:r>
                </w:p>
              </w:tc>
              <w:tc>
                <w:tcPr>
                  <w:tcW w:w="1559" w:type="dxa"/>
                  <w:tcBorders>
                    <w:top w:val="single" w:sz="4" w:space="0" w:color="auto"/>
                    <w:left w:val="single" w:sz="4" w:space="0" w:color="auto"/>
                    <w:bottom w:val="single" w:sz="4" w:space="0" w:color="auto"/>
                    <w:right w:val="single" w:sz="4" w:space="0" w:color="auto"/>
                  </w:tcBorders>
                </w:tcPr>
                <w:p w14:paraId="1A30324B"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fr-FR" w:bidi="gu-IN"/>
                    </w:rPr>
                    <w:t xml:space="preserve">Ch. </w:t>
                  </w:r>
                  <w:r w:rsidRPr="00573554">
                    <w:rPr>
                      <w:rFonts w:ascii="Times New Roman" w:hAnsi="Times New Roman" w:cs="Shruti"/>
                      <w:sz w:val="22"/>
                      <w:szCs w:val="22"/>
                      <w:lang w:val="en-US" w:bidi="gu-IN"/>
                    </w:rPr>
                    <w:t>22</w:t>
                  </w:r>
                </w:p>
              </w:tc>
              <w:tc>
                <w:tcPr>
                  <w:tcW w:w="3967" w:type="dxa"/>
                  <w:tcBorders>
                    <w:top w:val="single" w:sz="4" w:space="0" w:color="auto"/>
                    <w:left w:val="single" w:sz="4" w:space="0" w:color="auto"/>
                    <w:bottom w:val="single" w:sz="4" w:space="0" w:color="auto"/>
                    <w:right w:val="single" w:sz="4" w:space="0" w:color="auto"/>
                  </w:tcBorders>
                </w:tcPr>
                <w:p w14:paraId="4606218A" w14:textId="77777777" w:rsidR="00A60ECA" w:rsidRPr="00573554" w:rsidRDefault="00A60ECA" w:rsidP="003C4AAC">
                  <w:pPr>
                    <w:framePr w:hSpace="180" w:wrap="around" w:vAnchor="text" w:hAnchor="text" w:y="1"/>
                    <w:suppressOverlap/>
                    <w:rPr>
                      <w:rFonts w:ascii="Times New Roman" w:hAnsi="Times New Roman" w:cs="Shruti"/>
                      <w:bCs/>
                      <w:sz w:val="22"/>
                      <w:szCs w:val="22"/>
                      <w:lang w:val="it-IT" w:bidi="gu-IN"/>
                    </w:rPr>
                  </w:pPr>
                  <w:r w:rsidRPr="00573554">
                    <w:rPr>
                      <w:rFonts w:ascii="Times New Roman" w:hAnsi="Times New Roman" w:cs="Shruti"/>
                      <w:bCs/>
                      <w:sz w:val="22"/>
                      <w:szCs w:val="22"/>
                      <w:lang w:val="it-IT" w:bidi="gu-IN"/>
                    </w:rPr>
                    <w:t>E22-1, 6, 11, 12, 14, 16</w:t>
                  </w:r>
                </w:p>
                <w:p w14:paraId="4EC751E8" w14:textId="77777777" w:rsidR="00A60ECA" w:rsidRPr="00573554" w:rsidRDefault="00A60ECA" w:rsidP="003C4AAC">
                  <w:pPr>
                    <w:framePr w:hSpace="180" w:wrap="around" w:vAnchor="text" w:hAnchor="text" w:y="1"/>
                    <w:suppressOverlap/>
                    <w:rPr>
                      <w:rFonts w:ascii="Times New Roman" w:hAnsi="Times New Roman" w:cs="Shruti"/>
                      <w:bCs/>
                      <w:sz w:val="22"/>
                      <w:szCs w:val="22"/>
                      <w:lang w:val="it-IT" w:bidi="gu-IN"/>
                    </w:rPr>
                  </w:pPr>
                  <w:r w:rsidRPr="00573554">
                    <w:rPr>
                      <w:rFonts w:ascii="Times New Roman" w:hAnsi="Times New Roman" w:cs="Shruti"/>
                      <w:bCs/>
                      <w:sz w:val="22"/>
                      <w:szCs w:val="22"/>
                      <w:lang w:val="it-IT" w:bidi="gu-IN"/>
                    </w:rPr>
                    <w:t>P22-2, 4, 7</w:t>
                  </w:r>
                </w:p>
                <w:p w14:paraId="7441911B" w14:textId="06AC3976" w:rsidR="00A60ECA" w:rsidRPr="00573554" w:rsidRDefault="00A60ECA" w:rsidP="003C4AAC">
                  <w:pPr>
                    <w:framePr w:hSpace="180" w:wrap="around" w:vAnchor="text" w:hAnchor="text" w:y="1"/>
                    <w:suppressOverlap/>
                    <w:rPr>
                      <w:rFonts w:ascii="Times New Roman" w:hAnsi="Times New Roman" w:cs="Shruti"/>
                      <w:bCs/>
                      <w:sz w:val="22"/>
                      <w:szCs w:val="22"/>
                      <w:lang w:val="it-IT" w:bidi="gu-IN"/>
                    </w:rPr>
                  </w:pPr>
                  <w:r w:rsidRPr="00573554">
                    <w:rPr>
                      <w:rFonts w:ascii="Times New Roman" w:hAnsi="Times New Roman" w:cs="Shruti"/>
                      <w:sz w:val="22"/>
                      <w:szCs w:val="22"/>
                      <w:lang w:val="it-IT" w:bidi="gu-IN"/>
                    </w:rPr>
                    <w:t xml:space="preserve">Assignment 9 available on </w:t>
                  </w:r>
                  <w:r w:rsidR="00B95B21">
                    <w:rPr>
                      <w:rFonts w:ascii="Times New Roman" w:hAnsi="Times New Roman" w:cs="Shruti"/>
                      <w:sz w:val="22"/>
                      <w:szCs w:val="22"/>
                      <w:lang w:val="it-IT" w:bidi="gu-IN"/>
                    </w:rPr>
                    <w:t>Nov 15, 2019 due Nov 22, 2019 by 5:00 pm</w:t>
                  </w:r>
                </w:p>
              </w:tc>
            </w:tr>
            <w:tr w:rsidR="00A60ECA" w:rsidRPr="00573554" w14:paraId="6F2055A0" w14:textId="77777777" w:rsidTr="0041513D">
              <w:trPr>
                <w:trHeight w:val="660"/>
              </w:trPr>
              <w:tc>
                <w:tcPr>
                  <w:tcW w:w="993" w:type="dxa"/>
                  <w:vMerge w:val="restart"/>
                  <w:tcBorders>
                    <w:top w:val="single" w:sz="4" w:space="0" w:color="auto"/>
                    <w:left w:val="single" w:sz="4" w:space="0" w:color="auto"/>
                    <w:bottom w:val="nil"/>
                    <w:right w:val="single" w:sz="4" w:space="0" w:color="auto"/>
                  </w:tcBorders>
                </w:tcPr>
                <w:p w14:paraId="26C1ED96" w14:textId="43DDDA41" w:rsidR="00A60ECA" w:rsidRPr="00573554" w:rsidRDefault="005A6EF8" w:rsidP="003C4AAC">
                  <w:pPr>
                    <w:framePr w:hSpace="180" w:wrap="around" w:vAnchor="text" w:hAnchor="text" w:y="1"/>
                    <w:suppressOverlap/>
                    <w:rPr>
                      <w:rFonts w:ascii="Times New Roman" w:hAnsi="Times New Roman" w:cs="Shruti"/>
                      <w:sz w:val="22"/>
                      <w:szCs w:val="22"/>
                      <w:lang w:val="it-IT" w:bidi="gu-IN"/>
                    </w:rPr>
                  </w:pPr>
                  <w:r>
                    <w:rPr>
                      <w:rFonts w:ascii="Times New Roman" w:hAnsi="Times New Roman" w:cs="Shruti"/>
                      <w:sz w:val="22"/>
                      <w:szCs w:val="22"/>
                      <w:lang w:val="it-IT" w:bidi="gu-IN"/>
                    </w:rPr>
                    <w:t>Nov 25 &amp; 27</w:t>
                  </w:r>
                </w:p>
              </w:tc>
              <w:tc>
                <w:tcPr>
                  <w:tcW w:w="3969" w:type="dxa"/>
                  <w:tcBorders>
                    <w:top w:val="single" w:sz="4" w:space="0" w:color="auto"/>
                    <w:left w:val="single" w:sz="4" w:space="0" w:color="auto"/>
                    <w:bottom w:val="single" w:sz="4" w:space="0" w:color="auto"/>
                    <w:right w:val="single" w:sz="4" w:space="0" w:color="auto"/>
                  </w:tcBorders>
                </w:tcPr>
                <w:p w14:paraId="78C45A5F" w14:textId="4C386B53"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 xml:space="preserve">Other Measurement and </w:t>
                  </w:r>
                  <w:r w:rsidR="00AE2C95" w:rsidRPr="00573554">
                    <w:rPr>
                      <w:rFonts w:ascii="Times New Roman" w:hAnsi="Times New Roman" w:cs="Shruti"/>
                      <w:sz w:val="22"/>
                      <w:szCs w:val="22"/>
                      <w:lang w:val="en-US" w:bidi="gu-IN"/>
                    </w:rPr>
                    <w:t>Disclosure Issues</w:t>
                  </w:r>
                  <w:r w:rsidRPr="00573554">
                    <w:rPr>
                      <w:rFonts w:ascii="Times New Roman" w:hAnsi="Times New Roman" w:cs="Shruti"/>
                      <w:sz w:val="22"/>
                      <w:szCs w:val="22"/>
                      <w:lang w:val="en-US" w:bidi="gu-IN"/>
                    </w:rPr>
                    <w:t xml:space="preserve"> IAS34, IFRS 8</w:t>
                  </w:r>
                </w:p>
              </w:tc>
              <w:tc>
                <w:tcPr>
                  <w:tcW w:w="1559" w:type="dxa"/>
                  <w:tcBorders>
                    <w:top w:val="single" w:sz="4" w:space="0" w:color="auto"/>
                    <w:left w:val="single" w:sz="4" w:space="0" w:color="auto"/>
                    <w:bottom w:val="single" w:sz="4" w:space="0" w:color="auto"/>
                    <w:right w:val="single" w:sz="4" w:space="0" w:color="auto"/>
                  </w:tcBorders>
                </w:tcPr>
                <w:p w14:paraId="1FCBE846"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fr-FR" w:bidi="gu-IN"/>
                    </w:rPr>
                    <w:t xml:space="preserve">Ch. </w:t>
                  </w:r>
                  <w:r w:rsidRPr="00573554">
                    <w:rPr>
                      <w:rFonts w:ascii="Times New Roman" w:hAnsi="Times New Roman" w:cs="Shruti"/>
                      <w:sz w:val="22"/>
                      <w:szCs w:val="22"/>
                      <w:lang w:val="en-US" w:bidi="gu-IN"/>
                    </w:rPr>
                    <w:t>23</w:t>
                  </w:r>
                </w:p>
              </w:tc>
              <w:tc>
                <w:tcPr>
                  <w:tcW w:w="3967" w:type="dxa"/>
                  <w:tcBorders>
                    <w:top w:val="single" w:sz="4" w:space="0" w:color="auto"/>
                    <w:left w:val="single" w:sz="4" w:space="0" w:color="auto"/>
                    <w:bottom w:val="single" w:sz="4" w:space="0" w:color="auto"/>
                    <w:right w:val="single" w:sz="4" w:space="0" w:color="auto"/>
                  </w:tcBorders>
                </w:tcPr>
                <w:p w14:paraId="6C9A7F59"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E23-2, 6, 7</w:t>
                  </w:r>
                </w:p>
                <w:p w14:paraId="2935302E"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r w:rsidRPr="00573554">
                    <w:rPr>
                      <w:rFonts w:ascii="Times New Roman" w:hAnsi="Times New Roman" w:cs="Shruti"/>
                      <w:sz w:val="22"/>
                      <w:szCs w:val="22"/>
                      <w:lang w:val="en-US" w:bidi="gu-IN"/>
                    </w:rPr>
                    <w:t>P23-1, 5, 11</w:t>
                  </w:r>
                </w:p>
                <w:p w14:paraId="7E1462D4" w14:textId="734F8EC6" w:rsidR="00A60ECA" w:rsidRPr="00573554" w:rsidRDefault="00A60ECA" w:rsidP="003C4AAC">
                  <w:pPr>
                    <w:framePr w:hSpace="180" w:wrap="around" w:vAnchor="text" w:hAnchor="text" w:y="1"/>
                    <w:suppressOverlap/>
                    <w:rPr>
                      <w:rFonts w:ascii="Times New Roman" w:hAnsi="Times New Roman" w:cs="Shruti"/>
                      <w:color w:val="FF0000"/>
                      <w:sz w:val="22"/>
                      <w:szCs w:val="22"/>
                      <w:lang w:val="en-US" w:bidi="gu-IN"/>
                    </w:rPr>
                  </w:pPr>
                  <w:r w:rsidRPr="00573554">
                    <w:rPr>
                      <w:rFonts w:ascii="Times New Roman" w:hAnsi="Times New Roman" w:cs="Shruti"/>
                      <w:sz w:val="22"/>
                      <w:szCs w:val="22"/>
                      <w:lang w:val="it-IT" w:bidi="gu-IN"/>
                    </w:rPr>
                    <w:t xml:space="preserve">Assignment 10 available on </w:t>
                  </w:r>
                  <w:r w:rsidR="00B95B21">
                    <w:rPr>
                      <w:rFonts w:ascii="Times New Roman" w:hAnsi="Times New Roman" w:cs="Shruti"/>
                      <w:sz w:val="22"/>
                      <w:szCs w:val="22"/>
                      <w:lang w:val="it-IT" w:bidi="gu-IN"/>
                    </w:rPr>
                    <w:t>Nov 22</w:t>
                  </w:r>
                  <w:r w:rsidR="0041513D">
                    <w:rPr>
                      <w:rFonts w:ascii="Times New Roman" w:hAnsi="Times New Roman" w:cs="Shruti"/>
                      <w:sz w:val="22"/>
                      <w:szCs w:val="22"/>
                      <w:lang w:val="it-IT" w:bidi="gu-IN"/>
                    </w:rPr>
                    <w:t>,</w:t>
                  </w:r>
                  <w:r w:rsidRPr="00573554">
                    <w:rPr>
                      <w:rFonts w:ascii="Times New Roman" w:hAnsi="Times New Roman" w:cs="Shruti"/>
                      <w:sz w:val="22"/>
                      <w:szCs w:val="22"/>
                      <w:lang w:val="it-IT" w:bidi="gu-IN"/>
                    </w:rPr>
                    <w:t xml:space="preserve"> 2019 due </w:t>
                  </w:r>
                  <w:r w:rsidR="00B95B21">
                    <w:rPr>
                      <w:rFonts w:ascii="Times New Roman" w:hAnsi="Times New Roman" w:cs="Shruti"/>
                      <w:sz w:val="22"/>
                      <w:szCs w:val="22"/>
                      <w:lang w:val="it-IT" w:bidi="gu-IN"/>
                    </w:rPr>
                    <w:t>Nov 29, 2019 by 5:00 pm</w:t>
                  </w:r>
                </w:p>
              </w:tc>
            </w:tr>
            <w:tr w:rsidR="00A60ECA" w:rsidRPr="00573554" w14:paraId="4B22AF23" w14:textId="77777777" w:rsidTr="0041513D">
              <w:trPr>
                <w:trHeight w:val="552"/>
              </w:trPr>
              <w:tc>
                <w:tcPr>
                  <w:tcW w:w="993" w:type="dxa"/>
                  <w:vMerge/>
                  <w:tcBorders>
                    <w:left w:val="single" w:sz="4" w:space="0" w:color="auto"/>
                    <w:bottom w:val="single" w:sz="4" w:space="0" w:color="auto"/>
                    <w:right w:val="single" w:sz="4" w:space="0" w:color="auto"/>
                  </w:tcBorders>
                </w:tcPr>
                <w:p w14:paraId="4681C9A5"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p>
              </w:tc>
              <w:tc>
                <w:tcPr>
                  <w:tcW w:w="3969" w:type="dxa"/>
                  <w:tcBorders>
                    <w:top w:val="single" w:sz="4" w:space="0" w:color="auto"/>
                    <w:left w:val="single" w:sz="4" w:space="0" w:color="auto"/>
                    <w:bottom w:val="single" w:sz="4" w:space="0" w:color="auto"/>
                    <w:right w:val="single" w:sz="4" w:space="0" w:color="auto"/>
                  </w:tcBorders>
                </w:tcPr>
                <w:p w14:paraId="7C2195C8" w14:textId="091DD940" w:rsidR="00A60ECA" w:rsidRPr="00573554" w:rsidRDefault="005A6EF8" w:rsidP="003C4AAC">
                  <w:pPr>
                    <w:framePr w:hSpace="180" w:wrap="around" w:vAnchor="text" w:hAnchor="text" w:y="1"/>
                    <w:suppressOverlap/>
                    <w:rPr>
                      <w:rFonts w:ascii="Times New Roman" w:hAnsi="Times New Roman" w:cs="Shruti"/>
                      <w:sz w:val="22"/>
                      <w:szCs w:val="22"/>
                      <w:lang w:val="en-US" w:bidi="gu-IN"/>
                    </w:rPr>
                  </w:pPr>
                  <w:r>
                    <w:rPr>
                      <w:rFonts w:ascii="Times New Roman" w:hAnsi="Times New Roman" w:cs="Shruti"/>
                      <w:sz w:val="22"/>
                      <w:szCs w:val="22"/>
                      <w:lang w:val="en-US" w:bidi="gu-IN"/>
                    </w:rPr>
                    <w:t>REVIEW</w:t>
                  </w:r>
                </w:p>
              </w:tc>
              <w:tc>
                <w:tcPr>
                  <w:tcW w:w="1559" w:type="dxa"/>
                  <w:tcBorders>
                    <w:top w:val="single" w:sz="4" w:space="0" w:color="auto"/>
                    <w:left w:val="single" w:sz="4" w:space="0" w:color="auto"/>
                    <w:bottom w:val="single" w:sz="4" w:space="0" w:color="auto"/>
                    <w:right w:val="single" w:sz="4" w:space="0" w:color="auto"/>
                  </w:tcBorders>
                </w:tcPr>
                <w:p w14:paraId="2F7C0781" w14:textId="77777777"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p>
              </w:tc>
              <w:tc>
                <w:tcPr>
                  <w:tcW w:w="3967" w:type="dxa"/>
                  <w:tcBorders>
                    <w:top w:val="single" w:sz="4" w:space="0" w:color="auto"/>
                    <w:left w:val="single" w:sz="4" w:space="0" w:color="auto"/>
                    <w:bottom w:val="single" w:sz="4" w:space="0" w:color="auto"/>
                    <w:right w:val="single" w:sz="4" w:space="0" w:color="auto"/>
                  </w:tcBorders>
                </w:tcPr>
                <w:p w14:paraId="44389E6E" w14:textId="60FAF292" w:rsidR="00A60ECA" w:rsidRPr="00573554" w:rsidRDefault="00A60ECA" w:rsidP="003C4AAC">
                  <w:pPr>
                    <w:framePr w:hSpace="180" w:wrap="around" w:vAnchor="text" w:hAnchor="text" w:y="1"/>
                    <w:suppressOverlap/>
                    <w:rPr>
                      <w:rFonts w:ascii="Times New Roman" w:hAnsi="Times New Roman" w:cs="Shruti"/>
                      <w:sz w:val="22"/>
                      <w:szCs w:val="22"/>
                      <w:lang w:val="en-US" w:bidi="gu-IN"/>
                    </w:rPr>
                  </w:pPr>
                </w:p>
              </w:tc>
            </w:tr>
          </w:tbl>
          <w:p w14:paraId="0CA5AF01" w14:textId="77777777" w:rsidR="00B04F3D" w:rsidRPr="00B04F3D" w:rsidRDefault="00B04F3D" w:rsidP="00B04F3D">
            <w:pPr>
              <w:jc w:val="center"/>
              <w:rPr>
                <w:rFonts w:ascii="Times New Roman" w:hAnsi="Times New Roman" w:cs="Shruti"/>
                <w:sz w:val="20"/>
                <w:szCs w:val="20"/>
                <w:lang w:val="en-US" w:bidi="gu-IN"/>
              </w:rPr>
            </w:pPr>
          </w:p>
          <w:p w14:paraId="138783C7" w14:textId="77777777" w:rsidR="00E03311" w:rsidRPr="00E03311" w:rsidRDefault="00E03311" w:rsidP="004F7881">
            <w:pPr>
              <w:spacing w:before="120"/>
              <w:rPr>
                <w:b/>
                <w:szCs w:val="22"/>
              </w:rPr>
            </w:pPr>
          </w:p>
        </w:tc>
      </w:tr>
      <w:tr w:rsidR="0005530D" w:rsidRPr="0016080C" w14:paraId="2C5B14FA" w14:textId="77777777" w:rsidTr="0041513D">
        <w:tc>
          <w:tcPr>
            <w:tcW w:w="10530" w:type="dxa"/>
            <w:gridSpan w:val="10"/>
          </w:tcPr>
          <w:p w14:paraId="66141AF5" w14:textId="77777777" w:rsidR="0005530D" w:rsidRPr="00F66150" w:rsidRDefault="0005530D" w:rsidP="00F66150">
            <w:pPr>
              <w:spacing w:before="120" w:after="120"/>
              <w:rPr>
                <w:sz w:val="22"/>
                <w:szCs w:val="20"/>
              </w:rPr>
            </w:pPr>
          </w:p>
        </w:tc>
      </w:tr>
      <w:tr w:rsidR="0005530D" w14:paraId="7CBD7444" w14:textId="77777777" w:rsidTr="0041513D">
        <w:tc>
          <w:tcPr>
            <w:tcW w:w="10530" w:type="dxa"/>
            <w:gridSpan w:val="10"/>
            <w:shd w:val="clear" w:color="auto" w:fill="E0E0E0"/>
          </w:tcPr>
          <w:p w14:paraId="3BFD3A97" w14:textId="185886B5" w:rsidR="0005530D" w:rsidRPr="00E65914" w:rsidRDefault="0005530D" w:rsidP="003166E5">
            <w:pPr>
              <w:pStyle w:val="Heading1"/>
            </w:pPr>
            <w:r>
              <w:t xml:space="preserve">Course </w:t>
            </w:r>
            <w:r w:rsidRPr="00E65914">
              <w:t>Assessment</w:t>
            </w:r>
          </w:p>
        </w:tc>
      </w:tr>
      <w:tr w:rsidR="00B95B21" w:rsidRPr="00845EA1" w14:paraId="4737DAF7" w14:textId="77777777" w:rsidTr="0041513D">
        <w:tc>
          <w:tcPr>
            <w:tcW w:w="3530" w:type="dxa"/>
            <w:gridSpan w:val="3"/>
          </w:tcPr>
          <w:p w14:paraId="0B224480" w14:textId="77777777" w:rsidR="0005530D" w:rsidRPr="006B38C2" w:rsidRDefault="0005530D" w:rsidP="003166E5">
            <w:pPr>
              <w:jc w:val="center"/>
              <w:rPr>
                <w:rFonts w:ascii="Times New Roman" w:hAnsi="Times New Roman"/>
                <w:i/>
                <w:color w:val="C00000"/>
                <w:sz w:val="16"/>
                <w:szCs w:val="16"/>
              </w:rPr>
            </w:pPr>
          </w:p>
        </w:tc>
        <w:tc>
          <w:tcPr>
            <w:tcW w:w="903" w:type="dxa"/>
            <w:gridSpan w:val="2"/>
          </w:tcPr>
          <w:p w14:paraId="3CAA9647" w14:textId="77777777" w:rsidR="0005530D" w:rsidRDefault="0005530D" w:rsidP="003166E5">
            <w:pPr>
              <w:jc w:val="center"/>
              <w:rPr>
                <w:rFonts w:ascii="Times New Roman" w:hAnsi="Times New Roman"/>
                <w:i/>
                <w:color w:val="C0504D"/>
                <w:sz w:val="20"/>
              </w:rPr>
            </w:pPr>
            <w:r w:rsidRPr="007732CC">
              <w:rPr>
                <w:rFonts w:ascii="Times New Roman" w:hAnsi="Times New Roman"/>
                <w:i/>
                <w:color w:val="C0504D"/>
                <w:sz w:val="20"/>
              </w:rPr>
              <w:t>.</w:t>
            </w:r>
          </w:p>
          <w:p w14:paraId="7753E8F9" w14:textId="77777777" w:rsidR="0005530D" w:rsidRPr="007732CC" w:rsidRDefault="0005530D" w:rsidP="003166E5">
            <w:pPr>
              <w:jc w:val="center"/>
              <w:rPr>
                <w:rFonts w:ascii="Times New Roman" w:hAnsi="Times New Roman"/>
                <w:i/>
                <w:color w:val="C0504D"/>
                <w:sz w:val="20"/>
              </w:rPr>
            </w:pPr>
          </w:p>
        </w:tc>
        <w:tc>
          <w:tcPr>
            <w:tcW w:w="2713" w:type="dxa"/>
            <w:shd w:val="clear" w:color="auto" w:fill="auto"/>
          </w:tcPr>
          <w:p w14:paraId="691D87B9" w14:textId="77777777" w:rsidR="0005530D" w:rsidRPr="003166E5" w:rsidRDefault="0005530D" w:rsidP="003166E5">
            <w:pPr>
              <w:rPr>
                <w:i/>
              </w:rPr>
            </w:pPr>
          </w:p>
        </w:tc>
        <w:tc>
          <w:tcPr>
            <w:tcW w:w="1982" w:type="dxa"/>
            <w:shd w:val="clear" w:color="auto" w:fill="auto"/>
          </w:tcPr>
          <w:p w14:paraId="2CECBA5F" w14:textId="77777777" w:rsidR="0005530D" w:rsidRPr="003166E5" w:rsidRDefault="0005530D" w:rsidP="003166E5">
            <w:pPr>
              <w:pStyle w:val="Heading2"/>
              <w:rPr>
                <w:szCs w:val="24"/>
              </w:rPr>
            </w:pPr>
            <w:r w:rsidRPr="003166E5">
              <w:rPr>
                <w:szCs w:val="24"/>
              </w:rPr>
              <w:t>Associated Learning Outcomes</w:t>
            </w:r>
          </w:p>
        </w:tc>
        <w:tc>
          <w:tcPr>
            <w:tcW w:w="1402" w:type="dxa"/>
            <w:gridSpan w:val="3"/>
            <w:shd w:val="clear" w:color="auto" w:fill="auto"/>
          </w:tcPr>
          <w:p w14:paraId="10B69326" w14:textId="77777777" w:rsidR="0005530D" w:rsidRPr="003166E5" w:rsidRDefault="0005530D" w:rsidP="003166E5">
            <w:pPr>
              <w:pStyle w:val="Heading2"/>
              <w:rPr>
                <w:szCs w:val="24"/>
              </w:rPr>
            </w:pPr>
            <w:r w:rsidRPr="003166E5">
              <w:rPr>
                <w:szCs w:val="24"/>
              </w:rPr>
              <w:t>Due Date/ location</w:t>
            </w:r>
          </w:p>
        </w:tc>
      </w:tr>
      <w:tr w:rsidR="00B95B21" w:rsidRPr="00E65914" w14:paraId="0D8E8C3E" w14:textId="77777777" w:rsidTr="0041513D">
        <w:tc>
          <w:tcPr>
            <w:tcW w:w="3530" w:type="dxa"/>
            <w:gridSpan w:val="3"/>
            <w:vAlign w:val="center"/>
          </w:tcPr>
          <w:p w14:paraId="44D81E7B" w14:textId="77777777" w:rsidR="0005530D" w:rsidRPr="003166E5" w:rsidRDefault="0005530D" w:rsidP="003166E5">
            <w:pPr>
              <w:pStyle w:val="Heading2"/>
              <w:spacing w:before="0" w:after="0"/>
              <w:rPr>
                <w:szCs w:val="24"/>
              </w:rPr>
            </w:pPr>
            <w:r w:rsidRPr="003166E5">
              <w:rPr>
                <w:szCs w:val="24"/>
              </w:rPr>
              <w:t xml:space="preserve">Assessment 1: </w:t>
            </w:r>
          </w:p>
        </w:tc>
        <w:tc>
          <w:tcPr>
            <w:tcW w:w="903" w:type="dxa"/>
            <w:gridSpan w:val="2"/>
            <w:vAlign w:val="center"/>
          </w:tcPr>
          <w:p w14:paraId="32162BFA" w14:textId="17514F40" w:rsidR="0005530D" w:rsidRPr="003166E5" w:rsidRDefault="00C60660" w:rsidP="00C60660">
            <w:pPr>
              <w:jc w:val="center"/>
            </w:pPr>
            <w:r>
              <w:t>10</w:t>
            </w:r>
            <w:r w:rsidR="0005530D" w:rsidRPr="003166E5">
              <w:t>%</w:t>
            </w:r>
          </w:p>
        </w:tc>
        <w:tc>
          <w:tcPr>
            <w:tcW w:w="2713" w:type="dxa"/>
            <w:shd w:val="clear" w:color="auto" w:fill="auto"/>
            <w:vAlign w:val="center"/>
          </w:tcPr>
          <w:p w14:paraId="17A1E0C0" w14:textId="38DC7CF2" w:rsidR="0005530D" w:rsidRDefault="004F7881" w:rsidP="00D76470">
            <w:r>
              <w:t>On-line Wile</w:t>
            </w:r>
            <w:r w:rsidR="005171B7">
              <w:t>y</w:t>
            </w:r>
            <w:r>
              <w:t>Plus</w:t>
            </w:r>
            <w:r w:rsidR="00CC2F0F">
              <w:t xml:space="preserve"> Assignments</w:t>
            </w:r>
          </w:p>
          <w:p w14:paraId="3837F1CE" w14:textId="7DB21093" w:rsidR="00CC2F0F" w:rsidRPr="003166E5" w:rsidRDefault="004F7881" w:rsidP="00D76470">
            <w:r>
              <w:t>(top 8 count</w:t>
            </w:r>
            <w:r w:rsidR="00CC2F0F">
              <w:t>)</w:t>
            </w:r>
          </w:p>
        </w:tc>
        <w:tc>
          <w:tcPr>
            <w:tcW w:w="1982" w:type="dxa"/>
            <w:shd w:val="clear" w:color="auto" w:fill="auto"/>
            <w:vAlign w:val="center"/>
          </w:tcPr>
          <w:p w14:paraId="55442D53" w14:textId="3332CE3D" w:rsidR="0005530D" w:rsidRPr="003166E5" w:rsidRDefault="0005530D" w:rsidP="00F9574B">
            <w:r w:rsidRPr="003166E5">
              <w:t>L</w:t>
            </w:r>
            <w:r w:rsidR="004F7881">
              <w:t xml:space="preserve">O </w:t>
            </w:r>
            <w:r w:rsidR="00F9574B">
              <w:t>1-4</w:t>
            </w:r>
          </w:p>
        </w:tc>
        <w:tc>
          <w:tcPr>
            <w:tcW w:w="1402" w:type="dxa"/>
            <w:gridSpan w:val="3"/>
            <w:shd w:val="clear" w:color="auto" w:fill="auto"/>
            <w:vAlign w:val="center"/>
          </w:tcPr>
          <w:p w14:paraId="338B998D" w14:textId="64C0E8F7" w:rsidR="0005530D" w:rsidRPr="0033245E" w:rsidRDefault="004F7881" w:rsidP="003166E5">
            <w:r>
              <w:t>Refer to weekly schedule</w:t>
            </w:r>
            <w:r w:rsidR="0005530D" w:rsidRPr="0033245E">
              <w:t xml:space="preserve"> </w:t>
            </w:r>
          </w:p>
        </w:tc>
      </w:tr>
      <w:tr w:rsidR="00B95B21" w:rsidRPr="00EF08B3" w14:paraId="66F9D1EE" w14:textId="77777777" w:rsidTr="0041513D">
        <w:tc>
          <w:tcPr>
            <w:tcW w:w="3530" w:type="dxa"/>
            <w:gridSpan w:val="3"/>
            <w:vAlign w:val="center"/>
          </w:tcPr>
          <w:p w14:paraId="30A6EE15" w14:textId="77777777" w:rsidR="0005530D" w:rsidRPr="003166E5" w:rsidRDefault="0005530D" w:rsidP="003166E5">
            <w:pPr>
              <w:rPr>
                <w:b/>
                <w:i/>
              </w:rPr>
            </w:pPr>
          </w:p>
        </w:tc>
        <w:tc>
          <w:tcPr>
            <w:tcW w:w="903" w:type="dxa"/>
            <w:gridSpan w:val="2"/>
            <w:vAlign w:val="center"/>
          </w:tcPr>
          <w:p w14:paraId="0F086104" w14:textId="77777777" w:rsidR="0005530D" w:rsidRPr="003166E5" w:rsidRDefault="0005530D" w:rsidP="003166E5">
            <w:pPr>
              <w:jc w:val="center"/>
            </w:pPr>
          </w:p>
        </w:tc>
        <w:tc>
          <w:tcPr>
            <w:tcW w:w="2713" w:type="dxa"/>
            <w:shd w:val="clear" w:color="auto" w:fill="auto"/>
            <w:vAlign w:val="center"/>
          </w:tcPr>
          <w:p w14:paraId="4F7E9192" w14:textId="77777777" w:rsidR="0005530D" w:rsidRPr="003166E5" w:rsidRDefault="0005530D" w:rsidP="003166E5"/>
        </w:tc>
        <w:tc>
          <w:tcPr>
            <w:tcW w:w="1982" w:type="dxa"/>
            <w:shd w:val="clear" w:color="auto" w:fill="auto"/>
            <w:vAlign w:val="center"/>
          </w:tcPr>
          <w:p w14:paraId="45A373F1" w14:textId="77777777" w:rsidR="0005530D" w:rsidRPr="003166E5" w:rsidRDefault="0005530D" w:rsidP="003166E5"/>
        </w:tc>
        <w:tc>
          <w:tcPr>
            <w:tcW w:w="1402" w:type="dxa"/>
            <w:gridSpan w:val="3"/>
            <w:shd w:val="clear" w:color="auto" w:fill="auto"/>
            <w:vAlign w:val="center"/>
          </w:tcPr>
          <w:p w14:paraId="2AA3BF97" w14:textId="77777777" w:rsidR="0005530D" w:rsidRPr="0033245E" w:rsidRDefault="0005530D" w:rsidP="003166E5"/>
        </w:tc>
      </w:tr>
      <w:tr w:rsidR="00B95B21" w:rsidRPr="00E65914" w14:paraId="1BC198E2" w14:textId="77777777" w:rsidTr="0041513D">
        <w:tc>
          <w:tcPr>
            <w:tcW w:w="3530" w:type="dxa"/>
            <w:gridSpan w:val="3"/>
            <w:vAlign w:val="center"/>
          </w:tcPr>
          <w:p w14:paraId="18F77BA5" w14:textId="77777777" w:rsidR="0005530D" w:rsidRPr="003166E5" w:rsidRDefault="0005530D" w:rsidP="003166E5">
            <w:pPr>
              <w:pStyle w:val="Heading2"/>
              <w:spacing w:before="0" w:after="0"/>
              <w:rPr>
                <w:szCs w:val="24"/>
              </w:rPr>
            </w:pPr>
            <w:r w:rsidRPr="003166E5">
              <w:rPr>
                <w:szCs w:val="24"/>
              </w:rPr>
              <w:t>Assessment 2:</w:t>
            </w:r>
          </w:p>
        </w:tc>
        <w:tc>
          <w:tcPr>
            <w:tcW w:w="903" w:type="dxa"/>
            <w:gridSpan w:val="2"/>
            <w:vAlign w:val="center"/>
          </w:tcPr>
          <w:p w14:paraId="1A2A703F" w14:textId="66ACC132" w:rsidR="00CC2F0F" w:rsidRDefault="004F7881" w:rsidP="004F7881">
            <w:pPr>
              <w:jc w:val="center"/>
            </w:pPr>
            <w:r>
              <w:t>20%</w:t>
            </w:r>
          </w:p>
          <w:p w14:paraId="6920D615" w14:textId="77777777" w:rsidR="00CC2F0F" w:rsidRPr="003166E5" w:rsidRDefault="00CC2F0F" w:rsidP="00CC2F0F"/>
        </w:tc>
        <w:tc>
          <w:tcPr>
            <w:tcW w:w="2713" w:type="dxa"/>
            <w:shd w:val="clear" w:color="auto" w:fill="auto"/>
            <w:vAlign w:val="center"/>
          </w:tcPr>
          <w:p w14:paraId="3A3C3E15" w14:textId="5205551B" w:rsidR="00CC2F0F" w:rsidRPr="003166E5" w:rsidRDefault="00CC2F0F" w:rsidP="004F7881">
            <w:r>
              <w:t>Midterm Exam</w:t>
            </w:r>
            <w:r w:rsidR="004F7881">
              <w:t xml:space="preserve"> #1</w:t>
            </w:r>
          </w:p>
        </w:tc>
        <w:tc>
          <w:tcPr>
            <w:tcW w:w="1982" w:type="dxa"/>
            <w:shd w:val="clear" w:color="auto" w:fill="auto"/>
            <w:vAlign w:val="center"/>
          </w:tcPr>
          <w:p w14:paraId="3426731D" w14:textId="3F1ED74C" w:rsidR="0005530D" w:rsidRPr="003166E5" w:rsidRDefault="004F7881" w:rsidP="00F9574B">
            <w:r>
              <w:t>LO 1</w:t>
            </w:r>
            <w:r w:rsidR="00F9574B">
              <w:t>-4</w:t>
            </w:r>
          </w:p>
        </w:tc>
        <w:tc>
          <w:tcPr>
            <w:tcW w:w="1402" w:type="dxa"/>
            <w:gridSpan w:val="3"/>
            <w:shd w:val="clear" w:color="auto" w:fill="auto"/>
            <w:vAlign w:val="center"/>
          </w:tcPr>
          <w:p w14:paraId="421ADDF3" w14:textId="5DAB8668" w:rsidR="0005530D" w:rsidRPr="00DB11B1" w:rsidRDefault="00DB11B1" w:rsidP="003166E5">
            <w:r>
              <w:t>**</w:t>
            </w:r>
            <w:r w:rsidR="006405D0" w:rsidRPr="00DB11B1">
              <w:t xml:space="preserve">THURS </w:t>
            </w:r>
            <w:r w:rsidR="007E395F" w:rsidRPr="00DB11B1">
              <w:t>Oct 3</w:t>
            </w:r>
            <w:r w:rsidR="006405D0" w:rsidRPr="00DB11B1">
              <w:t>, 7-8:30 pm</w:t>
            </w:r>
            <w:r w:rsidR="007E395F" w:rsidRPr="00DB11B1">
              <w:t xml:space="preserve">/ </w:t>
            </w:r>
            <w:r w:rsidR="006405D0" w:rsidRPr="00DB11B1">
              <w:t>TBA</w:t>
            </w:r>
          </w:p>
        </w:tc>
      </w:tr>
      <w:tr w:rsidR="00B95B21" w:rsidRPr="00EF08B3" w14:paraId="5F4AA8D4" w14:textId="77777777" w:rsidTr="0041513D">
        <w:tc>
          <w:tcPr>
            <w:tcW w:w="3530" w:type="dxa"/>
            <w:gridSpan w:val="3"/>
            <w:vAlign w:val="center"/>
          </w:tcPr>
          <w:p w14:paraId="22124B63" w14:textId="77777777" w:rsidR="0005530D" w:rsidRDefault="0005530D" w:rsidP="003166E5">
            <w:pPr>
              <w:rPr>
                <w:b/>
                <w:i/>
              </w:rPr>
            </w:pPr>
          </w:p>
          <w:p w14:paraId="2A4A2C44" w14:textId="3FCAF490" w:rsidR="00C60660" w:rsidRPr="00C60660" w:rsidRDefault="00C60660" w:rsidP="003166E5">
            <w:pPr>
              <w:rPr>
                <w:b/>
              </w:rPr>
            </w:pPr>
            <w:r>
              <w:rPr>
                <w:b/>
              </w:rPr>
              <w:t>Assessment 3:</w:t>
            </w:r>
          </w:p>
          <w:p w14:paraId="6D12D544" w14:textId="370DDFA9" w:rsidR="00C60660" w:rsidRPr="00C60660" w:rsidRDefault="00C60660" w:rsidP="003166E5">
            <w:pPr>
              <w:rPr>
                <w:b/>
                <w:i/>
              </w:rPr>
            </w:pPr>
          </w:p>
        </w:tc>
        <w:tc>
          <w:tcPr>
            <w:tcW w:w="903" w:type="dxa"/>
            <w:gridSpan w:val="2"/>
            <w:vAlign w:val="center"/>
          </w:tcPr>
          <w:p w14:paraId="068C7044" w14:textId="0184D722" w:rsidR="0005530D" w:rsidRPr="003166E5" w:rsidRDefault="00C60660" w:rsidP="003166E5">
            <w:pPr>
              <w:jc w:val="center"/>
            </w:pPr>
            <w:r>
              <w:t>20%</w:t>
            </w:r>
          </w:p>
        </w:tc>
        <w:tc>
          <w:tcPr>
            <w:tcW w:w="2713" w:type="dxa"/>
            <w:shd w:val="clear" w:color="auto" w:fill="auto"/>
            <w:vAlign w:val="center"/>
          </w:tcPr>
          <w:p w14:paraId="54BB9D2B" w14:textId="2668E510" w:rsidR="0005530D" w:rsidRPr="003166E5" w:rsidRDefault="00C60660" w:rsidP="003166E5">
            <w:r>
              <w:t>Midterm Exam #2</w:t>
            </w:r>
          </w:p>
        </w:tc>
        <w:tc>
          <w:tcPr>
            <w:tcW w:w="1982" w:type="dxa"/>
            <w:shd w:val="clear" w:color="auto" w:fill="auto"/>
            <w:vAlign w:val="center"/>
          </w:tcPr>
          <w:p w14:paraId="3C896ADD" w14:textId="1D364FFC" w:rsidR="0005530D" w:rsidRPr="003166E5" w:rsidRDefault="00C60660" w:rsidP="00F9574B">
            <w:r>
              <w:t>LO 1</w:t>
            </w:r>
            <w:r w:rsidR="00F9574B">
              <w:t>-4</w:t>
            </w:r>
          </w:p>
        </w:tc>
        <w:tc>
          <w:tcPr>
            <w:tcW w:w="1402" w:type="dxa"/>
            <w:gridSpan w:val="3"/>
            <w:shd w:val="clear" w:color="auto" w:fill="auto"/>
            <w:vAlign w:val="center"/>
          </w:tcPr>
          <w:p w14:paraId="7ED57DDE" w14:textId="570871DA" w:rsidR="0005530D" w:rsidRPr="00DB11B1" w:rsidRDefault="00DB11B1" w:rsidP="003166E5">
            <w:r>
              <w:t>**</w:t>
            </w:r>
            <w:r w:rsidR="006405D0" w:rsidRPr="00DB11B1">
              <w:t xml:space="preserve">TUES </w:t>
            </w:r>
            <w:r w:rsidR="007E395F" w:rsidRPr="00DB11B1">
              <w:t>Oct 29</w:t>
            </w:r>
            <w:r w:rsidR="006405D0" w:rsidRPr="00DB11B1">
              <w:t>, 7-8:30 pm</w:t>
            </w:r>
            <w:r w:rsidR="007E395F" w:rsidRPr="00DB11B1">
              <w:t xml:space="preserve">/ </w:t>
            </w:r>
            <w:r w:rsidR="006405D0" w:rsidRPr="00DB11B1">
              <w:t>TBA</w:t>
            </w:r>
          </w:p>
        </w:tc>
      </w:tr>
      <w:tr w:rsidR="00B95B21" w:rsidRPr="00E65914" w14:paraId="689C7497" w14:textId="77777777" w:rsidTr="0041513D">
        <w:tc>
          <w:tcPr>
            <w:tcW w:w="3530" w:type="dxa"/>
            <w:gridSpan w:val="3"/>
            <w:vAlign w:val="center"/>
          </w:tcPr>
          <w:p w14:paraId="4E3BBE88" w14:textId="51530906" w:rsidR="0005530D" w:rsidRPr="003166E5" w:rsidRDefault="0005530D" w:rsidP="00C60660">
            <w:pPr>
              <w:pStyle w:val="Heading2"/>
              <w:spacing w:before="0" w:after="0"/>
              <w:rPr>
                <w:szCs w:val="24"/>
              </w:rPr>
            </w:pPr>
            <w:r w:rsidRPr="003166E5">
              <w:rPr>
                <w:szCs w:val="24"/>
              </w:rPr>
              <w:t xml:space="preserve">Assessment </w:t>
            </w:r>
            <w:r w:rsidR="00C60660">
              <w:rPr>
                <w:szCs w:val="24"/>
              </w:rPr>
              <w:t>4</w:t>
            </w:r>
            <w:r w:rsidRPr="003166E5">
              <w:rPr>
                <w:szCs w:val="24"/>
              </w:rPr>
              <w:t>:</w:t>
            </w:r>
          </w:p>
        </w:tc>
        <w:tc>
          <w:tcPr>
            <w:tcW w:w="903" w:type="dxa"/>
            <w:gridSpan w:val="2"/>
            <w:vAlign w:val="center"/>
          </w:tcPr>
          <w:p w14:paraId="6509485D" w14:textId="4B976EC6" w:rsidR="0005530D" w:rsidRPr="003166E5" w:rsidRDefault="00805DDE" w:rsidP="00C60660">
            <w:pPr>
              <w:jc w:val="center"/>
            </w:pPr>
            <w:r>
              <w:t>20</w:t>
            </w:r>
            <w:r w:rsidR="0005530D" w:rsidRPr="003166E5">
              <w:t>%</w:t>
            </w:r>
          </w:p>
        </w:tc>
        <w:tc>
          <w:tcPr>
            <w:tcW w:w="2713" w:type="dxa"/>
            <w:shd w:val="clear" w:color="auto" w:fill="auto"/>
            <w:vAlign w:val="center"/>
          </w:tcPr>
          <w:p w14:paraId="546695F3" w14:textId="736621A1" w:rsidR="0005530D" w:rsidRPr="003166E5" w:rsidRDefault="004F7881" w:rsidP="00C60660">
            <w:r>
              <w:t>Group written case report)</w:t>
            </w:r>
            <w:r w:rsidR="0005530D" w:rsidRPr="003166E5">
              <w:t xml:space="preserve"> </w:t>
            </w:r>
          </w:p>
        </w:tc>
        <w:tc>
          <w:tcPr>
            <w:tcW w:w="1982" w:type="dxa"/>
            <w:shd w:val="clear" w:color="auto" w:fill="auto"/>
            <w:vAlign w:val="center"/>
          </w:tcPr>
          <w:p w14:paraId="7E937D17" w14:textId="47A73410" w:rsidR="0005530D" w:rsidRPr="003166E5" w:rsidRDefault="0005530D" w:rsidP="00F9574B">
            <w:r w:rsidRPr="003166E5">
              <w:t>L</w:t>
            </w:r>
            <w:r w:rsidR="004F7881">
              <w:t>O 1-</w:t>
            </w:r>
            <w:r w:rsidR="00F9574B">
              <w:t>5</w:t>
            </w:r>
          </w:p>
        </w:tc>
        <w:tc>
          <w:tcPr>
            <w:tcW w:w="1402" w:type="dxa"/>
            <w:gridSpan w:val="3"/>
            <w:shd w:val="clear" w:color="auto" w:fill="auto"/>
            <w:vAlign w:val="center"/>
          </w:tcPr>
          <w:p w14:paraId="7B32D82F" w14:textId="4986D061" w:rsidR="0005530D" w:rsidRPr="0033245E" w:rsidRDefault="00B95B21" w:rsidP="00B95B21">
            <w:r>
              <w:t>Refer to weekly schedule</w:t>
            </w:r>
          </w:p>
        </w:tc>
      </w:tr>
      <w:tr w:rsidR="00B95B21" w:rsidRPr="00E65914" w14:paraId="507218B4" w14:textId="77777777" w:rsidTr="0041513D">
        <w:tc>
          <w:tcPr>
            <w:tcW w:w="3530" w:type="dxa"/>
            <w:gridSpan w:val="3"/>
            <w:vAlign w:val="center"/>
          </w:tcPr>
          <w:p w14:paraId="5531A5E3" w14:textId="77777777" w:rsidR="0005530D" w:rsidRPr="003166E5" w:rsidRDefault="0005530D" w:rsidP="003166E5">
            <w:pPr>
              <w:pStyle w:val="Heading2"/>
              <w:spacing w:before="0" w:after="0"/>
              <w:rPr>
                <w:szCs w:val="24"/>
              </w:rPr>
            </w:pPr>
          </w:p>
        </w:tc>
        <w:tc>
          <w:tcPr>
            <w:tcW w:w="903" w:type="dxa"/>
            <w:gridSpan w:val="2"/>
            <w:vAlign w:val="center"/>
          </w:tcPr>
          <w:p w14:paraId="6CB5D7EB" w14:textId="77777777" w:rsidR="0005530D" w:rsidRPr="003166E5" w:rsidRDefault="0005530D" w:rsidP="003166E5">
            <w:pPr>
              <w:jc w:val="center"/>
            </w:pPr>
          </w:p>
        </w:tc>
        <w:tc>
          <w:tcPr>
            <w:tcW w:w="2713" w:type="dxa"/>
            <w:shd w:val="clear" w:color="auto" w:fill="auto"/>
            <w:vAlign w:val="center"/>
          </w:tcPr>
          <w:p w14:paraId="17294623" w14:textId="77777777" w:rsidR="0005530D" w:rsidRPr="003166E5" w:rsidRDefault="0005530D" w:rsidP="003166E5"/>
        </w:tc>
        <w:tc>
          <w:tcPr>
            <w:tcW w:w="1982" w:type="dxa"/>
            <w:shd w:val="clear" w:color="auto" w:fill="auto"/>
            <w:vAlign w:val="center"/>
          </w:tcPr>
          <w:p w14:paraId="2574789F" w14:textId="77777777" w:rsidR="0005530D" w:rsidRPr="003166E5" w:rsidRDefault="0005530D" w:rsidP="003166E5"/>
        </w:tc>
        <w:tc>
          <w:tcPr>
            <w:tcW w:w="1402" w:type="dxa"/>
            <w:gridSpan w:val="3"/>
            <w:shd w:val="clear" w:color="auto" w:fill="auto"/>
            <w:vAlign w:val="center"/>
          </w:tcPr>
          <w:p w14:paraId="00441F51" w14:textId="77777777" w:rsidR="0005530D" w:rsidRPr="0033245E" w:rsidRDefault="0005530D" w:rsidP="003166E5"/>
        </w:tc>
      </w:tr>
      <w:tr w:rsidR="00B95B21" w:rsidRPr="00E65914" w14:paraId="3C680C19" w14:textId="77777777" w:rsidTr="0041513D">
        <w:tc>
          <w:tcPr>
            <w:tcW w:w="3530" w:type="dxa"/>
            <w:gridSpan w:val="3"/>
            <w:vAlign w:val="center"/>
          </w:tcPr>
          <w:p w14:paraId="442A86A9" w14:textId="38499E97" w:rsidR="0005530D" w:rsidRPr="003166E5" w:rsidRDefault="0005530D" w:rsidP="00C60660">
            <w:pPr>
              <w:pStyle w:val="Heading2"/>
              <w:spacing w:before="0" w:after="0"/>
              <w:rPr>
                <w:szCs w:val="24"/>
              </w:rPr>
            </w:pPr>
            <w:r w:rsidRPr="003166E5">
              <w:rPr>
                <w:szCs w:val="24"/>
              </w:rPr>
              <w:t xml:space="preserve">Assessment </w:t>
            </w:r>
            <w:r w:rsidR="00C60660">
              <w:rPr>
                <w:szCs w:val="24"/>
              </w:rPr>
              <w:t>5</w:t>
            </w:r>
            <w:r w:rsidRPr="003166E5">
              <w:rPr>
                <w:szCs w:val="24"/>
              </w:rPr>
              <w:t>:</w:t>
            </w:r>
          </w:p>
        </w:tc>
        <w:tc>
          <w:tcPr>
            <w:tcW w:w="903" w:type="dxa"/>
            <w:gridSpan w:val="2"/>
            <w:vAlign w:val="center"/>
          </w:tcPr>
          <w:p w14:paraId="2E7CDE62" w14:textId="08AB97D6" w:rsidR="0005530D" w:rsidRPr="003166E5" w:rsidRDefault="00C60660" w:rsidP="00C60660">
            <w:pPr>
              <w:jc w:val="center"/>
            </w:pPr>
            <w:r>
              <w:t>3</w:t>
            </w:r>
            <w:r w:rsidR="004F7881">
              <w:t>0</w:t>
            </w:r>
            <w:r w:rsidR="0005530D" w:rsidRPr="003166E5">
              <w:t>%</w:t>
            </w:r>
          </w:p>
        </w:tc>
        <w:tc>
          <w:tcPr>
            <w:tcW w:w="2713" w:type="dxa"/>
            <w:shd w:val="clear" w:color="auto" w:fill="auto"/>
            <w:vAlign w:val="center"/>
          </w:tcPr>
          <w:p w14:paraId="56DD8C4A" w14:textId="3BE28111" w:rsidR="0033245E" w:rsidRPr="003166E5" w:rsidRDefault="00C60660" w:rsidP="00D76470">
            <w:r>
              <w:t>Final Examination</w:t>
            </w:r>
          </w:p>
        </w:tc>
        <w:tc>
          <w:tcPr>
            <w:tcW w:w="1982" w:type="dxa"/>
            <w:shd w:val="clear" w:color="auto" w:fill="auto"/>
            <w:vAlign w:val="center"/>
          </w:tcPr>
          <w:p w14:paraId="0C5BC42F" w14:textId="337066EF" w:rsidR="0005530D" w:rsidRDefault="0033245E" w:rsidP="003166E5">
            <w:r>
              <w:t xml:space="preserve">LO </w:t>
            </w:r>
            <w:r w:rsidR="00F9574B">
              <w:t>1-5</w:t>
            </w:r>
          </w:p>
          <w:p w14:paraId="3781F59F" w14:textId="7A29B8F6" w:rsidR="0033245E" w:rsidRPr="003166E5" w:rsidRDefault="0033245E" w:rsidP="003166E5"/>
        </w:tc>
        <w:tc>
          <w:tcPr>
            <w:tcW w:w="1402" w:type="dxa"/>
            <w:gridSpan w:val="3"/>
            <w:shd w:val="clear" w:color="auto" w:fill="auto"/>
            <w:vAlign w:val="center"/>
          </w:tcPr>
          <w:p w14:paraId="0FB8B798" w14:textId="5A9CA44B" w:rsidR="0005530D" w:rsidRPr="0033245E" w:rsidRDefault="00C60660" w:rsidP="003166E5">
            <w:r>
              <w:t>TBA</w:t>
            </w:r>
          </w:p>
        </w:tc>
      </w:tr>
      <w:tr w:rsidR="00B95B21" w:rsidRPr="00E65914" w14:paraId="49AEB92B" w14:textId="77777777" w:rsidTr="0041513D">
        <w:tc>
          <w:tcPr>
            <w:tcW w:w="3530" w:type="dxa"/>
            <w:gridSpan w:val="3"/>
            <w:vAlign w:val="center"/>
          </w:tcPr>
          <w:p w14:paraId="46250ECC" w14:textId="77777777" w:rsidR="0033245E" w:rsidRDefault="0033245E" w:rsidP="003166E5">
            <w:pPr>
              <w:pStyle w:val="Heading2"/>
              <w:spacing w:before="0" w:after="0"/>
              <w:rPr>
                <w:szCs w:val="24"/>
              </w:rPr>
            </w:pPr>
          </w:p>
        </w:tc>
        <w:tc>
          <w:tcPr>
            <w:tcW w:w="903" w:type="dxa"/>
            <w:gridSpan w:val="2"/>
            <w:vAlign w:val="center"/>
          </w:tcPr>
          <w:p w14:paraId="16B57F54" w14:textId="77777777" w:rsidR="0033245E" w:rsidRPr="0033245E" w:rsidRDefault="0033245E" w:rsidP="0033245E"/>
        </w:tc>
        <w:tc>
          <w:tcPr>
            <w:tcW w:w="2713" w:type="dxa"/>
            <w:shd w:val="clear" w:color="auto" w:fill="auto"/>
            <w:vAlign w:val="center"/>
          </w:tcPr>
          <w:p w14:paraId="4BE27D7A" w14:textId="77777777" w:rsidR="0033245E" w:rsidRDefault="0033245E" w:rsidP="00D76470"/>
        </w:tc>
        <w:tc>
          <w:tcPr>
            <w:tcW w:w="1982" w:type="dxa"/>
            <w:shd w:val="clear" w:color="auto" w:fill="auto"/>
            <w:vAlign w:val="center"/>
          </w:tcPr>
          <w:p w14:paraId="4AF4817E" w14:textId="77777777" w:rsidR="0033245E" w:rsidRDefault="0033245E" w:rsidP="003166E5"/>
        </w:tc>
        <w:tc>
          <w:tcPr>
            <w:tcW w:w="1402" w:type="dxa"/>
            <w:gridSpan w:val="3"/>
            <w:shd w:val="clear" w:color="auto" w:fill="auto"/>
            <w:vAlign w:val="center"/>
          </w:tcPr>
          <w:p w14:paraId="2118A640" w14:textId="77777777" w:rsidR="0033245E" w:rsidRPr="0033245E" w:rsidRDefault="0033245E" w:rsidP="003166E5"/>
        </w:tc>
      </w:tr>
      <w:tr w:rsidR="00B95B21" w14:paraId="10E7A4B7" w14:textId="77777777" w:rsidTr="0041513D">
        <w:tc>
          <w:tcPr>
            <w:tcW w:w="3530" w:type="dxa"/>
            <w:gridSpan w:val="3"/>
          </w:tcPr>
          <w:p w14:paraId="62E7965E" w14:textId="77777777" w:rsidR="0005530D" w:rsidRPr="0033245E" w:rsidRDefault="0005530D" w:rsidP="003166E5">
            <w:pPr>
              <w:pStyle w:val="Heading2"/>
              <w:rPr>
                <w:szCs w:val="24"/>
              </w:rPr>
            </w:pPr>
            <w:r w:rsidRPr="0033245E">
              <w:rPr>
                <w:szCs w:val="24"/>
              </w:rPr>
              <w:t xml:space="preserve">Total </w:t>
            </w:r>
          </w:p>
        </w:tc>
        <w:tc>
          <w:tcPr>
            <w:tcW w:w="903" w:type="dxa"/>
            <w:gridSpan w:val="2"/>
          </w:tcPr>
          <w:p w14:paraId="69806FEF" w14:textId="77777777" w:rsidR="0005530D" w:rsidRPr="0033245E" w:rsidRDefault="0005530D" w:rsidP="003166E5">
            <w:pPr>
              <w:jc w:val="center"/>
              <w:rPr>
                <w:b/>
              </w:rPr>
            </w:pPr>
            <w:r w:rsidRPr="0033245E">
              <w:rPr>
                <w:b/>
              </w:rPr>
              <w:t>100%</w:t>
            </w:r>
          </w:p>
        </w:tc>
        <w:tc>
          <w:tcPr>
            <w:tcW w:w="2713" w:type="dxa"/>
            <w:shd w:val="clear" w:color="auto" w:fill="auto"/>
          </w:tcPr>
          <w:p w14:paraId="7F531137" w14:textId="77777777" w:rsidR="0005530D" w:rsidRPr="0033245E" w:rsidRDefault="0005530D" w:rsidP="003166E5"/>
        </w:tc>
        <w:tc>
          <w:tcPr>
            <w:tcW w:w="1982" w:type="dxa"/>
            <w:shd w:val="clear" w:color="auto" w:fill="auto"/>
            <w:vAlign w:val="center"/>
          </w:tcPr>
          <w:p w14:paraId="30C872AD" w14:textId="77777777" w:rsidR="0005530D" w:rsidRPr="0033245E" w:rsidRDefault="0005530D" w:rsidP="003166E5"/>
        </w:tc>
        <w:tc>
          <w:tcPr>
            <w:tcW w:w="1402" w:type="dxa"/>
            <w:gridSpan w:val="3"/>
            <w:shd w:val="clear" w:color="auto" w:fill="auto"/>
          </w:tcPr>
          <w:p w14:paraId="14E42EE4" w14:textId="77777777" w:rsidR="0005530D" w:rsidRPr="0033245E" w:rsidRDefault="0005530D" w:rsidP="003166E5"/>
        </w:tc>
      </w:tr>
      <w:tr w:rsidR="0005530D" w:rsidRPr="009339AB" w14:paraId="4D22AD87" w14:textId="77777777" w:rsidTr="0041513D">
        <w:tc>
          <w:tcPr>
            <w:tcW w:w="10530" w:type="dxa"/>
            <w:gridSpan w:val="10"/>
            <w:vAlign w:val="center"/>
          </w:tcPr>
          <w:p w14:paraId="21A6C9B0" w14:textId="097E7F87" w:rsidR="0005530D" w:rsidRDefault="0005530D" w:rsidP="003166E5">
            <w:pPr>
              <w:overflowPunct w:val="0"/>
              <w:autoSpaceDE w:val="0"/>
              <w:autoSpaceDN w:val="0"/>
              <w:adjustRightInd w:val="0"/>
              <w:spacing w:before="120" w:after="120"/>
              <w:contextualSpacing/>
              <w:jc w:val="both"/>
              <w:textAlignment w:val="baseline"/>
            </w:pPr>
          </w:p>
          <w:p w14:paraId="54EF04A2" w14:textId="0570C770" w:rsidR="006405D0" w:rsidRDefault="00DB11B1" w:rsidP="003166E5">
            <w:pPr>
              <w:overflowPunct w:val="0"/>
              <w:autoSpaceDE w:val="0"/>
              <w:autoSpaceDN w:val="0"/>
              <w:adjustRightInd w:val="0"/>
              <w:spacing w:before="120" w:after="120"/>
              <w:contextualSpacing/>
              <w:jc w:val="both"/>
              <w:textAlignment w:val="baseline"/>
            </w:pPr>
            <w:r>
              <w:t>** Please note the timing of Midterms.  Please inform the instructor ASAP if you have an academic conflict with this timing.</w:t>
            </w:r>
          </w:p>
          <w:p w14:paraId="1E58DBC3" w14:textId="4D032D96" w:rsidR="006405D0" w:rsidRDefault="006405D0" w:rsidP="003166E5">
            <w:pPr>
              <w:overflowPunct w:val="0"/>
              <w:autoSpaceDE w:val="0"/>
              <w:autoSpaceDN w:val="0"/>
              <w:adjustRightInd w:val="0"/>
              <w:spacing w:before="120" w:after="120"/>
              <w:contextualSpacing/>
              <w:jc w:val="both"/>
              <w:textAlignment w:val="baseline"/>
            </w:pPr>
          </w:p>
          <w:p w14:paraId="0DF8C2EA" w14:textId="77777777" w:rsidR="006405D0" w:rsidRDefault="006405D0" w:rsidP="003166E5">
            <w:pPr>
              <w:overflowPunct w:val="0"/>
              <w:autoSpaceDE w:val="0"/>
              <w:autoSpaceDN w:val="0"/>
              <w:adjustRightInd w:val="0"/>
              <w:spacing w:before="120" w:after="120"/>
              <w:contextualSpacing/>
              <w:jc w:val="both"/>
              <w:textAlignment w:val="baseline"/>
            </w:pPr>
          </w:p>
          <w:p w14:paraId="195DA855" w14:textId="77777777" w:rsidR="006405D0" w:rsidRDefault="006405D0" w:rsidP="003166E5">
            <w:pPr>
              <w:overflowPunct w:val="0"/>
              <w:autoSpaceDE w:val="0"/>
              <w:autoSpaceDN w:val="0"/>
              <w:adjustRightInd w:val="0"/>
              <w:spacing w:before="120" w:after="120"/>
              <w:contextualSpacing/>
              <w:jc w:val="both"/>
              <w:textAlignment w:val="baseline"/>
            </w:pPr>
          </w:p>
          <w:p w14:paraId="16942A2D" w14:textId="77777777" w:rsidR="003166E5" w:rsidRPr="003166E5" w:rsidRDefault="003166E5" w:rsidP="003166E5">
            <w:pPr>
              <w:overflowPunct w:val="0"/>
              <w:autoSpaceDE w:val="0"/>
              <w:autoSpaceDN w:val="0"/>
              <w:adjustRightInd w:val="0"/>
              <w:spacing w:before="120" w:after="120"/>
              <w:contextualSpacing/>
              <w:jc w:val="both"/>
              <w:textAlignment w:val="baseline"/>
            </w:pPr>
          </w:p>
        </w:tc>
      </w:tr>
      <w:tr w:rsidR="0005530D" w14:paraId="1F28C5BA" w14:textId="77777777" w:rsidTr="0041513D">
        <w:tc>
          <w:tcPr>
            <w:tcW w:w="10530" w:type="dxa"/>
            <w:gridSpan w:val="10"/>
            <w:shd w:val="clear" w:color="auto" w:fill="E0E0E0"/>
          </w:tcPr>
          <w:p w14:paraId="46680230" w14:textId="77777777" w:rsidR="0005530D" w:rsidRPr="00E65914" w:rsidRDefault="0005530D" w:rsidP="003166E5">
            <w:pPr>
              <w:pStyle w:val="Heading1"/>
            </w:pPr>
            <w:r w:rsidRPr="00E65914">
              <w:lastRenderedPageBreak/>
              <w:t>Teaching and Learning</w:t>
            </w:r>
            <w:r>
              <w:t xml:space="preserve"> Practices </w:t>
            </w:r>
            <w:r w:rsidRPr="00544069">
              <w:rPr>
                <w:i/>
              </w:rPr>
              <w:t xml:space="preserve"> </w:t>
            </w:r>
          </w:p>
        </w:tc>
      </w:tr>
      <w:tr w:rsidR="0005530D" w14:paraId="4D676F47" w14:textId="77777777" w:rsidTr="006405D0">
        <w:trPr>
          <w:gridAfter w:val="1"/>
          <w:wAfter w:w="676" w:type="dxa"/>
        </w:trPr>
        <w:tc>
          <w:tcPr>
            <w:tcW w:w="2340" w:type="dxa"/>
            <w:gridSpan w:val="2"/>
          </w:tcPr>
          <w:p w14:paraId="7A3645B0" w14:textId="77777777" w:rsidR="0005530D" w:rsidRPr="00845EA1" w:rsidRDefault="0033245E" w:rsidP="003166E5">
            <w:pPr>
              <w:pStyle w:val="Heading2"/>
              <w:jc w:val="both"/>
            </w:pPr>
            <w:r>
              <w:t>Background Readings</w:t>
            </w:r>
          </w:p>
        </w:tc>
        <w:tc>
          <w:tcPr>
            <w:tcW w:w="7514" w:type="dxa"/>
            <w:gridSpan w:val="7"/>
          </w:tcPr>
          <w:p w14:paraId="0F1C57F8" w14:textId="5FDBB410" w:rsidR="0005530D" w:rsidRPr="00282418" w:rsidRDefault="0033245E" w:rsidP="00C4485A">
            <w:pPr>
              <w:spacing w:before="120" w:after="120"/>
              <w:jc w:val="both"/>
              <w:rPr>
                <w:rFonts w:eastAsia="Calibri" w:cs="Arial"/>
                <w:lang w:val="en-US"/>
              </w:rPr>
            </w:pPr>
            <w:r>
              <w:rPr>
                <w:rFonts w:cs="Arial"/>
                <w:szCs w:val="22"/>
                <w:lang w:eastAsia="en-CA"/>
              </w:rPr>
              <w:t>Each topic contains readings about related concepts and issues.  Readings are to be completed prior to attending class.</w:t>
            </w:r>
            <w:r w:rsidR="00282418" w:rsidRPr="00282418">
              <w:rPr>
                <w:rFonts w:eastAsia="Calibri" w:cs="Arial"/>
                <w:lang w:val="en-US"/>
              </w:rPr>
              <w:t xml:space="preserve">  </w:t>
            </w:r>
          </w:p>
        </w:tc>
      </w:tr>
      <w:tr w:rsidR="0033245E" w14:paraId="4EC3CD4F" w14:textId="77777777" w:rsidTr="006405D0">
        <w:trPr>
          <w:gridAfter w:val="1"/>
          <w:wAfter w:w="676" w:type="dxa"/>
        </w:trPr>
        <w:tc>
          <w:tcPr>
            <w:tcW w:w="2340" w:type="dxa"/>
            <w:gridSpan w:val="2"/>
          </w:tcPr>
          <w:p w14:paraId="1424DAC0" w14:textId="14B23F3D" w:rsidR="0033245E" w:rsidRDefault="005D6740" w:rsidP="003166E5">
            <w:pPr>
              <w:pStyle w:val="Heading2"/>
              <w:jc w:val="both"/>
            </w:pPr>
            <w:r w:rsidRPr="00BB3D29">
              <w:t>On-line presentations</w:t>
            </w:r>
          </w:p>
        </w:tc>
        <w:tc>
          <w:tcPr>
            <w:tcW w:w="7514" w:type="dxa"/>
            <w:gridSpan w:val="7"/>
          </w:tcPr>
          <w:p w14:paraId="64E8B710" w14:textId="63609C1F" w:rsidR="0033245E" w:rsidRDefault="00AE2C95" w:rsidP="0041513D">
            <w:pPr>
              <w:spacing w:before="240" w:after="60"/>
              <w:jc w:val="both"/>
              <w:rPr>
                <w:rFonts w:cs="Arial"/>
                <w:szCs w:val="22"/>
                <w:lang w:eastAsia="en-CA"/>
              </w:rPr>
            </w:pPr>
            <w:r w:rsidRPr="00BB3D29">
              <w:rPr>
                <w:rFonts w:cs="Arial"/>
                <w:lang w:eastAsia="en-CA"/>
              </w:rPr>
              <w:t>PowerPoint</w:t>
            </w:r>
            <w:r w:rsidR="005D6740" w:rsidRPr="00BB3D29">
              <w:rPr>
                <w:rFonts w:cs="Arial"/>
                <w:lang w:eastAsia="en-CA"/>
              </w:rPr>
              <w:t xml:space="preserve"> presentations are available on the course website.  </w:t>
            </w:r>
          </w:p>
        </w:tc>
      </w:tr>
      <w:tr w:rsidR="0033245E" w14:paraId="2AB15B5A" w14:textId="77777777" w:rsidTr="0041513D">
        <w:trPr>
          <w:gridAfter w:val="2"/>
          <w:wAfter w:w="766" w:type="dxa"/>
        </w:trPr>
        <w:tc>
          <w:tcPr>
            <w:tcW w:w="2250" w:type="dxa"/>
          </w:tcPr>
          <w:p w14:paraId="48A82A23" w14:textId="73E17C15" w:rsidR="0033245E" w:rsidRDefault="005D6740" w:rsidP="0041513D">
            <w:pPr>
              <w:pStyle w:val="Heading2"/>
            </w:pPr>
            <w:r w:rsidRPr="00BB3D29">
              <w:t>On-line WileyPlus assignments</w:t>
            </w:r>
          </w:p>
        </w:tc>
        <w:tc>
          <w:tcPr>
            <w:tcW w:w="7514" w:type="dxa"/>
            <w:gridSpan w:val="7"/>
          </w:tcPr>
          <w:p w14:paraId="766563C4" w14:textId="5E423789" w:rsidR="0033245E" w:rsidRDefault="005D6740" w:rsidP="00B95B21">
            <w:pPr>
              <w:spacing w:before="120" w:after="120"/>
              <w:jc w:val="both"/>
              <w:rPr>
                <w:rFonts w:cs="Arial"/>
                <w:szCs w:val="22"/>
                <w:lang w:eastAsia="en-CA"/>
              </w:rPr>
            </w:pPr>
            <w:r w:rsidRPr="00BB3D29">
              <w:rPr>
                <w:rFonts w:cs="Arial"/>
              </w:rPr>
              <w:t xml:space="preserve">Assignments (WileyPlus required) are similar to the questions discussed in class. They will be done on-line using WileyPlus. The assignments are not timed, and you have </w:t>
            </w:r>
            <w:r w:rsidR="00B95B21">
              <w:rPr>
                <w:rFonts w:cs="Arial"/>
              </w:rPr>
              <w:t>two</w:t>
            </w:r>
            <w:r w:rsidRPr="00BB3D29">
              <w:rPr>
                <w:rFonts w:cs="Arial"/>
              </w:rPr>
              <w:t xml:space="preserve"> attempts for each question. If you miss a deadline for whatever reason, the assignment will be recorded as zero. There is no re-weighting of marks for assignments.</w:t>
            </w:r>
          </w:p>
        </w:tc>
      </w:tr>
      <w:tr w:rsidR="00ED40A7" w14:paraId="16D042E8" w14:textId="77777777" w:rsidTr="0041513D">
        <w:trPr>
          <w:gridAfter w:val="2"/>
          <w:wAfter w:w="766" w:type="dxa"/>
        </w:trPr>
        <w:tc>
          <w:tcPr>
            <w:tcW w:w="2250" w:type="dxa"/>
          </w:tcPr>
          <w:p w14:paraId="710A5CFD" w14:textId="7851A1AC" w:rsidR="00ED40A7" w:rsidRDefault="005D6740" w:rsidP="0041513D">
            <w:pPr>
              <w:pStyle w:val="Heading2"/>
            </w:pPr>
            <w:r w:rsidRPr="00BB3D29">
              <w:t>Problems for class discussion</w:t>
            </w:r>
          </w:p>
        </w:tc>
        <w:tc>
          <w:tcPr>
            <w:tcW w:w="7514" w:type="dxa"/>
            <w:gridSpan w:val="7"/>
          </w:tcPr>
          <w:p w14:paraId="359E592F" w14:textId="019F52C4" w:rsidR="00ED40A7" w:rsidRDefault="005D6740" w:rsidP="00C4485A">
            <w:pPr>
              <w:spacing w:before="120" w:after="120"/>
              <w:jc w:val="both"/>
              <w:rPr>
                <w:rFonts w:cs="Arial"/>
                <w:szCs w:val="22"/>
              </w:rPr>
            </w:pPr>
            <w:r w:rsidRPr="00BB3D29">
              <w:rPr>
                <w:rFonts w:cs="Arial"/>
              </w:rPr>
              <w:t>You will be assigned problems and exercises which form an integral part of each class discussion. These problems approximate the difficulty level you should expect to see on exams.  You are to attempt the in-class problems prior to attending class.</w:t>
            </w:r>
            <w:r w:rsidR="00F2187A">
              <w:rPr>
                <w:rFonts w:cs="Arial"/>
              </w:rPr>
              <w:t xml:space="preserve">  In addition, there will be problems handed out and completed in class.  If you miss a </w:t>
            </w:r>
            <w:r w:rsidR="00AE2C95">
              <w:rPr>
                <w:rFonts w:cs="Arial"/>
              </w:rPr>
              <w:t>class,</w:t>
            </w:r>
            <w:r w:rsidR="00F2187A">
              <w:rPr>
                <w:rFonts w:cs="Arial"/>
              </w:rPr>
              <w:t xml:space="preserve"> it will be your responsibility to obtain a copy of the problem and solution.</w:t>
            </w:r>
          </w:p>
        </w:tc>
      </w:tr>
      <w:tr w:rsidR="00ED40A7" w14:paraId="3520C581" w14:textId="77777777" w:rsidTr="0041513D">
        <w:trPr>
          <w:gridAfter w:val="2"/>
          <w:wAfter w:w="766" w:type="dxa"/>
        </w:trPr>
        <w:tc>
          <w:tcPr>
            <w:tcW w:w="2250" w:type="dxa"/>
          </w:tcPr>
          <w:p w14:paraId="4EA38829" w14:textId="1AF86619" w:rsidR="00ED40A7" w:rsidRDefault="005D6740" w:rsidP="003166E5">
            <w:pPr>
              <w:pStyle w:val="Heading2"/>
              <w:jc w:val="both"/>
            </w:pPr>
            <w:r w:rsidRPr="00BB3D29">
              <w:t>Self-study problems</w:t>
            </w:r>
          </w:p>
        </w:tc>
        <w:tc>
          <w:tcPr>
            <w:tcW w:w="7514" w:type="dxa"/>
            <w:gridSpan w:val="7"/>
          </w:tcPr>
          <w:p w14:paraId="72AB6A7A" w14:textId="2D316B17" w:rsidR="00ED40A7" w:rsidRDefault="005D6740" w:rsidP="00C4485A">
            <w:pPr>
              <w:spacing w:before="120" w:after="120"/>
              <w:jc w:val="both"/>
              <w:rPr>
                <w:rFonts w:cs="Arial"/>
                <w:szCs w:val="22"/>
              </w:rPr>
            </w:pPr>
            <w:r w:rsidRPr="00BB3D29">
              <w:rPr>
                <w:rFonts w:cs="Arial"/>
              </w:rPr>
              <w:t>In addition to the problems for class discussion, additional problems should be completed on a self-study basis to reinforce and clarify the in-class learning.  Solutions to brief exercise problems from the text will be posted to Courselink.</w:t>
            </w:r>
          </w:p>
        </w:tc>
      </w:tr>
      <w:tr w:rsidR="00ED40A7" w14:paraId="5582E2A2" w14:textId="77777777" w:rsidTr="0041513D">
        <w:trPr>
          <w:gridAfter w:val="2"/>
          <w:wAfter w:w="766" w:type="dxa"/>
        </w:trPr>
        <w:tc>
          <w:tcPr>
            <w:tcW w:w="2250" w:type="dxa"/>
          </w:tcPr>
          <w:p w14:paraId="4545B104" w14:textId="233812EE" w:rsidR="00ED40A7" w:rsidRDefault="00FC6D4F" w:rsidP="0041513D">
            <w:pPr>
              <w:pStyle w:val="Heading2"/>
            </w:pPr>
            <w:r>
              <w:t xml:space="preserve">Group </w:t>
            </w:r>
            <w:r w:rsidR="005D6740">
              <w:t xml:space="preserve">written </w:t>
            </w:r>
            <w:r w:rsidR="005D6740" w:rsidRPr="00BB3D29">
              <w:t>case report</w:t>
            </w:r>
          </w:p>
        </w:tc>
        <w:tc>
          <w:tcPr>
            <w:tcW w:w="7514" w:type="dxa"/>
            <w:gridSpan w:val="7"/>
          </w:tcPr>
          <w:p w14:paraId="675F05AD" w14:textId="576E20A4" w:rsidR="00ED40A7" w:rsidRDefault="005D6740" w:rsidP="00C4485A">
            <w:pPr>
              <w:spacing w:before="120" w:after="120"/>
              <w:jc w:val="both"/>
              <w:rPr>
                <w:rFonts w:cs="Arial"/>
              </w:rPr>
            </w:pPr>
            <w:r w:rsidRPr="00BB3D29">
              <w:rPr>
                <w:rFonts w:cs="Arial"/>
              </w:rPr>
              <w:t>The group written assignment will provide you and your group members (no more than 5 students in a group</w:t>
            </w:r>
            <w:r w:rsidR="00F2187A">
              <w:rPr>
                <w:rFonts w:cs="Arial"/>
              </w:rPr>
              <w:t>.</w:t>
            </w:r>
            <w:r w:rsidRPr="00BB3D29">
              <w:rPr>
                <w:rFonts w:cs="Arial"/>
              </w:rPr>
              <w:t>) with an opportunity to delve more deeply into the selected topic areas in the course. The assignment will include some less directed elements and will require demonstration of strong writing and organizing skills.</w:t>
            </w:r>
            <w:r w:rsidR="00C60660">
              <w:rPr>
                <w:rFonts w:cs="Arial"/>
              </w:rPr>
              <w:t xml:space="preserve">  The group response should be formatted in a manner similar to the CPA Way which will be discussed in class.</w:t>
            </w:r>
          </w:p>
          <w:p w14:paraId="2919202C" w14:textId="5421529E" w:rsidR="00F2187A" w:rsidRPr="00E621FC" w:rsidRDefault="00F2187A" w:rsidP="00F2187A">
            <w:pPr>
              <w:keepNext/>
              <w:keepLines/>
              <w:jc w:val="both"/>
            </w:pPr>
            <w:r>
              <w:t xml:space="preserve">Students should </w:t>
            </w:r>
            <w:r w:rsidRPr="00D42A8F">
              <w:rPr>
                <w:i/>
              </w:rPr>
              <w:t>not</w:t>
            </w:r>
            <w:r>
              <w:t xml:space="preserve"> share or discuss their solutions with members of other groups.  One (hard) copy of the solution (per group) should be submitted as instructed in the course schedule and one (soft) copy to the drop box for ACCT 3340 in Courselink (Courselink automatically subjects all submissions to checks for plagiarism, etc., via turnitin.com).</w:t>
            </w:r>
            <w:r w:rsidRPr="00EB7B1E">
              <w:t xml:space="preserve"> </w:t>
            </w:r>
            <w:r>
              <w:t xml:space="preserve">The solution to the case should be no more than 3 pages in length (minimum 12 font) -- plus up to 3 pages for appendices for items such as journal entries or draft financial statements -- if applicable (see “Approach to Financial Accounting Cases” below for further details). </w:t>
            </w:r>
          </w:p>
          <w:p w14:paraId="20A8D6D2" w14:textId="77777777" w:rsidR="00F2187A" w:rsidRDefault="00F2187A" w:rsidP="00C4485A">
            <w:pPr>
              <w:spacing w:before="120" w:after="120"/>
              <w:jc w:val="both"/>
              <w:rPr>
                <w:rFonts w:cs="Arial"/>
                <w:szCs w:val="22"/>
              </w:rPr>
            </w:pPr>
          </w:p>
          <w:p w14:paraId="7F423D8F" w14:textId="77777777" w:rsidR="006405D0" w:rsidRDefault="006405D0" w:rsidP="00C4485A">
            <w:pPr>
              <w:spacing w:before="120" w:after="120"/>
              <w:jc w:val="both"/>
              <w:rPr>
                <w:rFonts w:cs="Arial"/>
                <w:szCs w:val="22"/>
              </w:rPr>
            </w:pPr>
          </w:p>
          <w:p w14:paraId="66C2D29F" w14:textId="77777777" w:rsidR="006405D0" w:rsidRDefault="006405D0" w:rsidP="00C4485A">
            <w:pPr>
              <w:spacing w:before="120" w:after="120"/>
              <w:jc w:val="both"/>
              <w:rPr>
                <w:rFonts w:cs="Arial"/>
                <w:szCs w:val="22"/>
              </w:rPr>
            </w:pPr>
          </w:p>
          <w:p w14:paraId="1DA4C76A" w14:textId="2B408F36" w:rsidR="006405D0" w:rsidRDefault="006405D0" w:rsidP="00C4485A">
            <w:pPr>
              <w:spacing w:before="120" w:after="120"/>
              <w:jc w:val="both"/>
              <w:rPr>
                <w:rFonts w:cs="Arial"/>
                <w:szCs w:val="22"/>
              </w:rPr>
            </w:pPr>
          </w:p>
        </w:tc>
      </w:tr>
      <w:tr w:rsidR="0005530D" w:rsidRPr="0027490F" w14:paraId="44D10E3E" w14:textId="77777777" w:rsidTr="0041513D">
        <w:tc>
          <w:tcPr>
            <w:tcW w:w="10530" w:type="dxa"/>
            <w:gridSpan w:val="10"/>
            <w:shd w:val="clear" w:color="auto" w:fill="E0E0E0"/>
          </w:tcPr>
          <w:p w14:paraId="6805E28C" w14:textId="77777777" w:rsidR="0005530D" w:rsidRPr="0027490F" w:rsidRDefault="0005530D" w:rsidP="003166E5">
            <w:pPr>
              <w:pStyle w:val="Heading1"/>
            </w:pPr>
            <w:r>
              <w:lastRenderedPageBreak/>
              <w:t>Course Resources</w:t>
            </w:r>
          </w:p>
        </w:tc>
      </w:tr>
      <w:tr w:rsidR="00ED40A7" w14:paraId="0E734264" w14:textId="77777777" w:rsidTr="0041513D">
        <w:tc>
          <w:tcPr>
            <w:tcW w:w="10530" w:type="dxa"/>
            <w:gridSpan w:val="10"/>
          </w:tcPr>
          <w:p w14:paraId="706D3F5B" w14:textId="77777777" w:rsidR="005D6740" w:rsidRPr="00BB3D29" w:rsidRDefault="005D6740" w:rsidP="005D6740">
            <w:pPr>
              <w:pStyle w:val="Heading2"/>
              <w:rPr>
                <w:rFonts w:eastAsia="Calibri"/>
              </w:rPr>
            </w:pPr>
            <w:r w:rsidRPr="00BB3D29">
              <w:rPr>
                <w:rFonts w:eastAsia="Calibri"/>
              </w:rPr>
              <w:t>Required Texts:</w:t>
            </w:r>
          </w:p>
          <w:p w14:paraId="2A248896" w14:textId="77777777" w:rsidR="005D6740" w:rsidRPr="00BB3D29" w:rsidRDefault="005D6740" w:rsidP="005D6740">
            <w:r w:rsidRPr="00BB3D29">
              <w:t xml:space="preserve">Kieso, et al., Intermediate Accounting, Volume II, 11th Canadian Ed., John Wiley &amp; Sons Canada Ltd., 2016.  </w:t>
            </w:r>
          </w:p>
          <w:p w14:paraId="7E28E9C6" w14:textId="0B81928D" w:rsidR="00F2187A" w:rsidRPr="00BB3D29" w:rsidRDefault="005D6740" w:rsidP="00805DDE">
            <w:pPr>
              <w:ind w:left="720"/>
            </w:pPr>
            <w:r w:rsidRPr="00BB3D29">
              <w:t>[The text may be purchased in hard copy with “WileyPlus” access or as the online “eBook” version.  For students who are planning to pursue the CPA designation, we recommend the hard copy.  The material in this course is examinable within the professional program, and it’s useful to have the reference from which you originally learned the material. The e-book provides access only for 6 months.]   Note that used textbooks do not include “WileyPlus” access.</w:t>
            </w:r>
          </w:p>
          <w:p w14:paraId="3ADFED2D" w14:textId="77777777" w:rsidR="005D6740" w:rsidRPr="00BB3D29" w:rsidRDefault="005D6740" w:rsidP="005D6740">
            <w:pPr>
              <w:ind w:left="720"/>
            </w:pPr>
          </w:p>
          <w:p w14:paraId="3B9A9C5B" w14:textId="77777777" w:rsidR="005D6740" w:rsidRPr="00BB3D29" w:rsidRDefault="005D6740" w:rsidP="005D6740">
            <w:r w:rsidRPr="00BB3D29">
              <w:t>CPAC Handbook.</w:t>
            </w:r>
          </w:p>
          <w:p w14:paraId="356D3410" w14:textId="77777777" w:rsidR="005D6740" w:rsidRPr="00BB3D29" w:rsidRDefault="005D6740" w:rsidP="005D6740">
            <w:pPr>
              <w:ind w:left="720"/>
            </w:pPr>
            <w:r w:rsidRPr="00BB3D29">
              <w:t>Electronic access to the CPAC Handbook can be obtained through the University of Guelph library.  Because the Handbook is constantly being updated, a hardcopy version would become quickly updated, and is not recommended.</w:t>
            </w:r>
          </w:p>
          <w:p w14:paraId="231C4441" w14:textId="2624C46A" w:rsidR="00ED40A7" w:rsidRPr="00ED40A7" w:rsidRDefault="00ED40A7" w:rsidP="00F2187A">
            <w:pPr>
              <w:rPr>
                <w:b/>
              </w:rPr>
            </w:pPr>
          </w:p>
        </w:tc>
      </w:tr>
      <w:tr w:rsidR="0005530D" w14:paraId="364AC8C1" w14:textId="77777777" w:rsidTr="0041513D">
        <w:tc>
          <w:tcPr>
            <w:tcW w:w="10530" w:type="dxa"/>
            <w:gridSpan w:val="10"/>
            <w:shd w:val="clear" w:color="auto" w:fill="D9D9D9"/>
          </w:tcPr>
          <w:p w14:paraId="42EA6C55" w14:textId="77777777" w:rsidR="0005530D" w:rsidRPr="00D60E20" w:rsidRDefault="0005530D" w:rsidP="003166E5">
            <w:pPr>
              <w:pStyle w:val="Heading1"/>
              <w:rPr>
                <w:highlight w:val="yellow"/>
              </w:rPr>
            </w:pPr>
            <w:r w:rsidRPr="00D60E20">
              <w:rPr>
                <w:rFonts w:eastAsia="Calibri"/>
                <w:lang w:val="en-US"/>
              </w:rPr>
              <w:t>Course Policies</w:t>
            </w:r>
          </w:p>
        </w:tc>
      </w:tr>
      <w:tr w:rsidR="0005530D" w14:paraId="5F7034AB" w14:textId="77777777" w:rsidTr="0041513D">
        <w:tc>
          <w:tcPr>
            <w:tcW w:w="10530" w:type="dxa"/>
            <w:gridSpan w:val="10"/>
          </w:tcPr>
          <w:p w14:paraId="6E045FB7" w14:textId="77777777" w:rsidR="0005530D" w:rsidRPr="003166E5" w:rsidRDefault="0005530D" w:rsidP="003166E5">
            <w:pPr>
              <w:pStyle w:val="Heading2"/>
              <w:rPr>
                <w:rFonts w:eastAsia="Calibri"/>
                <w:szCs w:val="24"/>
                <w:lang w:val="en-US"/>
              </w:rPr>
            </w:pPr>
            <w:r w:rsidRPr="003166E5">
              <w:rPr>
                <w:rFonts w:eastAsia="Calibri"/>
                <w:szCs w:val="24"/>
                <w:lang w:val="en-US"/>
              </w:rPr>
              <w:t>Grading Policies</w:t>
            </w:r>
          </w:p>
          <w:p w14:paraId="38D8D3E3" w14:textId="3DC2D97D" w:rsidR="0005530D" w:rsidRPr="003166E5" w:rsidRDefault="0005530D" w:rsidP="003166E5">
            <w:pPr>
              <w:jc w:val="both"/>
              <w:rPr>
                <w:rFonts w:eastAsia="Calibri"/>
                <w:lang w:val="en-US"/>
              </w:rPr>
            </w:pPr>
            <w:r w:rsidRPr="003166E5">
              <w:rPr>
                <w:rFonts w:eastAsia="Calibri"/>
                <w:lang w:val="en-US"/>
              </w:rPr>
              <w:t>Unless you have discussed an extension well ahead of the due date with the instructor, late penalties of 5% of the total grade earned per day (including weekends) will be assigned to any assessment (i.e. deducted from the total mark). Extensions will only be granted on the basis of valid reasons. Late assignments will not be accepted once graded assignments have been returned officially to the class at large, unless circumstances permit and alternative arrangements have been made.</w:t>
            </w:r>
          </w:p>
          <w:p w14:paraId="71456E39" w14:textId="77777777" w:rsidR="0005530D" w:rsidRPr="003166E5" w:rsidRDefault="0005530D" w:rsidP="003166E5">
            <w:pPr>
              <w:jc w:val="both"/>
              <w:rPr>
                <w:rFonts w:eastAsia="Calibri"/>
                <w:lang w:val="en-US"/>
              </w:rPr>
            </w:pPr>
          </w:p>
          <w:p w14:paraId="0FA27AD8" w14:textId="77777777" w:rsidR="0005530D" w:rsidRPr="003166E5" w:rsidRDefault="0005530D" w:rsidP="003166E5">
            <w:pPr>
              <w:jc w:val="both"/>
              <w:rPr>
                <w:rFonts w:eastAsia="Calibri"/>
                <w:lang w:val="en-US"/>
              </w:rPr>
            </w:pPr>
            <w:r w:rsidRPr="003166E5">
              <w:rPr>
                <w:rFonts w:eastAsia="Calibri"/>
                <w:lang w:val="en-US"/>
              </w:rPr>
              <w:t>Students who find themselves unable to meet course requirements by the deadlines or the criteria expected because of medical or personal reasons, should review the regulations on academic consideration in the Academic Calendar and discuss their situation with the instructor, program counselor or other academic counselor as appropriate.</w:t>
            </w:r>
          </w:p>
          <w:p w14:paraId="674F66F1" w14:textId="77777777" w:rsidR="0005530D" w:rsidRPr="003166E5" w:rsidRDefault="0005530D" w:rsidP="003166E5">
            <w:pPr>
              <w:jc w:val="both"/>
              <w:rPr>
                <w:rFonts w:eastAsia="Calibri"/>
                <w:lang w:val="en-US"/>
              </w:rPr>
            </w:pPr>
          </w:p>
          <w:p w14:paraId="6C2D0769" w14:textId="77777777" w:rsidR="0005530D" w:rsidRPr="003166E5" w:rsidRDefault="00FB7F3C" w:rsidP="003166E5">
            <w:pPr>
              <w:jc w:val="both"/>
              <w:rPr>
                <w:rFonts w:eastAsia="Calibri"/>
                <w:lang w:val="en-US"/>
              </w:rPr>
            </w:pPr>
            <w:hyperlink r:id="rId9" w:history="1">
              <w:r w:rsidR="00796895" w:rsidRPr="003166E5">
                <w:rPr>
                  <w:rStyle w:val="Hyperlink"/>
                  <w:rFonts w:eastAsia="Calibri"/>
                  <w:lang w:val="en-US"/>
                </w:rPr>
                <w:t>http://www.uoguelph.ca/registrar/calendars/undergraduate/current/c08/c08-grds.shtml</w:t>
              </w:r>
            </w:hyperlink>
            <w:r w:rsidR="00796895" w:rsidRPr="003166E5">
              <w:rPr>
                <w:rFonts w:eastAsia="Calibri"/>
                <w:lang w:val="en-US"/>
              </w:rPr>
              <w:t xml:space="preserve"> </w:t>
            </w:r>
          </w:p>
          <w:p w14:paraId="16823B83" w14:textId="77777777" w:rsidR="0005530D" w:rsidRPr="003166E5" w:rsidRDefault="0005530D" w:rsidP="003166E5">
            <w:pPr>
              <w:jc w:val="both"/>
              <w:rPr>
                <w:rFonts w:eastAsia="Calibri"/>
                <w:lang w:val="en-US"/>
              </w:rPr>
            </w:pPr>
          </w:p>
          <w:p w14:paraId="1D31C784" w14:textId="77777777" w:rsidR="0005530D" w:rsidRPr="003166E5" w:rsidRDefault="0005530D" w:rsidP="003166E5">
            <w:pPr>
              <w:jc w:val="both"/>
              <w:rPr>
                <w:rFonts w:eastAsia="Calibri"/>
                <w:lang w:val="en-US"/>
              </w:rPr>
            </w:pPr>
            <w:r w:rsidRPr="003166E5">
              <w:rPr>
                <w:rFonts w:eastAsia="Calibri"/>
                <w:lang w:val="en-US"/>
              </w:rPr>
              <w:t>Missed Assignments:</w:t>
            </w:r>
          </w:p>
          <w:p w14:paraId="19BFCBE7" w14:textId="77777777" w:rsidR="0005530D" w:rsidRPr="003166E5" w:rsidRDefault="0005530D" w:rsidP="003166E5">
            <w:pPr>
              <w:jc w:val="both"/>
              <w:rPr>
                <w:rFonts w:eastAsia="Calibri"/>
                <w:lang w:val="en-US"/>
              </w:rPr>
            </w:pPr>
          </w:p>
          <w:p w14:paraId="6DFE1231" w14:textId="77777777" w:rsidR="0005530D" w:rsidRPr="003166E5" w:rsidRDefault="0005530D" w:rsidP="003166E5">
            <w:pPr>
              <w:jc w:val="both"/>
              <w:rPr>
                <w:rFonts w:eastAsia="Calibri"/>
                <w:lang w:val="en-US"/>
              </w:rPr>
            </w:pPr>
            <w:r w:rsidRPr="003166E5">
              <w:rPr>
                <w:rFonts w:eastAsia="Calibri"/>
                <w:lang w:val="en-US"/>
              </w:rPr>
              <w:t>A grade of zero will be assigned if you fail to submit an assignment, unless you are ill or have other compassionate reasons. Please read your Undergraduate Calendar for the regulations regarding illness and compassionate grounds. Please note, vacation travel, moving house, or outside work commitments will not be accepted as valid reasons for missing deadlines.</w:t>
            </w:r>
          </w:p>
          <w:p w14:paraId="470CC142" w14:textId="77777777" w:rsidR="0005530D" w:rsidRPr="003166E5" w:rsidRDefault="0005530D" w:rsidP="003166E5">
            <w:pPr>
              <w:jc w:val="both"/>
              <w:rPr>
                <w:rFonts w:eastAsia="Calibri"/>
                <w:lang w:val="en-US"/>
              </w:rPr>
            </w:pPr>
          </w:p>
          <w:p w14:paraId="4F5EEAB3" w14:textId="1DAC9B58" w:rsidR="0005530D" w:rsidRDefault="0005530D" w:rsidP="003166E5">
            <w:pPr>
              <w:jc w:val="both"/>
              <w:rPr>
                <w:rFonts w:eastAsia="Calibri"/>
                <w:lang w:val="en-US"/>
              </w:rPr>
            </w:pPr>
            <w:r w:rsidRPr="003166E5">
              <w:rPr>
                <w:rFonts w:eastAsia="Calibri"/>
                <w:lang w:val="en-US"/>
              </w:rPr>
              <w:t xml:space="preserve">If you have religious observances which conflict with the course schedule or if you are registered with </w:t>
            </w:r>
            <w:r w:rsidR="00FA68D9">
              <w:rPr>
                <w:rFonts w:eastAsia="Calibri"/>
                <w:lang w:val="en-US"/>
              </w:rPr>
              <w:t>Student Accessibility Services</w:t>
            </w:r>
            <w:r w:rsidRPr="003166E5">
              <w:rPr>
                <w:rFonts w:eastAsia="Calibri"/>
                <w:lang w:val="en-US"/>
              </w:rPr>
              <w:t>, please contact the course instructor in order to make arrangements for your assessment if appropriate.</w:t>
            </w:r>
          </w:p>
          <w:p w14:paraId="01D03811" w14:textId="7CAAD29E" w:rsidR="005D6740" w:rsidRDefault="005D6740" w:rsidP="003166E5">
            <w:pPr>
              <w:jc w:val="both"/>
              <w:rPr>
                <w:rFonts w:eastAsia="Calibri"/>
                <w:lang w:val="en-US"/>
              </w:rPr>
            </w:pPr>
          </w:p>
          <w:p w14:paraId="06A2857B" w14:textId="77777777" w:rsidR="005D6740" w:rsidRPr="005D6740" w:rsidRDefault="005D6740" w:rsidP="005D6740">
            <w:pPr>
              <w:jc w:val="both"/>
              <w:rPr>
                <w:rFonts w:eastAsia="Calibri"/>
                <w:lang w:val="en-US"/>
              </w:rPr>
            </w:pPr>
            <w:r w:rsidRPr="005D6740">
              <w:rPr>
                <w:rFonts w:eastAsia="Calibri"/>
                <w:lang w:val="en-US"/>
              </w:rPr>
              <w:t>Missed online WileyPlus assignments</w:t>
            </w:r>
          </w:p>
          <w:p w14:paraId="405F034A" w14:textId="23E78631" w:rsidR="005D6740" w:rsidRPr="003166E5" w:rsidRDefault="005D6740" w:rsidP="005D6740">
            <w:pPr>
              <w:jc w:val="both"/>
              <w:rPr>
                <w:rFonts w:eastAsia="Calibri"/>
                <w:lang w:val="en-US"/>
              </w:rPr>
            </w:pPr>
            <w:r w:rsidRPr="005D6740">
              <w:rPr>
                <w:rFonts w:eastAsia="Calibri"/>
                <w:lang w:val="en-US"/>
              </w:rPr>
              <w:t>There are no deferred on-line assignments. If you miss a deadline for whatever reason, the assignment will be recorded as zero. There is no re-weighting of marks for assignments.</w:t>
            </w:r>
          </w:p>
          <w:p w14:paraId="075EBA2F" w14:textId="77777777" w:rsidR="00796895" w:rsidRPr="003166E5" w:rsidRDefault="00796895" w:rsidP="003166E5">
            <w:pPr>
              <w:jc w:val="both"/>
              <w:rPr>
                <w:rFonts w:eastAsia="Calibri"/>
                <w:lang w:val="en-US"/>
              </w:rPr>
            </w:pPr>
          </w:p>
          <w:p w14:paraId="581958CA" w14:textId="77777777" w:rsidR="00796895" w:rsidRPr="003166E5" w:rsidRDefault="00796895" w:rsidP="003166E5">
            <w:pPr>
              <w:jc w:val="both"/>
            </w:pPr>
          </w:p>
        </w:tc>
      </w:tr>
      <w:tr w:rsidR="0005530D" w14:paraId="409B6CA9" w14:textId="77777777" w:rsidTr="0041513D">
        <w:tc>
          <w:tcPr>
            <w:tcW w:w="10530" w:type="dxa"/>
            <w:gridSpan w:val="10"/>
            <w:shd w:val="pct12" w:color="auto" w:fill="auto"/>
          </w:tcPr>
          <w:p w14:paraId="6EA1648D" w14:textId="77777777" w:rsidR="0005530D" w:rsidRPr="003166E5" w:rsidRDefault="0005530D" w:rsidP="003166E5">
            <w:pPr>
              <w:spacing w:before="120" w:after="120"/>
              <w:rPr>
                <w:rFonts w:cs="Arial"/>
                <w:sz w:val="28"/>
              </w:rPr>
            </w:pPr>
            <w:r w:rsidRPr="003166E5">
              <w:rPr>
                <w:rStyle w:val="Heading1Char"/>
                <w:rFonts w:eastAsia="Calibri"/>
                <w:szCs w:val="24"/>
              </w:rPr>
              <w:lastRenderedPageBreak/>
              <w:t>University Policies</w:t>
            </w:r>
            <w:r w:rsidRPr="003166E5">
              <w:rPr>
                <w:rFonts w:ascii="Times New Roman" w:eastAsia="Calibri" w:hAnsi="Times New Roman"/>
                <w:b/>
                <w:i/>
                <w:color w:val="FF0000"/>
                <w:sz w:val="28"/>
                <w:lang w:val="en-US"/>
              </w:rPr>
              <w:t xml:space="preserve"> </w:t>
            </w:r>
          </w:p>
        </w:tc>
      </w:tr>
      <w:tr w:rsidR="0005530D" w14:paraId="4C76DAC9" w14:textId="77777777" w:rsidTr="0041513D">
        <w:tc>
          <w:tcPr>
            <w:tcW w:w="10530" w:type="dxa"/>
            <w:gridSpan w:val="10"/>
          </w:tcPr>
          <w:p w14:paraId="25A4578D" w14:textId="77777777" w:rsidR="0005530D" w:rsidRPr="003166E5" w:rsidRDefault="0005530D" w:rsidP="003166E5">
            <w:pPr>
              <w:pStyle w:val="Heading2"/>
              <w:rPr>
                <w:rFonts w:eastAsia="Calibri"/>
                <w:szCs w:val="24"/>
                <w:lang w:val="en-US"/>
              </w:rPr>
            </w:pPr>
            <w:r w:rsidRPr="003166E5">
              <w:rPr>
                <w:rFonts w:eastAsia="Calibri"/>
                <w:szCs w:val="24"/>
                <w:lang w:val="en-US"/>
              </w:rPr>
              <w:t>Academic Consideration</w:t>
            </w:r>
          </w:p>
          <w:p w14:paraId="2CBF92FE" w14:textId="77777777" w:rsidR="003166E5" w:rsidRPr="00FE3636" w:rsidRDefault="0005530D" w:rsidP="003166E5">
            <w:pPr>
              <w:spacing w:before="120" w:after="120"/>
              <w:rPr>
                <w:rFonts w:eastAsia="Calibri" w:cs="Arial"/>
                <w:color w:val="0000FF"/>
                <w:u w:val="single"/>
                <w:lang w:val="en-US"/>
              </w:rPr>
            </w:pPr>
            <w:r w:rsidRPr="003166E5">
              <w:rPr>
                <w:rFonts w:eastAsia="Calibri" w:cs="Arial"/>
                <w:color w:val="000000"/>
                <w:lang w:val="en-US"/>
              </w:rPr>
              <w:t>When you find yourself unable to meet an in-course requirement because of illness or compassionate reasons, please advise the course instructor in writing, with your name, id#, and e-mail contact. See the academic calendar for information on regulations an</w:t>
            </w:r>
            <w:r w:rsidR="003166E5">
              <w:rPr>
                <w:rFonts w:eastAsia="Calibri" w:cs="Arial"/>
                <w:color w:val="000000"/>
                <w:lang w:val="en-US"/>
              </w:rPr>
              <w:t xml:space="preserve">d procedures for Academic </w:t>
            </w:r>
            <w:r w:rsidRPr="003166E5">
              <w:rPr>
                <w:rFonts w:eastAsia="Calibri" w:cs="Arial"/>
                <w:color w:val="000000"/>
                <w:lang w:val="en-US"/>
              </w:rPr>
              <w:t xml:space="preserve">Consideration: </w:t>
            </w:r>
            <w:hyperlink r:id="rId10" w:history="1">
              <w:r w:rsidRPr="003166E5">
                <w:rPr>
                  <w:rFonts w:eastAsia="Calibri" w:cs="Arial"/>
                  <w:color w:val="0000FF"/>
                  <w:u w:val="single"/>
                  <w:lang w:val="en-US"/>
                </w:rPr>
                <w:t>http://www.uoguelph.ca/registrar/calendars/undergraduate/current/c08/c08-ac.shtml</w:t>
              </w:r>
            </w:hyperlink>
          </w:p>
        </w:tc>
      </w:tr>
      <w:tr w:rsidR="0005530D" w14:paraId="37769AD1" w14:textId="77777777" w:rsidTr="0041513D">
        <w:tc>
          <w:tcPr>
            <w:tcW w:w="10530" w:type="dxa"/>
            <w:gridSpan w:val="10"/>
          </w:tcPr>
          <w:p w14:paraId="06B439EC" w14:textId="77777777" w:rsidR="0005530D" w:rsidRPr="003166E5" w:rsidRDefault="0005530D" w:rsidP="003166E5">
            <w:pPr>
              <w:pStyle w:val="Heading2"/>
              <w:rPr>
                <w:rFonts w:eastAsia="Calibri"/>
                <w:szCs w:val="24"/>
                <w:lang w:val="en-US"/>
              </w:rPr>
            </w:pPr>
            <w:r w:rsidRPr="003166E5">
              <w:rPr>
                <w:rFonts w:eastAsia="Calibri"/>
                <w:szCs w:val="24"/>
                <w:lang w:val="en-US"/>
              </w:rPr>
              <w:t>Academic Misconduct</w:t>
            </w:r>
          </w:p>
          <w:p w14:paraId="4B1ED199" w14:textId="77777777" w:rsidR="0005530D" w:rsidRPr="003166E5" w:rsidRDefault="0005530D" w:rsidP="003166E5">
            <w:pPr>
              <w:spacing w:before="120" w:after="120"/>
              <w:jc w:val="both"/>
              <w:rPr>
                <w:rFonts w:eastAsia="Calibri" w:cs="Arial"/>
                <w:color w:val="000000"/>
                <w:lang w:val="en-US"/>
              </w:rPr>
            </w:pPr>
            <w:r w:rsidRPr="003166E5">
              <w:rPr>
                <w:rFonts w:eastAsia="Calibri" w:cs="Arial"/>
                <w:color w:val="000000"/>
                <w:lang w:val="en-US"/>
              </w:rPr>
              <w:t xml:space="preserve">The University of Guelph is committed to upholding the highest standards of academic integrity and it is the responsibility of all members of the University community, faculty, staff, and students  to be aware of what constitutes academic misconduct and to do as much as possible to prevent academic offences from occurring. </w:t>
            </w:r>
          </w:p>
          <w:p w14:paraId="785BC3A1" w14:textId="77777777" w:rsidR="0005530D" w:rsidRPr="003166E5" w:rsidRDefault="0005530D" w:rsidP="003166E5">
            <w:pPr>
              <w:spacing w:before="120" w:after="120"/>
              <w:jc w:val="both"/>
              <w:rPr>
                <w:rFonts w:eastAsia="Calibri" w:cs="Arial"/>
                <w:color w:val="000000"/>
                <w:lang w:val="en-US"/>
              </w:rPr>
            </w:pPr>
            <w:r w:rsidRPr="003166E5">
              <w:rPr>
                <w:rFonts w:eastAsia="Calibri" w:cs="Arial"/>
                <w:color w:val="000000"/>
                <w:lang w:val="en-US"/>
              </w:rPr>
              <w:t xml:space="preserve">University of Guelph students have the responsibility of abiding by the University's policy on academic misconduct regardless of their location of study; faculty, staff and students have the responsibility of supporting an environment that discourages misconduct. Students need to remain aware that instructors have access to and the right to use electronic and other means of detection. Please note: Whether or not a student intended to commit academic misconduct is not relevant for a finding of guilt. Hurried or careless submission of assignments does not excuse students from responsibility for verifying the academic integrity of their work before submitting it. Students who are in any doubt as to whether an action on their part could be construed as an academic offence should consult with a faculty member or faculty advisor. </w:t>
            </w:r>
          </w:p>
          <w:p w14:paraId="736CEAA6" w14:textId="77777777" w:rsidR="0005530D" w:rsidRPr="003166E5" w:rsidRDefault="0005530D" w:rsidP="003166E5">
            <w:pPr>
              <w:spacing w:before="120" w:after="120"/>
              <w:jc w:val="both"/>
              <w:rPr>
                <w:rFonts w:eastAsia="Calibri" w:cs="Arial"/>
                <w:color w:val="000000"/>
                <w:lang w:val="en-US"/>
              </w:rPr>
            </w:pPr>
            <w:r w:rsidRPr="003166E5">
              <w:rPr>
                <w:rFonts w:eastAsia="Calibri" w:cs="Arial"/>
                <w:color w:val="000000"/>
                <w:lang w:val="en-US"/>
              </w:rPr>
              <w:t>The Academic Misconduct Policy is detailed in the Undergraduate Calendar:</w:t>
            </w:r>
          </w:p>
          <w:p w14:paraId="3472E98D" w14:textId="77777777" w:rsidR="0005530D" w:rsidRPr="003166E5" w:rsidRDefault="00FB7F3C" w:rsidP="003166E5">
            <w:pPr>
              <w:spacing w:before="120" w:after="120"/>
              <w:jc w:val="both"/>
            </w:pPr>
            <w:hyperlink r:id="rId11" w:history="1">
              <w:r w:rsidR="00796895" w:rsidRPr="003166E5">
                <w:rPr>
                  <w:rStyle w:val="Hyperlink"/>
                </w:rPr>
                <w:t>https://www.uoguelph.ca/registrar/calendars/undergraduate/current/c08/c08-amisconduct.shtml</w:t>
              </w:r>
            </w:hyperlink>
            <w:r w:rsidR="00796895" w:rsidRPr="003166E5">
              <w:t xml:space="preserve"> </w:t>
            </w:r>
          </w:p>
        </w:tc>
      </w:tr>
      <w:tr w:rsidR="0005530D" w14:paraId="5C9887EE" w14:textId="77777777" w:rsidTr="0041513D">
        <w:tc>
          <w:tcPr>
            <w:tcW w:w="10530" w:type="dxa"/>
            <w:gridSpan w:val="10"/>
          </w:tcPr>
          <w:p w14:paraId="5C1E2089" w14:textId="77777777" w:rsidR="0005530D" w:rsidRPr="003166E5" w:rsidRDefault="0005530D" w:rsidP="003166E5">
            <w:pPr>
              <w:pStyle w:val="Heading2"/>
              <w:rPr>
                <w:rFonts w:eastAsia="Calibri"/>
                <w:szCs w:val="24"/>
                <w:lang w:val="en-US"/>
              </w:rPr>
            </w:pPr>
            <w:r w:rsidRPr="003166E5">
              <w:rPr>
                <w:rFonts w:eastAsia="Calibri"/>
                <w:szCs w:val="24"/>
                <w:lang w:val="en-US"/>
              </w:rPr>
              <w:t>Accessibility</w:t>
            </w:r>
          </w:p>
          <w:p w14:paraId="0AD31518" w14:textId="77777777" w:rsidR="0005530D" w:rsidRPr="003166E5" w:rsidRDefault="0005530D" w:rsidP="003166E5">
            <w:pPr>
              <w:spacing w:before="120" w:after="120"/>
              <w:jc w:val="both"/>
              <w:rPr>
                <w:rFonts w:eastAsia="Calibri" w:cs="Arial"/>
                <w:color w:val="000000"/>
                <w:lang w:val="en-US"/>
              </w:rPr>
            </w:pPr>
            <w:r w:rsidRPr="003166E5">
              <w:rPr>
                <w:rFonts w:eastAsia="Calibri" w:cs="Arial"/>
                <w:color w:val="000000"/>
                <w:lang w:val="en-US"/>
              </w:rPr>
              <w:t xml:space="preserve">The University of Guelph is committed to creating a barrier-free environment. Providing services for students is a shared responsibility among students, faculty and administrators. This relationship is based on respect of individual rights, the dignity of the individual and the University community's shared commitment to an open and supportive learning environment. Students requiring service or accommodation, whether due to an identified, ongoing disability or a short-term disability should contact Student Accessibility Services as soon as possible. </w:t>
            </w:r>
          </w:p>
          <w:p w14:paraId="5EDCEDB8" w14:textId="77777777" w:rsidR="0005530D" w:rsidRPr="003166E5" w:rsidRDefault="0005530D" w:rsidP="003166E5">
            <w:pPr>
              <w:spacing w:before="120" w:after="120"/>
              <w:jc w:val="both"/>
            </w:pPr>
            <w:r w:rsidRPr="003166E5">
              <w:rPr>
                <w:rFonts w:eastAsia="Calibri" w:cs="Arial"/>
                <w:color w:val="000000"/>
                <w:lang w:val="en-US"/>
              </w:rPr>
              <w:t>For more information, contact SAS at 519-824-4120 ext. 56208 or email sas@uoguelph.ca or see the website:</w:t>
            </w:r>
            <w:r w:rsidRPr="003166E5">
              <w:t xml:space="preserve"> </w:t>
            </w:r>
            <w:hyperlink r:id="rId12" w:history="1">
              <w:r w:rsidR="00796895" w:rsidRPr="003166E5">
                <w:rPr>
                  <w:rStyle w:val="Hyperlink"/>
                </w:rPr>
                <w:t>https://wellness.uoguelph.ca/accessibility/</w:t>
              </w:r>
            </w:hyperlink>
            <w:r w:rsidR="00796895" w:rsidRPr="003166E5">
              <w:t xml:space="preserve"> </w:t>
            </w:r>
          </w:p>
        </w:tc>
      </w:tr>
      <w:tr w:rsidR="0005530D" w14:paraId="13C6F61B" w14:textId="77777777" w:rsidTr="0041513D">
        <w:tc>
          <w:tcPr>
            <w:tcW w:w="10530" w:type="dxa"/>
            <w:gridSpan w:val="10"/>
          </w:tcPr>
          <w:p w14:paraId="62A3985D" w14:textId="77777777" w:rsidR="0005530D" w:rsidRPr="003166E5" w:rsidRDefault="0005530D" w:rsidP="003166E5">
            <w:pPr>
              <w:pStyle w:val="Heading2"/>
              <w:rPr>
                <w:rFonts w:eastAsia="Calibri"/>
                <w:szCs w:val="24"/>
                <w:lang w:val="en-US"/>
              </w:rPr>
            </w:pPr>
            <w:r w:rsidRPr="003166E5">
              <w:rPr>
                <w:rFonts w:eastAsia="Calibri"/>
                <w:szCs w:val="24"/>
                <w:lang w:val="en-US"/>
              </w:rPr>
              <w:t>Course Evaluation Information</w:t>
            </w:r>
          </w:p>
          <w:p w14:paraId="39191EFF" w14:textId="77777777" w:rsidR="0005530D" w:rsidRPr="003166E5" w:rsidRDefault="0005530D" w:rsidP="003166E5">
            <w:pPr>
              <w:spacing w:before="120" w:after="120"/>
              <w:rPr>
                <w:rFonts w:cs="Arial"/>
              </w:rPr>
            </w:pPr>
            <w:r w:rsidRPr="003166E5">
              <w:rPr>
                <w:rFonts w:eastAsia="Calibri" w:cs="Arial"/>
                <w:color w:val="000000"/>
                <w:lang w:val="en-US"/>
              </w:rPr>
              <w:t xml:space="preserve">Please refer to the </w:t>
            </w:r>
            <w:hyperlink r:id="rId13" w:history="1">
              <w:r w:rsidRPr="003166E5">
                <w:rPr>
                  <w:rStyle w:val="Hyperlink"/>
                  <w:rFonts w:eastAsia="Calibri" w:cs="Arial"/>
                  <w:lang w:val="en-US"/>
                </w:rPr>
                <w:t>Course and Instructor Evaluation Website</w:t>
              </w:r>
            </w:hyperlink>
          </w:p>
        </w:tc>
      </w:tr>
      <w:tr w:rsidR="00ED40A7" w14:paraId="2D394FC9" w14:textId="77777777" w:rsidTr="0041513D">
        <w:tc>
          <w:tcPr>
            <w:tcW w:w="10530" w:type="dxa"/>
            <w:gridSpan w:val="10"/>
          </w:tcPr>
          <w:p w14:paraId="46546BD6" w14:textId="77777777" w:rsidR="001149A7" w:rsidRDefault="001149A7" w:rsidP="001149A7">
            <w:pPr>
              <w:pStyle w:val="Heading2"/>
              <w:rPr>
                <w:rFonts w:eastAsia="Calibri"/>
                <w:szCs w:val="24"/>
                <w:lang w:val="en-US"/>
              </w:rPr>
            </w:pPr>
            <w:r>
              <w:rPr>
                <w:rFonts w:eastAsia="Calibri"/>
                <w:szCs w:val="24"/>
                <w:lang w:val="en-US"/>
              </w:rPr>
              <w:lastRenderedPageBreak/>
              <w:t xml:space="preserve">Recording of Materials </w:t>
            </w:r>
          </w:p>
          <w:p w14:paraId="2FB9B886" w14:textId="77777777" w:rsidR="001149A7" w:rsidRDefault="001149A7" w:rsidP="001149A7">
            <w:pPr>
              <w:rPr>
                <w:rFonts w:eastAsia="Calibri"/>
                <w:lang w:val="en-US"/>
              </w:rPr>
            </w:pPr>
            <w:r w:rsidRPr="00571A75">
              <w:rPr>
                <w:rFonts w:eastAsia="Calibri"/>
              </w:rPr>
              <w:t>Presentations which are made in relation to course work—including lectures—cannot be recorded or copied without the permission of the presenter, whether the instructor, a classmate or guest lecturer. Material recorded with permission is restricted to use for that course unless further permission is granted.</w:t>
            </w:r>
          </w:p>
          <w:p w14:paraId="02E8C6F9" w14:textId="77777777" w:rsidR="001149A7" w:rsidRPr="003166E5" w:rsidRDefault="001149A7" w:rsidP="001149A7">
            <w:pPr>
              <w:pStyle w:val="Heading2"/>
              <w:rPr>
                <w:rFonts w:eastAsia="Calibri"/>
                <w:szCs w:val="24"/>
                <w:lang w:val="en-US"/>
              </w:rPr>
            </w:pPr>
            <w:r w:rsidRPr="003166E5">
              <w:rPr>
                <w:rFonts w:eastAsia="Calibri"/>
                <w:szCs w:val="24"/>
                <w:lang w:val="en-US"/>
              </w:rPr>
              <w:t>Drop date</w:t>
            </w:r>
          </w:p>
          <w:p w14:paraId="108AD0EA" w14:textId="77777777" w:rsidR="00AE2C95" w:rsidRDefault="00AE2C95" w:rsidP="00AE2C95">
            <w:pPr>
              <w:spacing w:before="120" w:after="120"/>
              <w:jc w:val="both"/>
              <w:rPr>
                <w:rFonts w:ascii="Calibri" w:eastAsia="Calibri" w:hAnsi="Calibri" w:cs="Arial"/>
                <w:color w:val="000000"/>
              </w:rPr>
            </w:pPr>
            <w:r>
              <w:rPr>
                <w:rFonts w:ascii="Calibri" w:eastAsia="Calibri" w:hAnsi="Calibri" w:cs="Arial"/>
                <w:color w:val="000000"/>
              </w:rPr>
              <w:t>The last date to drop one-semester courses, without academic penalty, is Friday, November 29, 2019</w:t>
            </w:r>
            <w:r>
              <w:rPr>
                <w:rFonts w:ascii="Calibri" w:eastAsia="Calibri" w:hAnsi="Calibri" w:cs="Arial"/>
                <w:b/>
                <w:color w:val="000000"/>
              </w:rPr>
              <w:t>.</w:t>
            </w:r>
            <w:r>
              <w:rPr>
                <w:rFonts w:ascii="Calibri" w:eastAsia="Calibri" w:hAnsi="Calibri" w:cs="Arial"/>
                <w:color w:val="000000"/>
              </w:rPr>
              <w:t xml:space="preserve"> For regulations and procedures for Dropping Courses, see the Academic Calendar:</w:t>
            </w:r>
          </w:p>
          <w:p w14:paraId="5951ABD1" w14:textId="387D4B6B" w:rsidR="001149A7" w:rsidRPr="00B815C8" w:rsidRDefault="00FB7F3C" w:rsidP="00AE2C95">
            <w:pPr>
              <w:tabs>
                <w:tab w:val="left" w:pos="-1080"/>
                <w:tab w:val="left" w:pos="-720"/>
                <w:tab w:val="left" w:pos="0"/>
                <w:tab w:val="left" w:pos="360"/>
                <w:tab w:val="left" w:pos="54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2"/>
              </w:rPr>
            </w:pPr>
            <w:hyperlink r:id="rId14" w:history="1">
              <w:r w:rsidR="00AE2C95">
                <w:rPr>
                  <w:rStyle w:val="Hyperlink"/>
                  <w:rFonts w:ascii="Calibri" w:hAnsi="Calibri"/>
                </w:rPr>
                <w:t>https://www.uoguelph.ca/registrar/calendars/undergraduate/current/c08/c08-drop.shtml</w:t>
              </w:r>
            </w:hyperlink>
          </w:p>
        </w:tc>
      </w:tr>
    </w:tbl>
    <w:p w14:paraId="0AB6AA37" w14:textId="77777777" w:rsidR="0005530D" w:rsidRPr="00213DC3" w:rsidRDefault="0005530D" w:rsidP="0005530D"/>
    <w:p w14:paraId="1CACAB71" w14:textId="08577D64" w:rsidR="0005530D" w:rsidRDefault="0005530D" w:rsidP="0005530D">
      <w:pPr>
        <w:rPr>
          <w:lang w:val="en-GB"/>
        </w:rPr>
      </w:pPr>
    </w:p>
    <w:p w14:paraId="1F721609" w14:textId="77777777" w:rsidR="00F2187A" w:rsidRPr="00520EC5" w:rsidRDefault="00F2187A" w:rsidP="0005530D">
      <w:pPr>
        <w:rPr>
          <w:lang w:val="en-GB"/>
        </w:rPr>
      </w:pPr>
    </w:p>
    <w:p w14:paraId="2739CF04" w14:textId="77777777" w:rsidR="00A61CE0" w:rsidRDefault="00FB7F3C"/>
    <w:tbl>
      <w:tblPr>
        <w:tblStyle w:val="TableGrid"/>
        <w:tblW w:w="0" w:type="auto"/>
        <w:tblLook w:val="04A0" w:firstRow="1" w:lastRow="0" w:firstColumn="1" w:lastColumn="0" w:noHBand="0" w:noVBand="1"/>
      </w:tblPr>
      <w:tblGrid>
        <w:gridCol w:w="3865"/>
        <w:gridCol w:w="6925"/>
      </w:tblGrid>
      <w:tr w:rsidR="004A0A00" w14:paraId="28D2ED34" w14:textId="77777777" w:rsidTr="004A0A00">
        <w:tc>
          <w:tcPr>
            <w:tcW w:w="3865" w:type="dxa"/>
            <w:shd w:val="clear" w:color="auto" w:fill="D9D9D9" w:themeFill="background1" w:themeFillShade="D9"/>
            <w:vAlign w:val="bottom"/>
          </w:tcPr>
          <w:p w14:paraId="6FC7926F" w14:textId="77777777" w:rsidR="004A0A00" w:rsidRPr="004A0A00" w:rsidRDefault="004A0A00" w:rsidP="004A0A00">
            <w:pPr>
              <w:jc w:val="center"/>
              <w:rPr>
                <w:b/>
              </w:rPr>
            </w:pPr>
            <w:r w:rsidRPr="004A0A00">
              <w:rPr>
                <w:b/>
              </w:rPr>
              <w:t>Date Submitted to Chair:</w:t>
            </w:r>
          </w:p>
          <w:p w14:paraId="56499F30" w14:textId="77777777" w:rsidR="004A0A00" w:rsidRPr="004A0A00" w:rsidRDefault="004A0A00" w:rsidP="004A0A00">
            <w:pPr>
              <w:jc w:val="center"/>
              <w:rPr>
                <w:b/>
              </w:rPr>
            </w:pPr>
          </w:p>
        </w:tc>
        <w:tc>
          <w:tcPr>
            <w:tcW w:w="6925" w:type="dxa"/>
          </w:tcPr>
          <w:p w14:paraId="616CDFCF" w14:textId="77777777" w:rsidR="004A0A00" w:rsidRDefault="004A0A00"/>
        </w:tc>
      </w:tr>
      <w:tr w:rsidR="004A0A00" w14:paraId="56E78152" w14:textId="77777777" w:rsidTr="004A0A00">
        <w:tc>
          <w:tcPr>
            <w:tcW w:w="3865" w:type="dxa"/>
            <w:shd w:val="clear" w:color="auto" w:fill="D9D9D9" w:themeFill="background1" w:themeFillShade="D9"/>
            <w:vAlign w:val="center"/>
          </w:tcPr>
          <w:p w14:paraId="3EE2B809" w14:textId="77777777" w:rsidR="004A0A00" w:rsidRPr="004A0A00" w:rsidRDefault="004A0A00" w:rsidP="004A0A00">
            <w:pPr>
              <w:jc w:val="center"/>
              <w:rPr>
                <w:b/>
              </w:rPr>
            </w:pPr>
            <w:r w:rsidRPr="004A0A00">
              <w:rPr>
                <w:b/>
              </w:rPr>
              <w:t>Chair Signature (Approval):</w:t>
            </w:r>
          </w:p>
          <w:p w14:paraId="1ABB0A70" w14:textId="77777777" w:rsidR="004A0A00" w:rsidRDefault="004A0A00" w:rsidP="004A0A00">
            <w:pPr>
              <w:rPr>
                <w:b/>
              </w:rPr>
            </w:pPr>
          </w:p>
          <w:p w14:paraId="148C2403" w14:textId="77777777" w:rsidR="004A0A00" w:rsidRPr="004A0A00" w:rsidRDefault="004A0A00" w:rsidP="004A0A00">
            <w:pPr>
              <w:rPr>
                <w:b/>
              </w:rPr>
            </w:pPr>
          </w:p>
        </w:tc>
        <w:tc>
          <w:tcPr>
            <w:tcW w:w="6925" w:type="dxa"/>
          </w:tcPr>
          <w:p w14:paraId="5F4E38D7" w14:textId="614743F5" w:rsidR="004A0A00" w:rsidRDefault="0041513D">
            <w:r>
              <w:t>Sandra Scott</w:t>
            </w:r>
          </w:p>
        </w:tc>
      </w:tr>
      <w:tr w:rsidR="004A0A00" w14:paraId="2A28A665" w14:textId="77777777" w:rsidTr="004A0A00">
        <w:tc>
          <w:tcPr>
            <w:tcW w:w="3865" w:type="dxa"/>
            <w:shd w:val="clear" w:color="auto" w:fill="D9D9D9" w:themeFill="background1" w:themeFillShade="D9"/>
            <w:vAlign w:val="bottom"/>
          </w:tcPr>
          <w:p w14:paraId="0A59123D" w14:textId="77777777" w:rsidR="004A0A00" w:rsidRPr="004A0A00" w:rsidRDefault="004A0A00" w:rsidP="004A0A00">
            <w:pPr>
              <w:jc w:val="center"/>
              <w:rPr>
                <w:b/>
              </w:rPr>
            </w:pPr>
            <w:r w:rsidRPr="004A0A00">
              <w:rPr>
                <w:b/>
              </w:rPr>
              <w:t>Date Approved</w:t>
            </w:r>
            <w:r>
              <w:rPr>
                <w:b/>
              </w:rPr>
              <w:t xml:space="preserve"> by Chair</w:t>
            </w:r>
            <w:r w:rsidRPr="004A0A00">
              <w:rPr>
                <w:b/>
              </w:rPr>
              <w:t>:</w:t>
            </w:r>
          </w:p>
          <w:p w14:paraId="161D73C5" w14:textId="77777777" w:rsidR="004A0A00" w:rsidRPr="004A0A00" w:rsidRDefault="004A0A00" w:rsidP="004A0A00">
            <w:pPr>
              <w:jc w:val="center"/>
              <w:rPr>
                <w:b/>
              </w:rPr>
            </w:pPr>
          </w:p>
        </w:tc>
        <w:tc>
          <w:tcPr>
            <w:tcW w:w="6925" w:type="dxa"/>
          </w:tcPr>
          <w:p w14:paraId="02EF1C98" w14:textId="2405D9CB" w:rsidR="004A0A00" w:rsidRDefault="0041513D">
            <w:r>
              <w:t>27 August 2019</w:t>
            </w:r>
          </w:p>
        </w:tc>
      </w:tr>
    </w:tbl>
    <w:p w14:paraId="74844CDA" w14:textId="77777777" w:rsidR="004A0A00" w:rsidRDefault="004A0A00"/>
    <w:sectPr w:rsidR="004A0A00" w:rsidSect="0005530D">
      <w:footerReference w:type="default" r:id="rId15"/>
      <w:pgSz w:w="12240" w:h="15840"/>
      <w:pgMar w:top="630" w:right="720" w:bottom="27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7543B" w14:textId="77777777" w:rsidR="00FB7F3C" w:rsidRDefault="00FB7F3C">
      <w:r>
        <w:separator/>
      </w:r>
    </w:p>
  </w:endnote>
  <w:endnote w:type="continuationSeparator" w:id="0">
    <w:p w14:paraId="44F48F03" w14:textId="77777777" w:rsidR="00FB7F3C" w:rsidRDefault="00FB7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w:altName w:val="Times New Roman"/>
    <w:panose1 w:val="00000000000000000000"/>
    <w:charset w:val="00"/>
    <w:family w:val="roman"/>
    <w:notTrueType/>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5352"/>
      <w:docPartObj>
        <w:docPartGallery w:val="Page Numbers (Bottom of Page)"/>
        <w:docPartUnique/>
      </w:docPartObj>
    </w:sdtPr>
    <w:sdtEndPr>
      <w:rPr>
        <w:noProof/>
      </w:rPr>
    </w:sdtEndPr>
    <w:sdtContent>
      <w:p w14:paraId="36F7CDAC" w14:textId="2169DFED" w:rsidR="009576D3" w:rsidRDefault="0005530D">
        <w:pPr>
          <w:pStyle w:val="Footer"/>
          <w:jc w:val="right"/>
          <w:rPr>
            <w:noProof/>
          </w:rPr>
        </w:pPr>
        <w:r>
          <w:fldChar w:fldCharType="begin"/>
        </w:r>
        <w:r>
          <w:instrText xml:space="preserve"> PAGE   \* MERGEFORMAT </w:instrText>
        </w:r>
        <w:r>
          <w:fldChar w:fldCharType="separate"/>
        </w:r>
        <w:r w:rsidR="003C4AAC">
          <w:rPr>
            <w:noProof/>
          </w:rPr>
          <w:t>4</w:t>
        </w:r>
        <w:r>
          <w:rPr>
            <w:noProof/>
          </w:rPr>
          <w:fldChar w:fldCharType="end"/>
        </w:r>
      </w:p>
      <w:p w14:paraId="5B9A0C22" w14:textId="77777777" w:rsidR="009576D3" w:rsidRDefault="00FB7F3C">
        <w:pPr>
          <w:pStyle w:val="Footer"/>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6CC88" w14:textId="77777777" w:rsidR="00FB7F3C" w:rsidRDefault="00FB7F3C">
      <w:r>
        <w:separator/>
      </w:r>
    </w:p>
  </w:footnote>
  <w:footnote w:type="continuationSeparator" w:id="0">
    <w:p w14:paraId="5DFBB337" w14:textId="77777777" w:rsidR="00FB7F3C" w:rsidRDefault="00FB7F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1CFD"/>
    <w:multiLevelType w:val="hybridMultilevel"/>
    <w:tmpl w:val="7F8E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B4E13"/>
    <w:multiLevelType w:val="hybridMultilevel"/>
    <w:tmpl w:val="E474B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0304D0"/>
    <w:multiLevelType w:val="hybridMultilevel"/>
    <w:tmpl w:val="D03AE0C2"/>
    <w:lvl w:ilvl="0" w:tplc="FD72862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B1258"/>
    <w:multiLevelType w:val="hybridMultilevel"/>
    <w:tmpl w:val="501A75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1BA0452">
      <w:start w:val="2"/>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F56A4"/>
    <w:multiLevelType w:val="hybridMultilevel"/>
    <w:tmpl w:val="E7EAA74A"/>
    <w:lvl w:ilvl="0" w:tplc="7214DBC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5591C"/>
    <w:multiLevelType w:val="hybridMultilevel"/>
    <w:tmpl w:val="EB141B70"/>
    <w:lvl w:ilvl="0" w:tplc="F4FCF88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0D"/>
    <w:rsid w:val="0005530D"/>
    <w:rsid w:val="001149A7"/>
    <w:rsid w:val="00182343"/>
    <w:rsid w:val="001A6F49"/>
    <w:rsid w:val="001D61FB"/>
    <w:rsid w:val="00263154"/>
    <w:rsid w:val="00282418"/>
    <w:rsid w:val="002E3148"/>
    <w:rsid w:val="003166E5"/>
    <w:rsid w:val="0033245E"/>
    <w:rsid w:val="0035598B"/>
    <w:rsid w:val="00365731"/>
    <w:rsid w:val="00394EF0"/>
    <w:rsid w:val="003C4AAC"/>
    <w:rsid w:val="003D5855"/>
    <w:rsid w:val="003F0CAE"/>
    <w:rsid w:val="0041513D"/>
    <w:rsid w:val="00452BBE"/>
    <w:rsid w:val="004651E4"/>
    <w:rsid w:val="004671CA"/>
    <w:rsid w:val="004A0A00"/>
    <w:rsid w:val="004A2B17"/>
    <w:rsid w:val="004F7881"/>
    <w:rsid w:val="005171B7"/>
    <w:rsid w:val="00573554"/>
    <w:rsid w:val="005A1D6E"/>
    <w:rsid w:val="005A6EF8"/>
    <w:rsid w:val="005D6740"/>
    <w:rsid w:val="005E1586"/>
    <w:rsid w:val="006405D0"/>
    <w:rsid w:val="006B13B4"/>
    <w:rsid w:val="006C11FA"/>
    <w:rsid w:val="006F3EF5"/>
    <w:rsid w:val="007952D2"/>
    <w:rsid w:val="00796895"/>
    <w:rsid w:val="007A1378"/>
    <w:rsid w:val="007E395F"/>
    <w:rsid w:val="00805DDE"/>
    <w:rsid w:val="00874FC3"/>
    <w:rsid w:val="00881042"/>
    <w:rsid w:val="008B2E3B"/>
    <w:rsid w:val="00940F72"/>
    <w:rsid w:val="009E5BD9"/>
    <w:rsid w:val="009F43E5"/>
    <w:rsid w:val="00A268F5"/>
    <w:rsid w:val="00A553C4"/>
    <w:rsid w:val="00A60ECA"/>
    <w:rsid w:val="00AE2C95"/>
    <w:rsid w:val="00B04F3D"/>
    <w:rsid w:val="00B14D48"/>
    <w:rsid w:val="00B37FA4"/>
    <w:rsid w:val="00B57C92"/>
    <w:rsid w:val="00B95B21"/>
    <w:rsid w:val="00C113CA"/>
    <w:rsid w:val="00C4485A"/>
    <w:rsid w:val="00C60660"/>
    <w:rsid w:val="00C76E77"/>
    <w:rsid w:val="00CC2F0F"/>
    <w:rsid w:val="00CC4D5D"/>
    <w:rsid w:val="00D76470"/>
    <w:rsid w:val="00D76799"/>
    <w:rsid w:val="00DB11B1"/>
    <w:rsid w:val="00E03311"/>
    <w:rsid w:val="00E1719B"/>
    <w:rsid w:val="00EB6B85"/>
    <w:rsid w:val="00ED40A7"/>
    <w:rsid w:val="00EF236B"/>
    <w:rsid w:val="00F2187A"/>
    <w:rsid w:val="00F34B2F"/>
    <w:rsid w:val="00F51614"/>
    <w:rsid w:val="00F66150"/>
    <w:rsid w:val="00F9574B"/>
    <w:rsid w:val="00FA68D9"/>
    <w:rsid w:val="00FB7F3C"/>
    <w:rsid w:val="00FC6D4F"/>
    <w:rsid w:val="00FE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36BA"/>
  <w15:chartTrackingRefBased/>
  <w15:docId w15:val="{D3C9EC8C-1C4A-4BB9-9253-32402FEF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30D"/>
    <w:pPr>
      <w:spacing w:after="0" w:line="240" w:lineRule="auto"/>
    </w:pPr>
    <w:rPr>
      <w:rFonts w:eastAsia="Times New Roman" w:cs="Times New Roman"/>
      <w:sz w:val="24"/>
      <w:szCs w:val="24"/>
      <w:lang w:val="en-CA"/>
    </w:rPr>
  </w:style>
  <w:style w:type="paragraph" w:styleId="Heading1">
    <w:name w:val="heading 1"/>
    <w:basedOn w:val="Normal"/>
    <w:next w:val="Normal"/>
    <w:link w:val="Heading1Char"/>
    <w:qFormat/>
    <w:rsid w:val="0005530D"/>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0"/>
    </w:pPr>
    <w:rPr>
      <w:rFonts w:asciiTheme="majorHAnsi" w:hAnsiTheme="majorHAnsi"/>
      <w:bCs/>
      <w:sz w:val="28"/>
      <w:szCs w:val="20"/>
      <w:lang w:val="en-GB"/>
    </w:rPr>
  </w:style>
  <w:style w:type="paragraph" w:styleId="Heading2">
    <w:name w:val="heading 2"/>
    <w:basedOn w:val="Normal"/>
    <w:next w:val="Normal"/>
    <w:link w:val="Heading2Char"/>
    <w:unhideWhenUsed/>
    <w:qFormat/>
    <w:rsid w:val="0005530D"/>
    <w:pPr>
      <w:keepNext/>
      <w:spacing w:before="240" w:after="60"/>
      <w:outlineLvl w:val="1"/>
    </w:pPr>
    <w:rPr>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530D"/>
    <w:rPr>
      <w:rFonts w:asciiTheme="majorHAnsi" w:eastAsia="Times New Roman" w:hAnsiTheme="majorHAnsi" w:cs="Times New Roman"/>
      <w:bCs/>
      <w:sz w:val="28"/>
      <w:szCs w:val="20"/>
      <w:lang w:val="en-GB"/>
    </w:rPr>
  </w:style>
  <w:style w:type="character" w:customStyle="1" w:styleId="Heading2Char">
    <w:name w:val="Heading 2 Char"/>
    <w:basedOn w:val="DefaultParagraphFont"/>
    <w:link w:val="Heading2"/>
    <w:rsid w:val="0005530D"/>
    <w:rPr>
      <w:rFonts w:eastAsia="Times New Roman" w:cs="Times New Roman"/>
      <w:b/>
      <w:bCs/>
      <w:iCs/>
      <w:sz w:val="24"/>
      <w:szCs w:val="28"/>
      <w:lang w:val="en-CA"/>
    </w:rPr>
  </w:style>
  <w:style w:type="character" w:styleId="Hyperlink">
    <w:name w:val="Hyperlink"/>
    <w:rsid w:val="0005530D"/>
    <w:rPr>
      <w:color w:val="0000FF"/>
      <w:u w:val="single"/>
    </w:rPr>
  </w:style>
  <w:style w:type="paragraph" w:styleId="Title">
    <w:name w:val="Title"/>
    <w:basedOn w:val="Normal"/>
    <w:link w:val="TitleChar"/>
    <w:qFormat/>
    <w:rsid w:val="0005530D"/>
    <w:pPr>
      <w:tabs>
        <w:tab w:val="left" w:pos="0"/>
        <w:tab w:val="left" w:pos="5760"/>
        <w:tab w:val="left" w:pos="6480"/>
        <w:tab w:val="left" w:pos="7200"/>
        <w:tab w:val="left" w:pos="7920"/>
        <w:tab w:val="left" w:pos="8640"/>
        <w:tab w:val="left" w:pos="9360"/>
        <w:tab w:val="left" w:pos="10080"/>
      </w:tabs>
    </w:pPr>
    <w:rPr>
      <w:rFonts w:asciiTheme="majorHAnsi" w:hAnsiTheme="majorHAnsi" w:cs="Arial"/>
      <w:b/>
      <w:bCs/>
      <w:sz w:val="28"/>
      <w:szCs w:val="20"/>
      <w:lang w:val="en-GB"/>
    </w:rPr>
  </w:style>
  <w:style w:type="character" w:customStyle="1" w:styleId="TitleChar">
    <w:name w:val="Title Char"/>
    <w:basedOn w:val="DefaultParagraphFont"/>
    <w:link w:val="Title"/>
    <w:rsid w:val="0005530D"/>
    <w:rPr>
      <w:rFonts w:asciiTheme="majorHAnsi" w:eastAsia="Times New Roman" w:hAnsiTheme="majorHAnsi" w:cs="Arial"/>
      <w:b/>
      <w:bCs/>
      <w:sz w:val="28"/>
      <w:szCs w:val="20"/>
      <w:lang w:val="en-GB"/>
    </w:rPr>
  </w:style>
  <w:style w:type="paragraph" w:styleId="ListParagraph">
    <w:name w:val="List Paragraph"/>
    <w:basedOn w:val="Normal"/>
    <w:uiPriority w:val="34"/>
    <w:qFormat/>
    <w:rsid w:val="0005530D"/>
    <w:pPr>
      <w:ind w:left="720"/>
    </w:pPr>
  </w:style>
  <w:style w:type="paragraph" w:styleId="Footer">
    <w:name w:val="footer"/>
    <w:basedOn w:val="Normal"/>
    <w:link w:val="FooterChar"/>
    <w:unhideWhenUsed/>
    <w:rsid w:val="0005530D"/>
    <w:pPr>
      <w:tabs>
        <w:tab w:val="center" w:pos="4680"/>
        <w:tab w:val="right" w:pos="9360"/>
      </w:tabs>
    </w:pPr>
  </w:style>
  <w:style w:type="character" w:customStyle="1" w:styleId="FooterChar">
    <w:name w:val="Footer Char"/>
    <w:basedOn w:val="DefaultParagraphFont"/>
    <w:link w:val="Footer"/>
    <w:rsid w:val="0005530D"/>
    <w:rPr>
      <w:rFonts w:eastAsia="Times New Roman" w:cs="Times New Roman"/>
      <w:sz w:val="24"/>
      <w:szCs w:val="24"/>
      <w:lang w:val="en-CA"/>
    </w:rPr>
  </w:style>
  <w:style w:type="paragraph" w:styleId="Header">
    <w:name w:val="header"/>
    <w:basedOn w:val="Normal"/>
    <w:link w:val="HeaderChar"/>
    <w:uiPriority w:val="99"/>
    <w:unhideWhenUsed/>
    <w:rsid w:val="00796895"/>
    <w:pPr>
      <w:tabs>
        <w:tab w:val="center" w:pos="4680"/>
        <w:tab w:val="right" w:pos="9360"/>
      </w:tabs>
    </w:pPr>
  </w:style>
  <w:style w:type="character" w:customStyle="1" w:styleId="HeaderChar">
    <w:name w:val="Header Char"/>
    <w:basedOn w:val="DefaultParagraphFont"/>
    <w:link w:val="Header"/>
    <w:uiPriority w:val="99"/>
    <w:rsid w:val="00796895"/>
    <w:rPr>
      <w:rFonts w:eastAsia="Times New Roman" w:cs="Times New Roman"/>
      <w:sz w:val="24"/>
      <w:szCs w:val="24"/>
      <w:lang w:val="en-CA"/>
    </w:rPr>
  </w:style>
  <w:style w:type="character" w:styleId="FollowedHyperlink">
    <w:name w:val="FollowedHyperlink"/>
    <w:basedOn w:val="DefaultParagraphFont"/>
    <w:uiPriority w:val="99"/>
    <w:semiHidden/>
    <w:unhideWhenUsed/>
    <w:rsid w:val="00796895"/>
    <w:rPr>
      <w:color w:val="954F72" w:themeColor="followedHyperlink"/>
      <w:u w:val="single"/>
    </w:rPr>
  </w:style>
  <w:style w:type="table" w:styleId="TableGrid">
    <w:name w:val="Table Grid"/>
    <w:basedOn w:val="TableNormal"/>
    <w:uiPriority w:val="39"/>
    <w:rsid w:val="004A0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418"/>
    <w:rPr>
      <w:sz w:val="16"/>
      <w:szCs w:val="16"/>
    </w:rPr>
  </w:style>
  <w:style w:type="paragraph" w:styleId="CommentText">
    <w:name w:val="annotation text"/>
    <w:basedOn w:val="Normal"/>
    <w:link w:val="CommentTextChar"/>
    <w:uiPriority w:val="99"/>
    <w:semiHidden/>
    <w:unhideWhenUsed/>
    <w:rsid w:val="00282418"/>
    <w:rPr>
      <w:sz w:val="20"/>
      <w:szCs w:val="20"/>
    </w:rPr>
  </w:style>
  <w:style w:type="character" w:customStyle="1" w:styleId="CommentTextChar">
    <w:name w:val="Comment Text Char"/>
    <w:basedOn w:val="DefaultParagraphFont"/>
    <w:link w:val="CommentText"/>
    <w:uiPriority w:val="99"/>
    <w:semiHidden/>
    <w:rsid w:val="00282418"/>
    <w:rPr>
      <w:rFonts w:eastAsia="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282418"/>
    <w:rPr>
      <w:b/>
      <w:bCs/>
    </w:rPr>
  </w:style>
  <w:style w:type="character" w:customStyle="1" w:styleId="CommentSubjectChar">
    <w:name w:val="Comment Subject Char"/>
    <w:basedOn w:val="CommentTextChar"/>
    <w:link w:val="CommentSubject"/>
    <w:uiPriority w:val="99"/>
    <w:semiHidden/>
    <w:rsid w:val="00282418"/>
    <w:rPr>
      <w:rFonts w:eastAsia="Times New Roman" w:cs="Times New Roman"/>
      <w:b/>
      <w:bCs/>
      <w:sz w:val="20"/>
      <w:szCs w:val="20"/>
      <w:lang w:val="en-CA"/>
    </w:rPr>
  </w:style>
  <w:style w:type="paragraph" w:styleId="BalloonText">
    <w:name w:val="Balloon Text"/>
    <w:basedOn w:val="Normal"/>
    <w:link w:val="BalloonTextChar"/>
    <w:uiPriority w:val="99"/>
    <w:semiHidden/>
    <w:unhideWhenUsed/>
    <w:rsid w:val="002824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418"/>
    <w:rPr>
      <w:rFonts w:ascii="Segoe UI" w:eastAsia="Times New Roman" w:hAnsi="Segoe UI" w:cs="Segoe UI"/>
      <w:sz w:val="18"/>
      <w:szCs w:val="18"/>
      <w:lang w:val="en-CA"/>
    </w:rPr>
  </w:style>
  <w:style w:type="paragraph" w:styleId="BodyText">
    <w:name w:val="Body Text"/>
    <w:basedOn w:val="Normal"/>
    <w:link w:val="BodyTextChar"/>
    <w:rsid w:val="00ED40A7"/>
    <w:pPr>
      <w:widowControl w:val="0"/>
      <w:suppressAutoHyphens/>
      <w:spacing w:after="120"/>
    </w:pPr>
    <w:rPr>
      <w:rFonts w:ascii="Times New Roman" w:hAnsi="Times New Roman"/>
      <w:sz w:val="20"/>
      <w:szCs w:val="20"/>
      <w:lang w:val="en-US"/>
    </w:rPr>
  </w:style>
  <w:style w:type="character" w:customStyle="1" w:styleId="BodyTextChar">
    <w:name w:val="Body Text Char"/>
    <w:basedOn w:val="DefaultParagraphFont"/>
    <w:link w:val="BodyText"/>
    <w:rsid w:val="00ED40A7"/>
    <w:rPr>
      <w:rFonts w:ascii="Times New Roman" w:eastAsia="Times New Roman" w:hAnsi="Times New Roman" w:cs="Times New Roman"/>
      <w:sz w:val="20"/>
      <w:szCs w:val="20"/>
    </w:rPr>
  </w:style>
  <w:style w:type="paragraph" w:customStyle="1" w:styleId="Default">
    <w:name w:val="Default"/>
    <w:uiPriority w:val="99"/>
    <w:rsid w:val="004F788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52142">
      <w:bodyDiv w:val="1"/>
      <w:marLeft w:val="0"/>
      <w:marRight w:val="0"/>
      <w:marTop w:val="0"/>
      <w:marBottom w:val="0"/>
      <w:divBdr>
        <w:top w:val="none" w:sz="0" w:space="0" w:color="auto"/>
        <w:left w:val="none" w:sz="0" w:space="0" w:color="auto"/>
        <w:bottom w:val="none" w:sz="0" w:space="0" w:color="auto"/>
        <w:right w:val="none" w:sz="0" w:space="0" w:color="auto"/>
      </w:divBdr>
    </w:div>
    <w:div w:id="483670150">
      <w:bodyDiv w:val="1"/>
      <w:marLeft w:val="0"/>
      <w:marRight w:val="0"/>
      <w:marTop w:val="0"/>
      <w:marBottom w:val="0"/>
      <w:divBdr>
        <w:top w:val="none" w:sz="0" w:space="0" w:color="auto"/>
        <w:left w:val="none" w:sz="0" w:space="0" w:color="auto"/>
        <w:bottom w:val="none" w:sz="0" w:space="0" w:color="auto"/>
        <w:right w:val="none" w:sz="0" w:space="0" w:color="auto"/>
      </w:divBdr>
    </w:div>
    <w:div w:id="77027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oguelph.ca/ccs/learning-resources/instructional-research/course-evalu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llness.uoguelph.ca/accessibi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oguelph.ca/registrar/calendars/undergraduate/current/c08/c08-amisconduct.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oguelph.ca/registrar/calendars/undergraduate/current/c08/c08-ac.shtml" TargetMode="External"/><Relationship Id="rId4" Type="http://schemas.openxmlformats.org/officeDocument/2006/relationships/settings" Target="settings.xml"/><Relationship Id="rId9" Type="http://schemas.openxmlformats.org/officeDocument/2006/relationships/hyperlink" Target="http://www.uoguelph.ca/registrar/calendars/undergraduate/current/c08/c08-grds.shtml" TargetMode="External"/><Relationship Id="rId14" Type="http://schemas.openxmlformats.org/officeDocument/2006/relationships/hyperlink" Target="https://www.uoguelph.ca/registrar/calendars/undergraduate/current/c08/c08-d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94DA-A540-490E-8169-66DA6486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Zavitz</dc:creator>
  <cp:keywords/>
  <dc:description/>
  <cp:lastModifiedBy>Allan Foerster</cp:lastModifiedBy>
  <cp:revision>2</cp:revision>
  <cp:lastPrinted>2019-08-19T13:04:00Z</cp:lastPrinted>
  <dcterms:created xsi:type="dcterms:W3CDTF">2019-10-01T13:40:00Z</dcterms:created>
  <dcterms:modified xsi:type="dcterms:W3CDTF">2019-10-01T13:40:00Z</dcterms:modified>
</cp:coreProperties>
</file>