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2041"/>
        <w:gridCol w:w="12756"/>
      </w:tblGrid>
      <w:tr>
        <w:tc>
          <w:tcPr>
            <w:tcW w:type="dxa" w:w="2041"/>
            <w:vAlign w:val="center"/>
            <w:shd w:val="clear" w:color="auto" w:fill="1B3358"/>
            <w:tcMar>
              <w:top w:w="500" w:type="dxa"/>
              <w:bottom w:w="500" w:type="dxa"/>
              <w:left w:w="400" w:type="dxa"/>
              <w:right w:w="100" w:type="dxa"/>
            </w:tcMar>
          </w:tcPr>
          <w:p>
            <w:r>
              <w:drawing>
                <wp:inline xmlns:a="http://schemas.openxmlformats.org/drawingml/2006/main" xmlns:pic="http://schemas.openxmlformats.org/drawingml/2006/picture">
                  <wp:extent cx="936000" cy="93600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936000" cy="936000"/>
                          </a:xfrm>
                          <a:prstGeom prst="rect"/>
                        </pic:spPr>
                      </pic:pic>
                    </a:graphicData>
                  </a:graphic>
                </wp:inline>
              </w:drawing>
            </w:r>
          </w:p>
        </w:tc>
        <w:tc>
          <w:tcPr>
            <w:tcW w:type="dxa" w:w="12756"/>
            <w:vAlign w:val="center"/>
            <w:shd w:val="clear" w:color="auto" w:fill="1B3358"/>
            <w:tcMar>
              <w:top w:w="500" w:type="dxa"/>
              <w:bottom w:w="500" w:type="dxa"/>
              <w:left w:w="200" w:type="dxa"/>
              <w:right w:w="400" w:type="dxa"/>
            </w:tcMar>
          </w:tcPr>
          <w:p>
            <w:pPr>
              <w:spacing w:after="0" w:line="240" w:lineRule="auto"/>
            </w:pPr>
            <w:r>
              <w:rPr>
                <w:rFonts w:ascii="Public Sans SemiBold" w:hAnsi="Public Sans SemiBold"/>
                <w:b w:val="0"/>
                <w:i w:val="0"/>
                <w:color w:val="E9D8B0"/>
                <w:sz w:val="22"/>
              </w:rPr>
              <w:t>CREDAURA  ·  DOSSIER DE FINANCEMENT IMMOBILIER</w:t>
            </w:r>
          </w:p>
          <w:p>
            <w:pPr>
              <w:spacing w:before="80" w:after="0" w:line="240" w:lineRule="auto"/>
            </w:pPr>
            <w:r>
              <w:rPr>
                <w:rFonts w:ascii="Sora SemiBold" w:hAnsi="Sora SemiBold"/>
                <w:b w:val="0"/>
                <w:i w:val="0"/>
                <w:color w:val="FFFFFF"/>
                <w:sz w:val="56"/>
              </w:rPr>
              <w:t>12 Rue Michelet 42000 Saint-Étienne</w:t>
            </w:r>
          </w:p>
          <w:p>
            <w:pPr>
              <w:spacing w:before="80" w:after="0" w:line="240" w:lineRule="auto"/>
            </w:pPr>
            <w:r>
              <w:rPr>
                <w:rFonts w:ascii="Public Sans" w:hAnsi="Public Sans"/>
                <w:b w:val="0"/>
                <w:i w:val="0"/>
                <w:color w:val="FFFFFF"/>
                <w:sz w:val="24"/>
              </w:rPr>
              <w:t>Location longue durée  ·  Personne physique</w:t>
            </w:r>
          </w:p>
        </w:tc>
      </w:tr>
    </w:tbl>
    <w:p>
      <w:pPr>
        <w:spacing w:before="0" w:after="0" w:line="44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3699"/>
        <w:gridCol w:w="3699"/>
        <w:gridCol w:w="3699"/>
        <w:gridCol w:w="3699"/>
      </w:tblGrid>
      <w:tr>
        <w:tc>
          <w:tcPr>
            <w:tcW w:type="dxa" w:w="3699"/>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PRIX D'ACHAT</w:t>
            </w:r>
          </w:p>
          <w:p>
            <w:pPr>
              <w:spacing w:before="40" w:after="0" w:line="240" w:lineRule="auto"/>
            </w:pPr>
            <w:r>
              <w:rPr>
                <w:rFonts w:ascii="Sora SemiBold" w:hAnsi="Sora SemiBold"/>
                <w:b w:val="0"/>
                <w:i w:val="0"/>
                <w:color w:val="1B3358"/>
                <w:sz w:val="44"/>
              </w:rPr>
              <w:t>76 000 €</w:t>
            </w:r>
          </w:p>
        </w:tc>
        <w:tc>
          <w:tcPr>
            <w:tcW w:type="dxa" w:w="3699"/>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LOYER MENSUEL</w:t>
            </w:r>
          </w:p>
          <w:p>
            <w:pPr>
              <w:spacing w:before="40" w:after="0" w:line="240" w:lineRule="auto"/>
            </w:pPr>
            <w:r>
              <w:rPr>
                <w:rFonts w:ascii="Sora SemiBold" w:hAnsi="Sora SemiBold"/>
                <w:b w:val="0"/>
                <w:i w:val="0"/>
                <w:color w:val="1B3358"/>
                <w:sz w:val="44"/>
              </w:rPr>
              <w:t>710 €</w:t>
            </w:r>
          </w:p>
        </w:tc>
        <w:tc>
          <w:tcPr>
            <w:tcW w:type="dxa" w:w="3699"/>
            <w:vAlign w:val="center"/>
            <w:shd w:val="clear" w:color="auto" w:fill="EEF2F7"/>
            <w:tcBorders>
              <w:top w:val="nil"/>
              <w:left w:val="single" w:sz="24" w:color="2D6A4F"/>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CASH-FLOW NET MENSUEL</w:t>
            </w:r>
          </w:p>
          <w:p>
            <w:pPr>
              <w:spacing w:before="40" w:after="0" w:line="240" w:lineRule="auto"/>
            </w:pPr>
            <w:r>
              <w:rPr>
                <w:rFonts w:ascii="Sora SemiBold" w:hAnsi="Sora SemiBold"/>
                <w:b w:val="0"/>
                <w:i w:val="0"/>
                <w:color w:val="2D6A4F"/>
                <w:sz w:val="44"/>
              </w:rPr>
              <w:t>46 €</w:t>
            </w:r>
          </w:p>
        </w:tc>
        <w:tc>
          <w:tcPr>
            <w:tcW w:type="dxa" w:w="3699"/>
            <w:vAlign w:val="center"/>
            <w:shd w:val="clear" w:color="auto" w:fill="EEF2F7"/>
            <w:tcBorders>
              <w:top w:val="nil"/>
              <w:left w:val="single" w:sz="24" w:color="1B3358"/>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RENDEMENT BRUT</w:t>
            </w:r>
          </w:p>
          <w:p>
            <w:pPr>
              <w:spacing w:before="40" w:after="0" w:line="240" w:lineRule="auto"/>
            </w:pPr>
            <w:r>
              <w:rPr>
                <w:rFonts w:ascii="Sora SemiBold" w:hAnsi="Sora SemiBold"/>
                <w:b w:val="0"/>
                <w:i w:val="0"/>
                <w:color w:val="1B3358"/>
                <w:sz w:val="44"/>
              </w:rPr>
              <w:t>8,1 %</w:t>
            </w:r>
          </w:p>
        </w:tc>
      </w:tr>
    </w:tbl>
    <w:p>
      <w:pPr>
        <w:spacing w:before="0" w:after="0" w:line="200" w:lineRule="exact"/>
      </w:pPr>
    </w:p>
    <w:p>
      <w:pPr>
        <w:spacing w:before="0" w:after="0" w:line="200" w:lineRule="exact"/>
      </w:pPr>
    </w:p>
    <w:p>
      <w:pPr>
        <w:spacing w:after="0" w:line="240" w:lineRule="auto"/>
        <w:jc w:val="center"/>
      </w:pPr>
      <w:r>
        <w:rPr>
          <w:rFonts w:ascii="Public Sans" w:hAnsi="Public Sans"/>
          <w:b w:val="0"/>
          <w:i w:val="0"/>
          <w:color w:val="5B6672"/>
          <w:sz w:val="22"/>
        </w:rPr>
        <w:t>Emprunteur : Camille Exemple (emprunteur fictif)   ·   Document établi le 05/10/2026</w:t>
      </w:r>
    </w:p>
    <w:p>
      <w:pPr>
        <w:spacing w:after="0" w:line="240" w:lineRule="auto"/>
        <w:jc w:val="center"/>
      </w:pPr>
      <w:r>
        <w:rPr>
          <w:rFonts w:ascii="Public Sans" w:hAnsi="Public Sans"/>
          <w:b w:val="0"/>
          <w:i/>
          <w:color w:val="969EA8"/>
          <w:sz w:val="18"/>
        </w:rPr>
        <w:t>Document établi avec Credaura — estimation pédagogique, à faire valider par un professionnel avant toute décision.</w:t>
      </w:r>
    </w:p>
    <w:p>
      <w:pPr>
        <w:sectPr>
          <w:headerReference w:type="default" r:id="rId9"/>
          <w:footerReference w:type="default" r:id="rId10"/>
          <w:pgSz w:w="16838" w:h="11906" w:orient="landscape"/>
          <w:pgMar w:top="1020" w:right="1020" w:bottom="1020" w:left="1020" w:header="720" w:footer="340" w:gutter="0"/>
          <w:cols w:space="720"/>
          <w:titlePg/>
          <w:docGrid w:linePitch="360"/>
          <w:vAlign w:val="center"/>
        </w:sectPr>
      </w:pPr>
    </w:p>
    <w:p>
      <w:pPr>
        <w:spacing w:after="80" w:line="240" w:lineRule="auto"/>
        <w:pBdr>
          <w:bottom w:val="single" w:sz="12" w:space="4" w:color="1B3358"/>
        </w:pBdr>
      </w:pPr>
      <w:r>
        <w:rPr>
          <w:rFonts w:ascii="Sora SemiBold" w:hAnsi="Sora SemiBold"/>
          <w:b w:val="0"/>
          <w:i w:val="0"/>
          <w:color w:val="1F2833"/>
          <w:sz w:val="48"/>
        </w:rPr>
        <w:t>Sommaire</w:t>
      </w:r>
    </w:p>
    <w:p>
      <w:pPr>
        <w:spacing w:before="0" w:after="0" w:line="480" w:lineRule="exact"/>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6973"/>
        <w:gridCol w:w="850"/>
        <w:gridCol w:w="6973"/>
      </w:tblGrid>
      <w:tr>
        <w:tc>
          <w:tcPr>
            <w:tcW w:type="dxa" w:w="6973"/>
            <w:vAlign w:val="top"/>
            <w:tcMar>
              <w:top w:w="0" w:type="dxa"/>
              <w:bottom w:w="0" w:type="dxa"/>
              <w:left w:w="0" w:type="dxa"/>
              <w:right w:w="0" w:type="dxa"/>
            </w:tcMar>
          </w:tcPr>
          <w:p>
            <w:pPr>
              <w:spacing w:after="120" w:line="240" w:lineRule="auto" w:before="0"/>
            </w:pPr>
            <w:r>
              <w:rPr>
                <w:rFonts w:ascii="Public Sans SemiBold" w:hAnsi="Public Sans SemiBold"/>
                <w:b w:val="0"/>
                <w:i w:val="0"/>
                <w:color w:val="A8823B"/>
                <w:sz w:val="19"/>
              </w:rPr>
              <w:t>LE BIEN</w:t>
            </w:r>
          </w:p>
          <w:p>
            <w:pPr>
              <w:tabs>
                <w:tab w:pos="680" w:val="left"/>
                <w:tab w:pos="6917" w:val="right" w:leader="dot"/>
              </w:tabs>
              <w:spacing w:after="180" w:line="240" w:lineRule="auto"/>
            </w:pPr>
            <w:hyperlink w:anchor="chapitre_01" w:history="1">
              <w:r>
                <w:rPr>
                  <w:rFonts w:ascii="Public Sans SemiBold" w:hAnsi="Public Sans SemiBold"/>
                  <w:b w:val="0"/>
                  <w:i w:val="0"/>
                  <w:color w:val="1B3358"/>
                  <w:sz w:val="26"/>
                </w:rPr>
                <w:t>01</w:t>
              </w:r>
              <w:r>
                <w:rPr>
                  <w:rFonts w:ascii="Public Sans" w:hAnsi="Public Sans"/>
                  <w:b w:val="0"/>
                  <w:i w:val="0"/>
                  <w:color w:val="1F2833"/>
                  <w:sz w:val="26"/>
                </w:rPr>
                <w:tab/>
                <w:t>Le bien sur la carte</w:t>
              </w:r>
              <w:r>
                <w:rPr>
                  <w:rFonts w:ascii="Public Sans" w:hAnsi="Public Sans"/>
                  <w:b w:val="0"/>
                  <w:i w:val="0"/>
                  <w:color w:val="5B6672"/>
                  <w:sz w:val="26"/>
                </w:rPr>
                <w:tab/>
                <w:t>3</w:t>
              </w:r>
            </w:hyperlink>
          </w:p>
          <w:p>
            <w:pPr>
              <w:tabs>
                <w:tab w:pos="680" w:val="left"/>
                <w:tab w:pos="6917" w:val="right" w:leader="dot"/>
              </w:tabs>
              <w:spacing w:after="180" w:line="240" w:lineRule="auto"/>
            </w:pPr>
            <w:hyperlink w:anchor="chapitre_02" w:history="1">
              <w:r>
                <w:rPr>
                  <w:rFonts w:ascii="Public Sans SemiBold" w:hAnsi="Public Sans SemiBold"/>
                  <w:b w:val="0"/>
                  <w:i w:val="0"/>
                  <w:color w:val="1B3358"/>
                  <w:sz w:val="26"/>
                </w:rPr>
                <w:t>02</w:t>
              </w:r>
              <w:r>
                <w:rPr>
                  <w:rFonts w:ascii="Public Sans" w:hAnsi="Public Sans"/>
                  <w:b w:val="0"/>
                  <w:i w:val="0"/>
                  <w:color w:val="1F2833"/>
                  <w:sz w:val="26"/>
                </w:rPr>
                <w:tab/>
                <w:t>Étude de marché</w:t>
              </w:r>
              <w:r>
                <w:rPr>
                  <w:rFonts w:ascii="Public Sans" w:hAnsi="Public Sans"/>
                  <w:b w:val="0"/>
                  <w:i w:val="0"/>
                  <w:color w:val="5B6672"/>
                  <w:sz w:val="26"/>
                </w:rPr>
                <w:tab/>
                <w:t>4</w:t>
              </w:r>
            </w:hyperlink>
          </w:p>
          <w:p>
            <w:pPr>
              <w:tabs>
                <w:tab w:pos="680" w:val="left"/>
                <w:tab w:pos="6917" w:val="right" w:leader="dot"/>
              </w:tabs>
              <w:spacing w:after="180" w:line="240" w:lineRule="auto"/>
            </w:pPr>
            <w:hyperlink w:anchor="chapitre_03" w:history="1">
              <w:r>
                <w:rPr>
                  <w:rFonts w:ascii="Public Sans SemiBold" w:hAnsi="Public Sans SemiBold"/>
                  <w:b w:val="0"/>
                  <w:i w:val="0"/>
                  <w:color w:val="1B3358"/>
                  <w:sz w:val="26"/>
                </w:rPr>
                <w:t>03</w:t>
              </w:r>
              <w:r>
                <w:rPr>
                  <w:rFonts w:ascii="Public Sans" w:hAnsi="Public Sans"/>
                  <w:b w:val="0"/>
                  <w:i w:val="0"/>
                  <w:color w:val="1F2833"/>
                  <w:sz w:val="26"/>
                </w:rPr>
                <w:tab/>
                <w:t>Le bien et le projet</w:t>
              </w:r>
              <w:r>
                <w:rPr>
                  <w:rFonts w:ascii="Public Sans" w:hAnsi="Public Sans"/>
                  <w:b w:val="0"/>
                  <w:i w:val="0"/>
                  <w:color w:val="5B6672"/>
                  <w:sz w:val="26"/>
                </w:rPr>
                <w:tab/>
                <w:t>5</w:t>
              </w:r>
            </w:hyperlink>
          </w:p>
          <w:p>
            <w:pPr>
              <w:spacing w:after="120" w:line="240" w:lineRule="auto" w:before="440"/>
            </w:pPr>
            <w:r>
              <w:rPr>
                <w:rFonts w:ascii="Public Sans SemiBold" w:hAnsi="Public Sans SemiBold"/>
                <w:b w:val="0"/>
                <w:i w:val="0"/>
                <w:color w:val="A8823B"/>
                <w:sz w:val="19"/>
              </w:rPr>
              <w:t>LA RENTABILITÉ</w:t>
            </w:r>
          </w:p>
          <w:p>
            <w:pPr>
              <w:tabs>
                <w:tab w:pos="680" w:val="left"/>
                <w:tab w:pos="6917" w:val="right" w:leader="dot"/>
              </w:tabs>
              <w:spacing w:after="180" w:line="240" w:lineRule="auto"/>
            </w:pPr>
            <w:hyperlink w:anchor="chapitre_04" w:history="1">
              <w:r>
                <w:rPr>
                  <w:rFonts w:ascii="Public Sans SemiBold" w:hAnsi="Public Sans SemiBold"/>
                  <w:b w:val="0"/>
                  <w:i w:val="0"/>
                  <w:color w:val="1B3358"/>
                  <w:sz w:val="26"/>
                </w:rPr>
                <w:t>04</w:t>
              </w:r>
              <w:r>
                <w:rPr>
                  <w:rFonts w:ascii="Public Sans" w:hAnsi="Public Sans"/>
                  <w:b w:val="0"/>
                  <w:i w:val="0"/>
                  <w:color w:val="1F2833"/>
                  <w:sz w:val="26"/>
                </w:rPr>
                <w:tab/>
                <w:t>Recettes et charges annuelles</w:t>
              </w:r>
              <w:r>
                <w:rPr>
                  <w:rFonts w:ascii="Public Sans" w:hAnsi="Public Sans"/>
                  <w:b w:val="0"/>
                  <w:i w:val="0"/>
                  <w:color w:val="5B6672"/>
                  <w:sz w:val="26"/>
                </w:rPr>
                <w:tab/>
                <w:t>6</w:t>
              </w:r>
            </w:hyperlink>
          </w:p>
          <w:p>
            <w:pPr>
              <w:tabs>
                <w:tab w:pos="680" w:val="left"/>
                <w:tab w:pos="6917" w:val="right" w:leader="dot"/>
              </w:tabs>
              <w:spacing w:after="180" w:line="240" w:lineRule="auto"/>
            </w:pPr>
            <w:hyperlink w:anchor="chapitre_05" w:history="1">
              <w:r>
                <w:rPr>
                  <w:rFonts w:ascii="Public Sans SemiBold" w:hAnsi="Public Sans SemiBold"/>
                  <w:b w:val="0"/>
                  <w:i w:val="0"/>
                  <w:color w:val="1B3358"/>
                  <w:sz w:val="26"/>
                </w:rPr>
                <w:t>05</w:t>
              </w:r>
              <w:r>
                <w:rPr>
                  <w:rFonts w:ascii="Public Sans" w:hAnsi="Public Sans"/>
                  <w:b w:val="0"/>
                  <w:i w:val="0"/>
                  <w:color w:val="1F2833"/>
                  <w:sz w:val="26"/>
                </w:rPr>
                <w:tab/>
                <w:t>Où va le loyer chaque mois</w:t>
              </w:r>
              <w:r>
                <w:rPr>
                  <w:rFonts w:ascii="Public Sans" w:hAnsi="Public Sans"/>
                  <w:b w:val="0"/>
                  <w:i w:val="0"/>
                  <w:color w:val="5B6672"/>
                  <w:sz w:val="26"/>
                </w:rPr>
                <w:tab/>
                <w:t>7</w:t>
              </w:r>
            </w:hyperlink>
          </w:p>
          <w:p>
            <w:pPr>
              <w:tabs>
                <w:tab w:pos="680" w:val="left"/>
                <w:tab w:pos="6917" w:val="right" w:leader="dot"/>
              </w:tabs>
              <w:spacing w:after="180" w:line="240" w:lineRule="auto"/>
            </w:pPr>
            <w:hyperlink w:anchor="chapitre_06" w:history="1">
              <w:r>
                <w:rPr>
                  <w:rFonts w:ascii="Public Sans SemiBold" w:hAnsi="Public Sans SemiBold"/>
                  <w:b w:val="0"/>
                  <w:i w:val="0"/>
                  <w:color w:val="1B3358"/>
                  <w:sz w:val="26"/>
                </w:rPr>
                <w:t>06</w:t>
              </w:r>
              <w:r>
                <w:rPr>
                  <w:rFonts w:ascii="Public Sans" w:hAnsi="Public Sans"/>
                  <w:b w:val="0"/>
                  <w:i w:val="0"/>
                  <w:color w:val="1F2833"/>
                  <w:sz w:val="26"/>
                </w:rPr>
                <w:tab/>
                <w:t>Évolution du patrimoine</w:t>
              </w:r>
              <w:r>
                <w:rPr>
                  <w:rFonts w:ascii="Public Sans" w:hAnsi="Public Sans"/>
                  <w:b w:val="0"/>
                  <w:i w:val="0"/>
                  <w:color w:val="5B6672"/>
                  <w:sz w:val="26"/>
                </w:rPr>
                <w:tab/>
                <w:t>8</w:t>
              </w:r>
            </w:hyperlink>
          </w:p>
        </w:tc>
        <w:tc>
          <w:tcPr>
            <w:tcW w:type="dxa" w:w="850"/>
          </w:tcPr>
          <w:p/>
        </w:tc>
        <w:tc>
          <w:tcPr>
            <w:tcW w:type="dxa" w:w="6973"/>
            <w:vAlign w:val="top"/>
            <w:tcMar>
              <w:top w:w="0" w:type="dxa"/>
              <w:bottom w:w="0" w:type="dxa"/>
              <w:left w:w="0" w:type="dxa"/>
              <w:right w:w="0" w:type="dxa"/>
            </w:tcMar>
          </w:tcPr>
          <w:p>
            <w:pPr>
              <w:spacing w:after="120" w:line="240" w:lineRule="auto" w:before="0"/>
            </w:pPr>
            <w:r>
              <w:rPr>
                <w:rFonts w:ascii="Public Sans SemiBold" w:hAnsi="Public Sans SemiBold"/>
                <w:b w:val="0"/>
                <w:i w:val="0"/>
                <w:color w:val="A8823B"/>
                <w:sz w:val="19"/>
              </w:rPr>
              <w:t>LE FINANCEMENT</w:t>
            </w:r>
          </w:p>
          <w:p>
            <w:pPr>
              <w:tabs>
                <w:tab w:pos="680" w:val="left"/>
                <w:tab w:pos="6917" w:val="right" w:leader="dot"/>
              </w:tabs>
              <w:spacing w:after="180" w:line="240" w:lineRule="auto"/>
            </w:pPr>
            <w:hyperlink w:anchor="chapitre_07" w:history="1">
              <w:r>
                <w:rPr>
                  <w:rFonts w:ascii="Public Sans SemiBold" w:hAnsi="Public Sans SemiBold"/>
                  <w:b w:val="0"/>
                  <w:i w:val="0"/>
                  <w:color w:val="1B3358"/>
                  <w:sz w:val="26"/>
                </w:rPr>
                <w:t>07</w:t>
              </w:r>
              <w:r>
                <w:rPr>
                  <w:rFonts w:ascii="Public Sans" w:hAnsi="Public Sans"/>
                  <w:b w:val="0"/>
                  <w:i w:val="0"/>
                  <w:color w:val="1F2833"/>
                  <w:sz w:val="26"/>
                </w:rPr>
                <w:tab/>
                <w:t>Plan de financement</w:t>
              </w:r>
              <w:r>
                <w:rPr>
                  <w:rFonts w:ascii="Public Sans" w:hAnsi="Public Sans"/>
                  <w:b w:val="0"/>
                  <w:i w:val="0"/>
                  <w:color w:val="5B6672"/>
                  <w:sz w:val="26"/>
                </w:rPr>
                <w:tab/>
                <w:t>9</w:t>
              </w:r>
            </w:hyperlink>
          </w:p>
          <w:p>
            <w:pPr>
              <w:tabs>
                <w:tab w:pos="680" w:val="left"/>
                <w:tab w:pos="6917" w:val="right" w:leader="dot"/>
              </w:tabs>
              <w:spacing w:after="180" w:line="240" w:lineRule="auto"/>
            </w:pPr>
            <w:hyperlink w:anchor="chapitre_08" w:history="1">
              <w:r>
                <w:rPr>
                  <w:rFonts w:ascii="Public Sans SemiBold" w:hAnsi="Public Sans SemiBold"/>
                  <w:b w:val="0"/>
                  <w:i w:val="0"/>
                  <w:color w:val="1B3358"/>
                  <w:sz w:val="26"/>
                </w:rPr>
                <w:t>08</w:t>
              </w:r>
              <w:r>
                <w:rPr>
                  <w:rFonts w:ascii="Public Sans" w:hAnsi="Public Sans"/>
                  <w:b w:val="0"/>
                  <w:i w:val="0"/>
                  <w:color w:val="1F2833"/>
                  <w:sz w:val="26"/>
                </w:rPr>
                <w:tab/>
                <w:t>Profil de l'emprunteur</w:t>
              </w:r>
              <w:r>
                <w:rPr>
                  <w:rFonts w:ascii="Public Sans" w:hAnsi="Public Sans"/>
                  <w:b w:val="0"/>
                  <w:i w:val="0"/>
                  <w:color w:val="5B6672"/>
                  <w:sz w:val="26"/>
                </w:rPr>
                <w:tab/>
                <w:t>10</w:t>
              </w:r>
            </w:hyperlink>
          </w:p>
          <w:p>
            <w:pPr>
              <w:tabs>
                <w:tab w:pos="680" w:val="left"/>
                <w:tab w:pos="6917" w:val="right" w:leader="dot"/>
              </w:tabs>
              <w:spacing w:after="180" w:line="240" w:lineRule="auto"/>
            </w:pPr>
            <w:hyperlink w:anchor="chapitre_09" w:history="1">
              <w:r>
                <w:rPr>
                  <w:rFonts w:ascii="Public Sans SemiBold" w:hAnsi="Public Sans SemiBold"/>
                  <w:b w:val="0"/>
                  <w:i w:val="0"/>
                  <w:color w:val="1B3358"/>
                  <w:sz w:val="26"/>
                </w:rPr>
                <w:t>09</w:t>
              </w:r>
              <w:r>
                <w:rPr>
                  <w:rFonts w:ascii="Public Sans" w:hAnsi="Public Sans"/>
                  <w:b w:val="0"/>
                  <w:i w:val="0"/>
                  <w:color w:val="1F2833"/>
                  <w:sz w:val="26"/>
                </w:rPr>
                <w:tab/>
                <w:t>Taux d'endettement</w:t>
              </w:r>
              <w:r>
                <w:rPr>
                  <w:rFonts w:ascii="Public Sans" w:hAnsi="Public Sans"/>
                  <w:b w:val="0"/>
                  <w:i w:val="0"/>
                  <w:color w:val="5B6672"/>
                  <w:sz w:val="26"/>
                </w:rPr>
                <w:tab/>
                <w:t>11</w:t>
              </w:r>
            </w:hyperlink>
          </w:p>
          <w:p>
            <w:pPr>
              <w:spacing w:after="120" w:line="240" w:lineRule="auto" w:before="440"/>
            </w:pPr>
            <w:r>
              <w:rPr>
                <w:rFonts w:ascii="Public Sans SemiBold" w:hAnsi="Public Sans SemiBold"/>
                <w:b w:val="0"/>
                <w:i w:val="0"/>
                <w:color w:val="A8823B"/>
                <w:sz w:val="19"/>
              </w:rPr>
              <w:t>CONCLUSION</w:t>
            </w:r>
          </w:p>
          <w:p>
            <w:pPr>
              <w:tabs>
                <w:tab w:pos="680" w:val="left"/>
                <w:tab w:pos="6917" w:val="right" w:leader="dot"/>
              </w:tabs>
              <w:spacing w:after="180" w:line="240" w:lineRule="auto"/>
            </w:pPr>
            <w:hyperlink w:anchor="chapitre_10" w:history="1">
              <w:r>
                <w:rPr>
                  <w:rFonts w:ascii="Public Sans SemiBold" w:hAnsi="Public Sans SemiBold"/>
                  <w:b w:val="0"/>
                  <w:i w:val="0"/>
                  <w:color w:val="1B3358"/>
                  <w:sz w:val="26"/>
                </w:rPr>
                <w:t>10</w:t>
              </w:r>
              <w:r>
                <w:rPr>
                  <w:rFonts w:ascii="Public Sans" w:hAnsi="Public Sans"/>
                  <w:b w:val="0"/>
                  <w:i w:val="0"/>
                  <w:color w:val="1F2833"/>
                  <w:sz w:val="26"/>
                </w:rPr>
                <w:tab/>
                <w:t>Synthèse du projet</w:t>
              </w:r>
              <w:r>
                <w:rPr>
                  <w:rFonts w:ascii="Public Sans" w:hAnsi="Public Sans"/>
                  <w:b w:val="0"/>
                  <w:i w:val="0"/>
                  <w:color w:val="5B6672"/>
                  <w:sz w:val="26"/>
                </w:rPr>
                <w:tab/>
                <w:t>12</w:t>
              </w:r>
            </w:hyperlink>
          </w:p>
          <w:p>
            <w:pPr>
              <w:tabs>
                <w:tab w:pos="680" w:val="left"/>
                <w:tab w:pos="6917" w:val="right" w:leader="dot"/>
              </w:tabs>
              <w:spacing w:after="180" w:line="240" w:lineRule="auto"/>
            </w:pPr>
            <w:hyperlink w:anchor="chapitre_11" w:history="1">
              <w:r>
                <w:rPr>
                  <w:rFonts w:ascii="Public Sans SemiBold" w:hAnsi="Public Sans SemiBold"/>
                  <w:b w:val="0"/>
                  <w:i w:val="0"/>
                  <w:color w:val="1B3358"/>
                  <w:sz w:val="26"/>
                </w:rPr>
                <w:t>11</w:t>
              </w:r>
              <w:r>
                <w:rPr>
                  <w:rFonts w:ascii="Public Sans" w:hAnsi="Public Sans"/>
                  <w:b w:val="0"/>
                  <w:i w:val="0"/>
                  <w:color w:val="1F2833"/>
                  <w:sz w:val="26"/>
                </w:rPr>
                <w:tab/>
                <w:t>Pièces à fournir à la banque</w:t>
              </w:r>
              <w:r>
                <w:rPr>
                  <w:rFonts w:ascii="Public Sans" w:hAnsi="Public Sans"/>
                  <w:b w:val="0"/>
                  <w:i w:val="0"/>
                  <w:color w:val="5B6672"/>
                  <w:sz w:val="26"/>
                </w:rPr>
                <w:tab/>
                <w:t>13</w:t>
              </w:r>
            </w:hyperlink>
          </w:p>
          <w:p>
            <w:pPr>
              <w:tabs>
                <w:tab w:pos="680" w:val="left"/>
                <w:tab w:pos="6917" w:val="right" w:leader="dot"/>
              </w:tabs>
              <w:spacing w:after="180" w:line="240" w:lineRule="auto"/>
            </w:pPr>
            <w:hyperlink w:anchor="chapitre_12" w:history="1">
              <w:r>
                <w:rPr>
                  <w:rFonts w:ascii="Public Sans SemiBold" w:hAnsi="Public Sans SemiBold"/>
                  <w:b w:val="0"/>
                  <w:i w:val="0"/>
                  <w:color w:val="1B3358"/>
                  <w:sz w:val="26"/>
                </w:rPr>
                <w:t>12</w:t>
              </w:r>
              <w:r>
                <w:rPr>
                  <w:rFonts w:ascii="Public Sans" w:hAnsi="Public Sans"/>
                  <w:b w:val="0"/>
                  <w:i w:val="0"/>
                  <w:color w:val="1F2833"/>
                  <w:sz w:val="26"/>
                </w:rPr>
                <w:tab/>
                <w:t>Mentions et méthodologie</w:t>
              </w:r>
              <w:r>
                <w:rPr>
                  <w:rFonts w:ascii="Public Sans" w:hAnsi="Public Sans"/>
                  <w:b w:val="0"/>
                  <w:i w:val="0"/>
                  <w:color w:val="5B6672"/>
                  <w:sz w:val="26"/>
                </w:rPr>
                <w:tab/>
                <w:t>14</w:t>
              </w:r>
            </w:hyperlink>
          </w:p>
        </w:tc>
      </w:tr>
    </w:tbl>
    <w:p>
      <w:pPr>
        <w:sectPr>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2" name="Picture 2"/>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1" w:name="chapitre_01"/>
            <w:pPr>
              <w:spacing w:after="0" w:line="240" w:lineRule="auto"/>
            </w:pPr>
            <w:r>
              <w:drawing>
                <wp:inline xmlns:a="http://schemas.openxmlformats.org/drawingml/2006/main" xmlns:pic="http://schemas.openxmlformats.org/drawingml/2006/picture">
                  <wp:extent cx="2232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Le bien sur la carte</w:t>
            </w:r>
            <w:bookmarkEnd w:id="1"/>
          </w:p>
          <w:p>
            <w:pPr>
              <w:spacing w:before="20" w:after="0" w:line="240" w:lineRule="auto"/>
            </w:pPr>
            <w:r>
              <w:rPr>
                <w:rFonts w:ascii="Public Sans" w:hAnsi="Public Sans"/>
                <w:b w:val="0"/>
                <w:i w:val="0"/>
                <w:color w:val="5B6672"/>
                <w:sz w:val="20"/>
              </w:rPr>
              <w:t>Les ventes comparables autour du bien et la rentabilité des communes du département.</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EF2F7"/>
            <w:tcBorders>
              <w:top w:val="nil"/>
              <w:left w:val="single" w:sz="36" w:color="1B3358"/>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1B3358"/>
                <w:sz w:val="15"/>
              </w:rPr>
              <w:t>À RETENIR</w:t>
            </w:r>
          </w:p>
          <w:p>
            <w:pPr>
              <w:spacing w:before="20" w:after="0" w:line="240" w:lineRule="auto"/>
            </w:pPr>
            <w:r>
              <w:rPr>
                <w:rFonts w:ascii="Public Sans" w:hAnsi="Public Sans"/>
                <w:b w:val="0"/>
                <w:i w:val="0"/>
                <w:color w:val="1B3358"/>
                <w:sz w:val="23"/>
              </w:rPr>
              <w:t>189 ventes comparables dans un rayon de 500 m autour du bien ; rentabilité brute moyenne de la commune : 9,9 %.</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398"/>
        <w:gridCol w:w="7398"/>
      </w:tblGrid>
      <w:tr>
        <w:tc>
          <w:tcPr>
            <w:tcW w:type="dxa" w:w="7398"/>
            <w:vAlign w:val="top"/>
            <w:tcMar>
              <w:top w:w="0" w:type="dxa"/>
              <w:bottom w:w="0" w:type="dxa"/>
              <w:left w:w="0" w:type="dxa"/>
              <w:right w:w="0" w:type="dxa"/>
            </w:tcMar>
          </w:tcPr>
          <w:p>
            <w:pPr>
              <w:spacing w:before="0" w:after="0"/>
              <w:jc w:val="center"/>
            </w:pPr>
            <w:r>
              <w:drawing>
                <wp:inline xmlns:a="http://schemas.openxmlformats.org/drawingml/2006/main" xmlns:pic="http://schemas.openxmlformats.org/drawingml/2006/picture">
                  <wp:extent cx="4380872" cy="4139999"/>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0872" cy="4139999"/>
                          </a:xfrm>
                          <a:prstGeom prst="rect"/>
                        </pic:spPr>
                      </pic:pic>
                    </a:graphicData>
                  </a:graphic>
                </wp:inline>
              </w:drawing>
            </w:r>
          </w:p>
        </w:tc>
        <w:tc>
          <w:tcPr>
            <w:tcW w:type="dxa" w:w="7398"/>
            <w:vAlign w:val="top"/>
            <w:tcMar>
              <w:top w:w="0" w:type="dxa"/>
              <w:bottom w:w="0" w:type="dxa"/>
              <w:left w:w="0" w:type="dxa"/>
              <w:right w:w="0" w:type="dxa"/>
            </w:tcMar>
          </w:tcPr>
          <w:p>
            <w:pPr>
              <w:spacing w:before="0" w:after="0"/>
              <w:jc w:val="center"/>
            </w:pPr>
            <w:r>
              <w:drawing>
                <wp:inline xmlns:a="http://schemas.openxmlformats.org/drawingml/2006/main" xmlns:pic="http://schemas.openxmlformats.org/drawingml/2006/picture">
                  <wp:extent cx="4589999" cy="3878669"/>
                  <wp:docPr id="5" name="Picture 5"/>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589999" cy="3878669"/>
                          </a:xfrm>
                          <a:prstGeom prst="rect"/>
                        </pic:spPr>
                      </pic:pic>
                    </a:graphicData>
                  </a:graphic>
                </wp:inline>
              </w:drawing>
            </w:r>
          </w:p>
        </w:tc>
      </w:tr>
    </w:tbl>
    <w:p>
      <w:pPr>
        <w:spacing w:before="120"/>
      </w:pPr>
      <w:r>
        <w:rPr>
          <w:i/>
          <w:color w:val="969EA8"/>
          <w:sz w:val="18"/>
        </w:rPr>
        <w:t>Couleur des ventes : écart de leur prix au m² à la médiane du secteur (1 224 €/m²). Rentabilité brute d'une commune = loyer d'annonce au m² × 12 ÷ prix médian au m² des ventes dans l'ancien (01/2024 à 12/2025). Sources : DVF (DGFiP), carte des loyers (ANIL), contours geo.api.gouv.fr, fond de carte © IGN.</w:t>
      </w:r>
    </w:p>
    <w:p>
      <w:pPr>
        <w:sectPr>
          <w:footerReference w:type="default" r:id="rId12"/>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6" name="Picture 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2" w:name="chapitre_02"/>
            <w:pPr>
              <w:spacing w:after="0" w:line="240" w:lineRule="auto"/>
            </w:pPr>
            <w:r>
              <w:drawing>
                <wp:inline xmlns:a="http://schemas.openxmlformats.org/drawingml/2006/main" xmlns:pic="http://schemas.openxmlformats.org/drawingml/2006/picture">
                  <wp:extent cx="223200" cy="223200"/>
                  <wp:docPr id="7" name="Picture 7"/>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Étude de marché</w:t>
            </w:r>
            <w:bookmarkEnd w:id="2"/>
          </w:p>
          <w:p>
            <w:pPr>
              <w:spacing w:before="20" w:after="0" w:line="240" w:lineRule="auto"/>
            </w:pPr>
            <w:r>
              <w:rPr>
                <w:rFonts w:ascii="Public Sans" w:hAnsi="Public Sans"/>
                <w:b w:val="0"/>
                <w:i w:val="0"/>
                <w:color w:val="5B6672"/>
                <w:sz w:val="20"/>
              </w:rPr>
              <w:t>Le prix d'achat comparé aux ventes réelles de biens similaires autour du bien.</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9F2ED"/>
            <w:tcBorders>
              <w:top w:val="nil"/>
              <w:left w:val="single" w:sz="36" w:color="2D6A4F"/>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2D6A4F"/>
                <w:sz w:val="15"/>
              </w:rPr>
              <w:t>À RETENIR</w:t>
            </w:r>
          </w:p>
          <w:p>
            <w:pPr>
              <w:spacing w:before="20" w:after="0" w:line="240" w:lineRule="auto"/>
            </w:pPr>
            <w:r>
              <w:rPr>
                <w:rFonts w:ascii="Public Sans" w:hAnsi="Public Sans"/>
                <w:b w:val="0"/>
                <w:i w:val="0"/>
                <w:color w:val="2D6A4F"/>
                <w:sz w:val="23"/>
              </w:rPr>
              <w:t>Prix d'achat 4 % sous la médiane des ventes du quartier (1 224 €/m²) : un prix justifié.</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3699"/>
        <w:gridCol w:w="3699"/>
        <w:gridCol w:w="3699"/>
        <w:gridCol w:w="3699"/>
      </w:tblGrid>
      <w:tr>
        <w:tc>
          <w:tcPr>
            <w:tcW w:type="dxa" w:w="3699"/>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PRIX D'ACHAT DU PROJET</w:t>
            </w:r>
          </w:p>
          <w:p>
            <w:pPr>
              <w:spacing w:before="40" w:after="0" w:line="240" w:lineRule="auto"/>
            </w:pPr>
            <w:r>
              <w:rPr>
                <w:rFonts w:ascii="Sora SemiBold" w:hAnsi="Sora SemiBold"/>
                <w:b w:val="0"/>
                <w:i w:val="0"/>
                <w:color w:val="1B3358"/>
                <w:sz w:val="34"/>
              </w:rPr>
              <w:t>1 169 €/m²</w:t>
            </w:r>
          </w:p>
        </w:tc>
        <w:tc>
          <w:tcPr>
            <w:tcW w:type="dxa" w:w="3699"/>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MÉDIANE DE 189 VENTES</w:t>
            </w:r>
          </w:p>
          <w:p>
            <w:pPr>
              <w:spacing w:before="40" w:after="0" w:line="240" w:lineRule="auto"/>
            </w:pPr>
            <w:r>
              <w:rPr>
                <w:rFonts w:ascii="Sora SemiBold" w:hAnsi="Sora SemiBold"/>
                <w:b w:val="0"/>
                <w:i w:val="0"/>
                <w:color w:val="1B3358"/>
                <w:sz w:val="34"/>
              </w:rPr>
              <w:t>1 224 €/m²</w:t>
            </w:r>
          </w:p>
        </w:tc>
        <w:tc>
          <w:tcPr>
            <w:tcW w:type="dxa" w:w="3699"/>
            <w:vAlign w:val="center"/>
            <w:shd w:val="clear" w:color="auto" w:fill="EEF2F7"/>
            <w:tcBorders>
              <w:top w:val="nil"/>
              <w:left w:val="single" w:sz="24" w:color="2D6A4F"/>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ÉCART AU MARCHÉ</w:t>
            </w:r>
          </w:p>
          <w:p>
            <w:pPr>
              <w:spacing w:before="40" w:after="0" w:line="240" w:lineRule="auto"/>
            </w:pPr>
            <w:r>
              <w:rPr>
                <w:rFonts w:ascii="Sora SemiBold" w:hAnsi="Sora SemiBold"/>
                <w:b w:val="0"/>
                <w:i w:val="0"/>
                <w:color w:val="2D6A4F"/>
                <w:sz w:val="34"/>
              </w:rPr>
              <w:t>-4 %</w:t>
            </w:r>
          </w:p>
        </w:tc>
        <w:tc>
          <w:tcPr>
            <w:tcW w:type="dxa" w:w="3699"/>
            <w:vAlign w:val="center"/>
            <w:shd w:val="clear" w:color="auto" w:fill="EEF2F7"/>
            <w:tcBorders>
              <w:top w:val="nil"/>
              <w:left w:val="single" w:sz="24" w:color="B23A32"/>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LOYER PROJET / MARCHÉ</w:t>
            </w:r>
          </w:p>
          <w:p>
            <w:pPr>
              <w:spacing w:before="40" w:after="0" w:line="240" w:lineRule="auto"/>
            </w:pPr>
            <w:r>
              <w:rPr>
                <w:rFonts w:ascii="Sora SemiBold" w:hAnsi="Sora SemiBold"/>
                <w:b w:val="0"/>
                <w:i w:val="0"/>
                <w:color w:val="B23A32"/>
                <w:sz w:val="34"/>
              </w:rPr>
              <w:t>10,9 / 9,9 €/m²</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83"/>
        <w:gridCol w:w="6520"/>
      </w:tblGrid>
      <w:tr>
        <w:tc>
          <w:tcPr>
            <w:tcW w:type="dxa" w:w="7483"/>
          </w:tcPr>
          <w:p/>
          <w:tbl>
            <w:tblPr>
              <w:tblW w:type="auto" w:w="0"/>
              <w:tblLayout w:type="fixed"/>
              <w:tblLook w:firstColumn="1" w:firstRow="1" w:lastColumn="0" w:lastRow="0" w:noHBand="0" w:noVBand="1" w:val="04A0"/>
            </w:tblPr>
            <w:tblGrid>
              <w:gridCol w:w="1077"/>
              <w:gridCol w:w="2608"/>
              <w:gridCol w:w="850"/>
              <w:gridCol w:w="1191"/>
              <w:gridCol w:w="1020"/>
              <w:gridCol w:w="737"/>
            </w:tblGrid>
            <w:tr>
              <w:tc>
                <w:tcPr>
                  <w:tcW w:type="dxa" w:w="1077"/>
                  <w:shd w:val="clear" w:color="auto" w:fill="1B3358"/>
                  <w:tcMar>
                    <w:top w:w="25" w:type="dxa"/>
                    <w:bottom w:w="25" w:type="dxa"/>
                    <w:left w:w="90" w:type="dxa"/>
                    <w:right w:w="90" w:type="dxa"/>
                  </w:tcMar>
                </w:tcPr>
                <w:p>
                  <w:pPr>
                    <w:spacing w:after="0" w:line="240" w:lineRule="auto"/>
                    <w:jc w:val="left"/>
                  </w:pPr>
                  <w:r>
                    <w:rPr>
                      <w:rFonts w:ascii="Public Sans SemiBold" w:hAnsi="Public Sans SemiBold"/>
                      <w:b w:val="0"/>
                      <w:i w:val="0"/>
                      <w:color w:val="FFFFFF"/>
                      <w:sz w:val="17"/>
                    </w:rPr>
                    <w:t>Date</w:t>
                  </w:r>
                </w:p>
              </w:tc>
              <w:tc>
                <w:tcPr>
                  <w:tcW w:type="dxa" w:w="2608"/>
                  <w:shd w:val="clear" w:color="auto" w:fill="1B3358"/>
                  <w:tcMar>
                    <w:top w:w="25" w:type="dxa"/>
                    <w:bottom w:w="25" w:type="dxa"/>
                    <w:left w:w="90" w:type="dxa"/>
                    <w:right w:w="90" w:type="dxa"/>
                  </w:tcMar>
                </w:tcPr>
                <w:p>
                  <w:pPr>
                    <w:spacing w:after="0" w:line="240" w:lineRule="auto"/>
                    <w:jc w:val="left"/>
                  </w:pPr>
                  <w:r>
                    <w:rPr>
                      <w:rFonts w:ascii="Public Sans SemiBold" w:hAnsi="Public Sans SemiBold"/>
                      <w:b w:val="0"/>
                      <w:i w:val="0"/>
                      <w:color w:val="FFFFFF"/>
                      <w:sz w:val="17"/>
                    </w:rPr>
                    <w:t>Adresse</w:t>
                  </w:r>
                </w:p>
              </w:tc>
              <w:tc>
                <w:tcPr>
                  <w:tcW w:type="dxa" w:w="850"/>
                  <w:shd w:val="clear" w:color="auto" w:fill="1B3358"/>
                  <w:tcMar>
                    <w:top w:w="25" w:type="dxa"/>
                    <w:bottom w:w="25" w:type="dxa"/>
                    <w:left w:w="90" w:type="dxa"/>
                    <w:right w:w="90" w:type="dxa"/>
                  </w:tcMar>
                </w:tcPr>
                <w:p>
                  <w:pPr>
                    <w:spacing w:after="0" w:line="240" w:lineRule="auto"/>
                    <w:jc w:val="right"/>
                  </w:pPr>
                  <w:r>
                    <w:rPr>
                      <w:rFonts w:ascii="Public Sans SemiBold" w:hAnsi="Public Sans SemiBold"/>
                      <w:b w:val="0"/>
                      <w:i w:val="0"/>
                      <w:color w:val="FFFFFF"/>
                      <w:sz w:val="17"/>
                    </w:rPr>
                    <w:t>Surface</w:t>
                  </w:r>
                </w:p>
              </w:tc>
              <w:tc>
                <w:tcPr>
                  <w:tcW w:type="dxa" w:w="1191"/>
                  <w:shd w:val="clear" w:color="auto" w:fill="1B3358"/>
                  <w:tcMar>
                    <w:top w:w="25" w:type="dxa"/>
                    <w:bottom w:w="25" w:type="dxa"/>
                    <w:left w:w="90" w:type="dxa"/>
                    <w:right w:w="90" w:type="dxa"/>
                  </w:tcMar>
                </w:tcPr>
                <w:p>
                  <w:pPr>
                    <w:spacing w:after="0" w:line="240" w:lineRule="auto"/>
                    <w:jc w:val="right"/>
                  </w:pPr>
                  <w:r>
                    <w:rPr>
                      <w:rFonts w:ascii="Public Sans SemiBold" w:hAnsi="Public Sans SemiBold"/>
                      <w:b w:val="0"/>
                      <w:i w:val="0"/>
                      <w:color w:val="FFFFFF"/>
                      <w:sz w:val="17"/>
                    </w:rPr>
                    <w:t>Prix</w:t>
                  </w:r>
                </w:p>
              </w:tc>
              <w:tc>
                <w:tcPr>
                  <w:tcW w:type="dxa" w:w="1020"/>
                  <w:shd w:val="clear" w:color="auto" w:fill="1B3358"/>
                  <w:tcMar>
                    <w:top w:w="25" w:type="dxa"/>
                    <w:bottom w:w="25" w:type="dxa"/>
                    <w:left w:w="90" w:type="dxa"/>
                    <w:right w:w="90" w:type="dxa"/>
                  </w:tcMar>
                </w:tcPr>
                <w:p>
                  <w:pPr>
                    <w:spacing w:after="0" w:line="240" w:lineRule="auto"/>
                    <w:jc w:val="right"/>
                  </w:pPr>
                  <w:r>
                    <w:rPr>
                      <w:rFonts w:ascii="Public Sans SemiBold" w:hAnsi="Public Sans SemiBold"/>
                      <w:b w:val="0"/>
                      <w:i w:val="0"/>
                      <w:color w:val="FFFFFF"/>
                      <w:sz w:val="17"/>
                    </w:rPr>
                    <w:t>Prix / m²</w:t>
                  </w:r>
                </w:p>
              </w:tc>
              <w:tc>
                <w:tcPr>
                  <w:tcW w:type="dxa" w:w="737"/>
                  <w:shd w:val="clear" w:color="auto" w:fill="1B3358"/>
                  <w:tcMar>
                    <w:top w:w="25" w:type="dxa"/>
                    <w:bottom w:w="25" w:type="dxa"/>
                    <w:left w:w="90" w:type="dxa"/>
                    <w:right w:w="90" w:type="dxa"/>
                  </w:tcMar>
                </w:tcPr>
                <w:p>
                  <w:pPr>
                    <w:spacing w:after="0" w:line="240" w:lineRule="auto"/>
                    <w:jc w:val="right"/>
                  </w:pPr>
                  <w:r>
                    <w:rPr>
                      <w:rFonts w:ascii="Public Sans SemiBold" w:hAnsi="Public Sans SemiBold"/>
                      <w:b w:val="0"/>
                      <w:i w:val="0"/>
                      <w:color w:val="FFFFFF"/>
                      <w:sz w:val="17"/>
                    </w:rPr>
                    <w:t>Distance</w:t>
                  </w:r>
                </w:p>
              </w:tc>
            </w:tr>
            <w:tr>
              <w:tc>
                <w:tcPr>
                  <w:tcW w:type="dxa" w:w="1077"/>
                  <w:tcBorders>
                    <w:bottom w:val="single" w:sz="4" w:color="E1E6EC"/>
                  </w:tcBorders>
                  <w:tcMar>
                    <w:top w:w="25" w:type="dxa"/>
                    <w:bottom w:w="25" w:type="dxa"/>
                    <w:left w:w="90" w:type="dxa"/>
                    <w:right w:w="90" w:type="dxa"/>
                  </w:tcMar>
                </w:tcPr>
                <w:p>
                  <w:pPr>
                    <w:spacing w:after="0" w:line="240" w:lineRule="auto"/>
                    <w:jc w:val="left"/>
                  </w:pPr>
                  <w:r>
                    <w:rPr>
                      <w:rFonts w:ascii="Public Sans" w:hAnsi="Public Sans"/>
                      <w:b w:val="0"/>
                      <w:i w:val="0"/>
                      <w:color w:val="5B6672"/>
                      <w:sz w:val="18"/>
                    </w:rPr>
                    <w:t>26/11/2025</w:t>
                  </w:r>
                </w:p>
              </w:tc>
              <w:tc>
                <w:tcPr>
                  <w:tcW w:type="dxa" w:w="2608"/>
                  <w:tcBorders>
                    <w:bottom w:val="single" w:sz="4" w:color="E1E6EC"/>
                  </w:tcBorders>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13 Rue Jose Frappa</w:t>
                  </w:r>
                </w:p>
              </w:tc>
              <w:tc>
                <w:tcPr>
                  <w:tcW w:type="dxa" w:w="85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57 m²</w:t>
                  </w:r>
                </w:p>
              </w:tc>
              <w:tc>
                <w:tcPr>
                  <w:tcW w:type="dxa" w:w="1191"/>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64 650 €</w:t>
                  </w:r>
                </w:p>
              </w:tc>
              <w:tc>
                <w:tcPr>
                  <w:tcW w:type="dxa" w:w="102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1 134 €</w:t>
                  </w:r>
                </w:p>
              </w:tc>
              <w:tc>
                <w:tcPr>
                  <w:tcW w:type="dxa" w:w="737"/>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20 m</w:t>
                  </w:r>
                </w:p>
              </w:tc>
            </w:tr>
            <w:tr>
              <w:tc>
                <w:tcPr>
                  <w:tcW w:type="dxa" w:w="1077"/>
                  <w:tcBorders>
                    <w:bottom w:val="single" w:sz="4" w:color="E1E6EC"/>
                  </w:tcBorders>
                  <w:shd w:val="clear" w:color="auto" w:fill="F4F6FA"/>
                  <w:tcMar>
                    <w:top w:w="25" w:type="dxa"/>
                    <w:bottom w:w="25" w:type="dxa"/>
                    <w:left w:w="90" w:type="dxa"/>
                    <w:right w:w="90" w:type="dxa"/>
                  </w:tcMar>
                </w:tcPr>
                <w:p>
                  <w:pPr>
                    <w:spacing w:after="0" w:line="240" w:lineRule="auto"/>
                    <w:jc w:val="left"/>
                  </w:pPr>
                  <w:r>
                    <w:rPr>
                      <w:rFonts w:ascii="Public Sans" w:hAnsi="Public Sans"/>
                      <w:b w:val="0"/>
                      <w:i w:val="0"/>
                      <w:color w:val="5B6672"/>
                      <w:sz w:val="18"/>
                    </w:rPr>
                    <w:t>23/10/2025</w:t>
                  </w:r>
                </w:p>
              </w:tc>
              <w:tc>
                <w:tcPr>
                  <w:tcW w:type="dxa" w:w="2608"/>
                  <w:tcBorders>
                    <w:bottom w:val="single" w:sz="4" w:color="E1E6EC"/>
                  </w:tcBorders>
                  <w:shd w:val="clear" w:color="auto" w:fill="F4F6FA"/>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16 Rue Jose Frappa</w:t>
                  </w:r>
                </w:p>
              </w:tc>
              <w:tc>
                <w:tcPr>
                  <w:tcW w:type="dxa" w:w="850"/>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75 m²</w:t>
                  </w:r>
                </w:p>
              </w:tc>
              <w:tc>
                <w:tcPr>
                  <w:tcW w:type="dxa" w:w="1191"/>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29 000 €</w:t>
                  </w:r>
                </w:p>
              </w:tc>
              <w:tc>
                <w:tcPr>
                  <w:tcW w:type="dxa" w:w="1020"/>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387 €</w:t>
                  </w:r>
                </w:p>
              </w:tc>
              <w:tc>
                <w:tcPr>
                  <w:tcW w:type="dxa" w:w="737"/>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60 m</w:t>
                  </w:r>
                </w:p>
              </w:tc>
            </w:tr>
            <w:tr>
              <w:tc>
                <w:tcPr>
                  <w:tcW w:type="dxa" w:w="1077"/>
                  <w:tcBorders>
                    <w:bottom w:val="single" w:sz="4" w:color="E1E6EC"/>
                  </w:tcBorders>
                  <w:tcMar>
                    <w:top w:w="25" w:type="dxa"/>
                    <w:bottom w:w="25" w:type="dxa"/>
                    <w:left w:w="90" w:type="dxa"/>
                    <w:right w:w="90" w:type="dxa"/>
                  </w:tcMar>
                </w:tcPr>
                <w:p>
                  <w:pPr>
                    <w:spacing w:after="0" w:line="240" w:lineRule="auto"/>
                    <w:jc w:val="left"/>
                  </w:pPr>
                  <w:r>
                    <w:rPr>
                      <w:rFonts w:ascii="Public Sans" w:hAnsi="Public Sans"/>
                      <w:b w:val="0"/>
                      <w:i w:val="0"/>
                      <w:color w:val="5B6672"/>
                      <w:sz w:val="18"/>
                    </w:rPr>
                    <w:t>15/12/2025</w:t>
                  </w:r>
                </w:p>
              </w:tc>
              <w:tc>
                <w:tcPr>
                  <w:tcW w:type="dxa" w:w="2608"/>
                  <w:tcBorders>
                    <w:bottom w:val="single" w:sz="4" w:color="E1E6EC"/>
                  </w:tcBorders>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5 Rue Martyrs De Vingre</w:t>
                  </w:r>
                </w:p>
              </w:tc>
              <w:tc>
                <w:tcPr>
                  <w:tcW w:type="dxa" w:w="85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57 m²</w:t>
                  </w:r>
                </w:p>
              </w:tc>
              <w:tc>
                <w:tcPr>
                  <w:tcW w:type="dxa" w:w="1191"/>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80 000 €</w:t>
                  </w:r>
                </w:p>
              </w:tc>
              <w:tc>
                <w:tcPr>
                  <w:tcW w:type="dxa" w:w="102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1 404 €</w:t>
                  </w:r>
                </w:p>
              </w:tc>
              <w:tc>
                <w:tcPr>
                  <w:tcW w:type="dxa" w:w="737"/>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90 m</w:t>
                  </w:r>
                </w:p>
              </w:tc>
            </w:tr>
            <w:tr>
              <w:tc>
                <w:tcPr>
                  <w:tcW w:type="dxa" w:w="1077"/>
                  <w:tcBorders>
                    <w:bottom w:val="single" w:sz="4" w:color="E1E6EC"/>
                  </w:tcBorders>
                  <w:shd w:val="clear" w:color="auto" w:fill="F4F6FA"/>
                  <w:tcMar>
                    <w:top w:w="25" w:type="dxa"/>
                    <w:bottom w:w="25" w:type="dxa"/>
                    <w:left w:w="90" w:type="dxa"/>
                    <w:right w:w="90" w:type="dxa"/>
                  </w:tcMar>
                </w:tcPr>
                <w:p>
                  <w:pPr>
                    <w:spacing w:after="0" w:line="240" w:lineRule="auto"/>
                    <w:jc w:val="left"/>
                  </w:pPr>
                  <w:r>
                    <w:rPr>
                      <w:rFonts w:ascii="Public Sans" w:hAnsi="Public Sans"/>
                      <w:b w:val="0"/>
                      <w:i w:val="0"/>
                      <w:color w:val="5B6672"/>
                      <w:sz w:val="18"/>
                    </w:rPr>
                    <w:t>19/11/2025</w:t>
                  </w:r>
                </w:p>
              </w:tc>
              <w:tc>
                <w:tcPr>
                  <w:tcW w:type="dxa" w:w="2608"/>
                  <w:tcBorders>
                    <w:bottom w:val="single" w:sz="4" w:color="E1E6EC"/>
                  </w:tcBorders>
                  <w:shd w:val="clear" w:color="auto" w:fill="F4F6FA"/>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19 Rue Grand Moulin</w:t>
                  </w:r>
                </w:p>
              </w:tc>
              <w:tc>
                <w:tcPr>
                  <w:tcW w:type="dxa" w:w="850"/>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62 m²</w:t>
                  </w:r>
                </w:p>
              </w:tc>
              <w:tc>
                <w:tcPr>
                  <w:tcW w:type="dxa" w:w="1191"/>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107 000 €</w:t>
                  </w:r>
                </w:p>
              </w:tc>
              <w:tc>
                <w:tcPr>
                  <w:tcW w:type="dxa" w:w="1020"/>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1 726 €</w:t>
                  </w:r>
                </w:p>
              </w:tc>
              <w:tc>
                <w:tcPr>
                  <w:tcW w:type="dxa" w:w="737"/>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130 m</w:t>
                  </w:r>
                </w:p>
              </w:tc>
            </w:tr>
            <w:tr>
              <w:tc>
                <w:tcPr>
                  <w:tcW w:type="dxa" w:w="1077"/>
                  <w:tcBorders>
                    <w:bottom w:val="single" w:sz="4" w:color="E1E6EC"/>
                  </w:tcBorders>
                  <w:tcMar>
                    <w:top w:w="25" w:type="dxa"/>
                    <w:bottom w:w="25" w:type="dxa"/>
                    <w:left w:w="90" w:type="dxa"/>
                    <w:right w:w="90" w:type="dxa"/>
                  </w:tcMar>
                </w:tcPr>
                <w:p>
                  <w:pPr>
                    <w:spacing w:after="0" w:line="240" w:lineRule="auto"/>
                    <w:jc w:val="left"/>
                  </w:pPr>
                  <w:r>
                    <w:rPr>
                      <w:rFonts w:ascii="Public Sans" w:hAnsi="Public Sans"/>
                      <w:b w:val="0"/>
                      <w:i w:val="0"/>
                      <w:color w:val="5B6672"/>
                      <w:sz w:val="18"/>
                    </w:rPr>
                    <w:t>13/10/2025</w:t>
                  </w:r>
                </w:p>
              </w:tc>
              <w:tc>
                <w:tcPr>
                  <w:tcW w:type="dxa" w:w="2608"/>
                  <w:tcBorders>
                    <w:bottom w:val="single" w:sz="4" w:color="E1E6EC"/>
                  </w:tcBorders>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19 Rue Grand Moulin</w:t>
                  </w:r>
                </w:p>
              </w:tc>
              <w:tc>
                <w:tcPr>
                  <w:tcW w:type="dxa" w:w="85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48 m²</w:t>
                  </w:r>
                </w:p>
              </w:tc>
              <w:tc>
                <w:tcPr>
                  <w:tcW w:type="dxa" w:w="1191"/>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100 000 €</w:t>
                  </w:r>
                </w:p>
              </w:tc>
              <w:tc>
                <w:tcPr>
                  <w:tcW w:type="dxa" w:w="102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2 083 €</w:t>
                  </w:r>
                </w:p>
              </w:tc>
              <w:tc>
                <w:tcPr>
                  <w:tcW w:type="dxa" w:w="737"/>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130 m</w:t>
                  </w:r>
                </w:p>
              </w:tc>
            </w:tr>
            <w:tr>
              <w:tc>
                <w:tcPr>
                  <w:tcW w:type="dxa" w:w="1077"/>
                  <w:tcBorders>
                    <w:bottom w:val="single" w:sz="4" w:color="E1E6EC"/>
                  </w:tcBorders>
                  <w:shd w:val="clear" w:color="auto" w:fill="F4F6FA"/>
                  <w:tcMar>
                    <w:top w:w="25" w:type="dxa"/>
                    <w:bottom w:w="25" w:type="dxa"/>
                    <w:left w:w="90" w:type="dxa"/>
                    <w:right w:w="90" w:type="dxa"/>
                  </w:tcMar>
                </w:tcPr>
                <w:p>
                  <w:pPr>
                    <w:spacing w:after="0" w:line="240" w:lineRule="auto"/>
                    <w:jc w:val="left"/>
                  </w:pPr>
                  <w:r>
                    <w:rPr>
                      <w:rFonts w:ascii="Public Sans" w:hAnsi="Public Sans"/>
                      <w:b w:val="0"/>
                      <w:i w:val="0"/>
                      <w:color w:val="5B6672"/>
                      <w:sz w:val="18"/>
                    </w:rPr>
                    <w:t>11/07/2025</w:t>
                  </w:r>
                </w:p>
              </w:tc>
              <w:tc>
                <w:tcPr>
                  <w:tcW w:type="dxa" w:w="2608"/>
                  <w:tcBorders>
                    <w:bottom w:val="single" w:sz="4" w:color="E1E6EC"/>
                  </w:tcBorders>
                  <w:shd w:val="clear" w:color="auto" w:fill="F4F6FA"/>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12 Rue Notre-Dame</w:t>
                  </w:r>
                </w:p>
              </w:tc>
              <w:tc>
                <w:tcPr>
                  <w:tcW w:type="dxa" w:w="850"/>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82 m²</w:t>
                  </w:r>
                </w:p>
              </w:tc>
              <w:tc>
                <w:tcPr>
                  <w:tcW w:type="dxa" w:w="1191"/>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150 000 €</w:t>
                  </w:r>
                </w:p>
              </w:tc>
              <w:tc>
                <w:tcPr>
                  <w:tcW w:type="dxa" w:w="1020"/>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1 829 €</w:t>
                  </w:r>
                </w:p>
              </w:tc>
              <w:tc>
                <w:tcPr>
                  <w:tcW w:type="dxa" w:w="737"/>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130 m</w:t>
                  </w:r>
                </w:p>
              </w:tc>
            </w:tr>
            <w:tr>
              <w:tc>
                <w:tcPr>
                  <w:tcW w:type="dxa" w:w="1077"/>
                  <w:tcBorders>
                    <w:bottom w:val="single" w:sz="4" w:color="E1E6EC"/>
                  </w:tcBorders>
                  <w:tcMar>
                    <w:top w:w="25" w:type="dxa"/>
                    <w:bottom w:w="25" w:type="dxa"/>
                    <w:left w:w="90" w:type="dxa"/>
                    <w:right w:w="90" w:type="dxa"/>
                  </w:tcMar>
                </w:tcPr>
                <w:p>
                  <w:pPr>
                    <w:spacing w:after="0" w:line="240" w:lineRule="auto"/>
                    <w:jc w:val="left"/>
                  </w:pPr>
                  <w:r>
                    <w:rPr>
                      <w:rFonts w:ascii="Public Sans" w:hAnsi="Public Sans"/>
                      <w:b w:val="0"/>
                      <w:i w:val="0"/>
                      <w:color w:val="5B6672"/>
                      <w:sz w:val="18"/>
                    </w:rPr>
                    <w:t>15/12/2025</w:t>
                  </w:r>
                </w:p>
              </w:tc>
              <w:tc>
                <w:tcPr>
                  <w:tcW w:type="dxa" w:w="2608"/>
                  <w:tcBorders>
                    <w:bottom w:val="single" w:sz="4" w:color="E1E6EC"/>
                  </w:tcBorders>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12 Rue Leon Nautin</w:t>
                  </w:r>
                </w:p>
              </w:tc>
              <w:tc>
                <w:tcPr>
                  <w:tcW w:type="dxa" w:w="85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54 m²</w:t>
                  </w:r>
                </w:p>
              </w:tc>
              <w:tc>
                <w:tcPr>
                  <w:tcW w:type="dxa" w:w="1191"/>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70 750 €</w:t>
                  </w:r>
                </w:p>
              </w:tc>
              <w:tc>
                <w:tcPr>
                  <w:tcW w:type="dxa" w:w="102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1 310 €</w:t>
                  </w:r>
                </w:p>
              </w:tc>
              <w:tc>
                <w:tcPr>
                  <w:tcW w:type="dxa" w:w="737"/>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160 m</w:t>
                  </w:r>
                </w:p>
              </w:tc>
            </w:tr>
            <w:tr>
              <w:tc>
                <w:tcPr>
                  <w:tcW w:type="dxa" w:w="1077"/>
                  <w:tcBorders>
                    <w:bottom w:val="single" w:sz="4" w:color="E1E6EC"/>
                  </w:tcBorders>
                  <w:shd w:val="clear" w:color="auto" w:fill="F4F6FA"/>
                  <w:tcMar>
                    <w:top w:w="25" w:type="dxa"/>
                    <w:bottom w:w="25" w:type="dxa"/>
                    <w:left w:w="90" w:type="dxa"/>
                    <w:right w:w="90" w:type="dxa"/>
                  </w:tcMar>
                </w:tcPr>
                <w:p>
                  <w:pPr>
                    <w:spacing w:after="0" w:line="240" w:lineRule="auto"/>
                    <w:jc w:val="left"/>
                  </w:pPr>
                  <w:r>
                    <w:rPr>
                      <w:rFonts w:ascii="Public Sans" w:hAnsi="Public Sans"/>
                      <w:b w:val="0"/>
                      <w:i w:val="0"/>
                      <w:color w:val="5B6672"/>
                      <w:sz w:val="18"/>
                    </w:rPr>
                    <w:t>07/11/2025</w:t>
                  </w:r>
                </w:p>
              </w:tc>
              <w:tc>
                <w:tcPr>
                  <w:tcW w:type="dxa" w:w="2608"/>
                  <w:tcBorders>
                    <w:bottom w:val="single" w:sz="4" w:color="E1E6EC"/>
                  </w:tcBorders>
                  <w:shd w:val="clear" w:color="auto" w:fill="F4F6FA"/>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6 Rue Grand Moulin</w:t>
                  </w:r>
                </w:p>
              </w:tc>
              <w:tc>
                <w:tcPr>
                  <w:tcW w:type="dxa" w:w="850"/>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54 m²</w:t>
                  </w:r>
                </w:p>
              </w:tc>
              <w:tc>
                <w:tcPr>
                  <w:tcW w:type="dxa" w:w="1191"/>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63 000 €</w:t>
                  </w:r>
                </w:p>
              </w:tc>
              <w:tc>
                <w:tcPr>
                  <w:tcW w:type="dxa" w:w="1020"/>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1 167 €</w:t>
                  </w:r>
                </w:p>
              </w:tc>
              <w:tc>
                <w:tcPr>
                  <w:tcW w:type="dxa" w:w="737"/>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160 m</w:t>
                  </w:r>
                </w:p>
              </w:tc>
            </w:tr>
            <w:tr>
              <w:tc>
                <w:tcPr>
                  <w:tcW w:type="dxa" w:w="1077"/>
                  <w:tcBorders>
                    <w:bottom w:val="single" w:sz="4" w:color="E1E6EC"/>
                  </w:tcBorders>
                  <w:tcMar>
                    <w:top w:w="25" w:type="dxa"/>
                    <w:bottom w:w="25" w:type="dxa"/>
                    <w:left w:w="90" w:type="dxa"/>
                    <w:right w:w="90" w:type="dxa"/>
                  </w:tcMar>
                </w:tcPr>
                <w:p>
                  <w:pPr>
                    <w:spacing w:after="0" w:line="240" w:lineRule="auto"/>
                    <w:jc w:val="left"/>
                  </w:pPr>
                  <w:r>
                    <w:rPr>
                      <w:rFonts w:ascii="Public Sans" w:hAnsi="Public Sans"/>
                      <w:b w:val="0"/>
                      <w:i w:val="0"/>
                      <w:color w:val="5B6672"/>
                      <w:sz w:val="18"/>
                    </w:rPr>
                    <w:t>06/10/2025</w:t>
                  </w:r>
                </w:p>
              </w:tc>
              <w:tc>
                <w:tcPr>
                  <w:tcW w:type="dxa" w:w="2608"/>
                  <w:tcBorders>
                    <w:bottom w:val="single" w:sz="4" w:color="E1E6EC"/>
                  </w:tcBorders>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34 Rue Michelet</w:t>
                  </w:r>
                </w:p>
              </w:tc>
              <w:tc>
                <w:tcPr>
                  <w:tcW w:type="dxa" w:w="85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82 m²</w:t>
                  </w:r>
                </w:p>
              </w:tc>
              <w:tc>
                <w:tcPr>
                  <w:tcW w:type="dxa" w:w="1191"/>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65 500 €</w:t>
                  </w:r>
                </w:p>
              </w:tc>
              <w:tc>
                <w:tcPr>
                  <w:tcW w:type="dxa" w:w="102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799 €</w:t>
                  </w:r>
                </w:p>
              </w:tc>
              <w:tc>
                <w:tcPr>
                  <w:tcW w:type="dxa" w:w="737"/>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160 m</w:t>
                  </w:r>
                </w:p>
              </w:tc>
            </w:tr>
            <w:tr>
              <w:tc>
                <w:tcPr>
                  <w:tcW w:type="dxa" w:w="1077"/>
                  <w:tcBorders>
                    <w:bottom w:val="single" w:sz="4" w:color="E1E6EC"/>
                  </w:tcBorders>
                  <w:shd w:val="clear" w:color="auto" w:fill="F4F6FA"/>
                  <w:tcMar>
                    <w:top w:w="25" w:type="dxa"/>
                    <w:bottom w:w="25" w:type="dxa"/>
                    <w:left w:w="90" w:type="dxa"/>
                    <w:right w:w="90" w:type="dxa"/>
                  </w:tcMar>
                </w:tcPr>
                <w:p>
                  <w:pPr>
                    <w:spacing w:after="0" w:line="240" w:lineRule="auto"/>
                    <w:jc w:val="left"/>
                  </w:pPr>
                  <w:r>
                    <w:rPr>
                      <w:rFonts w:ascii="Public Sans" w:hAnsi="Public Sans"/>
                      <w:b w:val="0"/>
                      <w:i w:val="0"/>
                      <w:color w:val="5B6672"/>
                      <w:sz w:val="18"/>
                    </w:rPr>
                    <w:t>12/12/2025</w:t>
                  </w:r>
                </w:p>
              </w:tc>
              <w:tc>
                <w:tcPr>
                  <w:tcW w:type="dxa" w:w="2608"/>
                  <w:tcBorders>
                    <w:bottom w:val="single" w:sz="4" w:color="E1E6EC"/>
                  </w:tcBorders>
                  <w:shd w:val="clear" w:color="auto" w:fill="F4F6FA"/>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9 Rue Gal Foy</w:t>
                  </w:r>
                </w:p>
              </w:tc>
              <w:tc>
                <w:tcPr>
                  <w:tcW w:type="dxa" w:w="850"/>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74 m²</w:t>
                  </w:r>
                </w:p>
              </w:tc>
              <w:tc>
                <w:tcPr>
                  <w:tcW w:type="dxa" w:w="1191"/>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87 000 €</w:t>
                  </w:r>
                </w:p>
              </w:tc>
              <w:tc>
                <w:tcPr>
                  <w:tcW w:type="dxa" w:w="1020"/>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1 176 €</w:t>
                  </w:r>
                </w:p>
              </w:tc>
              <w:tc>
                <w:tcPr>
                  <w:tcW w:type="dxa" w:w="737"/>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190 m</w:t>
                  </w:r>
                </w:p>
              </w:tc>
            </w:tr>
          </w:tbl>
          <w:p/>
        </w:tc>
        <w:tc>
          <w:tcPr>
            <w:tcW w:type="dxa" w:w="6520"/>
          </w:tcPr>
          <w:p>
            <w:pPr>
              <w:spacing w:after="0"/>
              <w:jc w:val="center"/>
            </w:pPr>
            <w:r>
              <w:drawing>
                <wp:inline xmlns:a="http://schemas.openxmlformats.org/drawingml/2006/main" xmlns:pic="http://schemas.openxmlformats.org/drawingml/2006/picture">
                  <wp:extent cx="3960000" cy="3361150"/>
                  <wp:docPr id="8" name="Picture 8"/>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3960000" cy="3361150"/>
                          </a:xfrm>
                          <a:prstGeom prst="rect"/>
                        </pic:spPr>
                      </pic:pic>
                    </a:graphicData>
                  </a:graphic>
                </wp:inline>
              </w:drawing>
            </w:r>
          </w:p>
        </w:tc>
      </w:tr>
    </w:tbl>
    <w:p>
      <w:pPr>
        <w:spacing w:before="120"/>
      </w:pPr>
      <w:r>
        <w:rPr>
          <w:i/>
          <w:color w:val="969EA8"/>
          <w:sz w:val="18"/>
        </w:rPr>
        <w:t>189 ventes réelles dans l'ancien entre 01/2024 et 12/2025, dans un rayon de 500 m autour du bien, surfaces de 46 à 84 m² (fiabilité élevée). Fourchette de 80 % des ventes : 775 € à 1 848 €/m². Commune : prix médian 1 193 €/m², loyer d'annonce 9,9 €/m², rentabilité brute moyenne 9,9 %. Sources : DVF (DGFiP, data.gouv.fr), carte des loyers (ANIL). Ventes en bloc exclues.</w:t>
      </w:r>
    </w:p>
    <w:p>
      <w:pPr>
        <w:sectPr>
          <w:footerReference w:type="default" r:id="rId17"/>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9" name="Picture 9"/>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3" w:name="chapitre_03"/>
            <w:pPr>
              <w:spacing w:after="0" w:line="240" w:lineRule="auto"/>
            </w:pPr>
            <w:r>
              <w:drawing>
                <wp:inline xmlns:a="http://schemas.openxmlformats.org/drawingml/2006/main" xmlns:pic="http://schemas.openxmlformats.org/drawingml/2006/picture">
                  <wp:extent cx="223200" cy="223200"/>
                  <wp:docPr id="10" name="Picture 10"/>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Le bien et le projet</w:t>
            </w:r>
            <w:bookmarkEnd w:id="3"/>
          </w:p>
          <w:p>
            <w:pPr>
              <w:spacing w:before="20" w:after="0" w:line="240" w:lineRule="auto"/>
            </w:pPr>
            <w:r>
              <w:rPr>
                <w:rFonts w:ascii="Public Sans" w:hAnsi="Public Sans"/>
                <w:b w:val="0"/>
                <w:i w:val="0"/>
                <w:color w:val="5B6672"/>
                <w:sz w:val="20"/>
              </w:rPr>
              <w:t>Le bien, son prix et la composition du coût total de l'opération.</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EF2F7"/>
            <w:tcBorders>
              <w:top w:val="nil"/>
              <w:left w:val="single" w:sz="36" w:color="1B3358"/>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1B3358"/>
                <w:sz w:val="15"/>
              </w:rPr>
              <w:t>À RETENIR</w:t>
            </w:r>
          </w:p>
          <w:p>
            <w:pPr>
              <w:spacing w:before="20" w:after="0" w:line="240" w:lineRule="auto"/>
            </w:pPr>
            <w:r>
              <w:rPr>
                <w:rFonts w:ascii="Public Sans" w:hAnsi="Public Sans"/>
                <w:b w:val="0"/>
                <w:i w:val="0"/>
                <w:color w:val="1B3358"/>
                <w:sz w:val="23"/>
              </w:rPr>
              <w:t>Coût total de l'opération : 105 000 €, dont 29 000 € de frais, travaux et équipement (28 % du total).</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PRIX D'ACHAT</w:t>
            </w:r>
          </w:p>
          <w:p>
            <w:pPr>
              <w:spacing w:before="40" w:after="0" w:line="240" w:lineRule="auto"/>
            </w:pPr>
            <w:r>
              <w:rPr>
                <w:rFonts w:ascii="Sora SemiBold" w:hAnsi="Sora SemiBold"/>
                <w:b w:val="0"/>
                <w:i w:val="0"/>
                <w:color w:val="1B3358"/>
                <w:sz w:val="34"/>
              </w:rPr>
              <w:t>76 000 €</w:t>
            </w:r>
          </w:p>
        </w:tc>
        <w:tc>
          <w:tcPr>
            <w:tcW w:type="dxa" w:w="4932"/>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PRIX AU M²</w:t>
            </w:r>
          </w:p>
          <w:p>
            <w:pPr>
              <w:spacing w:before="40" w:after="0" w:line="240" w:lineRule="auto"/>
            </w:pPr>
            <w:r>
              <w:rPr>
                <w:rFonts w:ascii="Sora SemiBold" w:hAnsi="Sora SemiBold"/>
                <w:b w:val="0"/>
                <w:i w:val="0"/>
                <w:color w:val="1B3358"/>
                <w:sz w:val="34"/>
              </w:rPr>
              <w:t>1 169 €</w:t>
            </w:r>
          </w:p>
        </w:tc>
        <w:tc>
          <w:tcPr>
            <w:tcW w:type="dxa" w:w="4932"/>
            <w:vAlign w:val="center"/>
            <w:shd w:val="clear" w:color="auto" w:fill="EEF2F7"/>
            <w:tcBorders>
              <w:top w:val="nil"/>
              <w:left w:val="single" w:sz="24" w:color="1B3358"/>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COÛT TOTAL DE L'OPÉRATION</w:t>
            </w:r>
          </w:p>
          <w:p>
            <w:pPr>
              <w:spacing w:before="40" w:after="0" w:line="240" w:lineRule="auto"/>
            </w:pPr>
            <w:r>
              <w:rPr>
                <w:rFonts w:ascii="Sora SemiBold" w:hAnsi="Sora SemiBold"/>
                <w:b w:val="0"/>
                <w:i w:val="0"/>
                <w:color w:val="1B3358"/>
                <w:sz w:val="34"/>
              </w:rPr>
              <w:t>105 000 €</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83"/>
        <w:gridCol w:w="6520"/>
      </w:tblGrid>
      <w:tr>
        <w:tc>
          <w:tcPr>
            <w:tcW w:type="dxa" w:w="7483"/>
          </w:tcPr>
          <w:p/>
          <w:tbl>
            <w:tblPr>
              <w:tblW w:type="auto" w:w="0"/>
              <w:tblLayout w:type="fixed"/>
              <w:tblLook w:firstColumn="1" w:firstRow="1" w:lastColumn="0" w:lastRow="0" w:noHBand="0" w:noVBand="1" w:val="04A0"/>
            </w:tblPr>
            <w:tblGrid>
              <w:gridCol w:w="4644"/>
              <w:gridCol w:w="2612"/>
            </w:tblGrid>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Adresse du bien</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12 Rue Michelet 42000 Saint-Étienne</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Type de bien</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Appartement</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Surface</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65 m²</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Bien neuf / VEFA</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Non</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Prix d'achat</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76 000 €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Frais de notaire</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14 400 €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Montant des travaux</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8 000 €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Montant du mobilier</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5 000 €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Frais bancaires (garantie, dossier, courtage)</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1 600 €</w:t>
                  </w:r>
                </w:p>
              </w:tc>
            </w:tr>
            <w:tr>
              <w:tc>
                <w:tcPr>
                  <w:tcW w:type="dxa" w:w="4644"/>
                  <w:tcMar>
                    <w:top w:w="90" w:type="dxa"/>
                    <w:bottom w:w="90" w:type="dxa"/>
                    <w:left w:w="120" w:type="dxa"/>
                    <w:right w:w="120" w:type="dxa"/>
                  </w:tcMar>
                  <w:tcBorders>
                    <w:bottom w:val="single" w:sz="8" w:color="1B3358"/>
                  </w:tcBorders>
                  <w:shd w:val="clear" w:color="auto" w:fill="EEF2F7"/>
                </w:tcPr>
                <w:p>
                  <w:pPr>
                    <w:spacing w:after="0" w:line="240" w:lineRule="auto"/>
                  </w:pPr>
                  <w:r>
                    <w:rPr>
                      <w:rFonts w:ascii="Public Sans SemiBold" w:hAnsi="Public Sans SemiBold"/>
                      <w:b w:val="0"/>
                      <w:i w:val="0"/>
                      <w:color w:val="1F2833"/>
                      <w:sz w:val="21"/>
                    </w:rPr>
                    <w:t>Coût total de l'opération</w:t>
                  </w:r>
                </w:p>
              </w:tc>
              <w:tc>
                <w:tcPr>
                  <w:tcW w:type="dxa" w:w="2612"/>
                  <w:tcMar>
                    <w:top w:w="90" w:type="dxa"/>
                    <w:bottom w:w="90" w:type="dxa"/>
                    <w:left w:w="120" w:type="dxa"/>
                    <w:right w:w="120" w:type="dxa"/>
                  </w:tcMar>
                  <w:tcBorders>
                    <w:bottom w:val="single" w:sz="8" w:color="1B3358"/>
                  </w:tcBorders>
                  <w:shd w:val="clear" w:color="auto" w:fill="EEF2F7"/>
                </w:tcPr>
                <w:p>
                  <w:pPr>
                    <w:spacing w:after="0" w:line="240" w:lineRule="auto"/>
                    <w:jc w:val="right"/>
                  </w:pPr>
                  <w:r>
                    <w:rPr>
                      <w:rFonts w:ascii="Public Sans SemiBold" w:hAnsi="Public Sans SemiBold"/>
                      <w:b w:val="0"/>
                      <w:i w:val="0"/>
                      <w:color w:val="1B3358"/>
                      <w:sz w:val="23"/>
                    </w:rPr>
                    <w:t>105 000 €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Régime locatif</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Location meublée</w:t>
                  </w:r>
                </w:p>
              </w:tc>
            </w:tr>
          </w:tbl>
          <w:p/>
        </w:tc>
        <w:tc>
          <w:tcPr>
            <w:tcW w:type="dxa" w:w="6520"/>
          </w:tcPr>
          <w:p>
            <w:pPr>
              <w:spacing w:after="0"/>
              <w:jc w:val="center"/>
            </w:pPr>
            <w:r>
              <w:drawing>
                <wp:inline xmlns:a="http://schemas.openxmlformats.org/drawingml/2006/main" xmlns:pic="http://schemas.openxmlformats.org/drawingml/2006/picture">
                  <wp:extent cx="2186930" cy="3743999"/>
                  <wp:docPr id="11" name="Picture 11"/>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2186930" cy="3743999"/>
                          </a:xfrm>
                          <a:prstGeom prst="rect"/>
                        </pic:spPr>
                      </pic:pic>
                    </a:graphicData>
                  </a:graphic>
                </wp:inline>
              </w:drawing>
            </w:r>
          </w:p>
        </w:tc>
      </w:tr>
    </w:tbl>
    <w:p>
      <w:pPr>
        <w:sectPr>
          <w:footerReference w:type="default" r:id="rId21"/>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12" name="Picture 12"/>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4" w:name="chapitre_04"/>
            <w:pPr>
              <w:spacing w:after="0" w:line="240" w:lineRule="auto"/>
            </w:pPr>
            <w:r>
              <w:drawing>
                <wp:inline xmlns:a="http://schemas.openxmlformats.org/drawingml/2006/main" xmlns:pic="http://schemas.openxmlformats.org/drawingml/2006/picture">
                  <wp:extent cx="223200" cy="223200"/>
                  <wp:docPr id="13" name="Picture 13"/>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Recettes et charges annuelles</w:t>
            </w:r>
            <w:bookmarkEnd w:id="4"/>
          </w:p>
          <w:p>
            <w:pPr>
              <w:spacing w:before="20" w:after="0" w:line="240" w:lineRule="auto"/>
            </w:pPr>
            <w:r>
              <w:rPr>
                <w:rFonts w:ascii="Public Sans" w:hAnsi="Public Sans"/>
                <w:b w:val="0"/>
                <w:i w:val="0"/>
                <w:color w:val="5B6672"/>
                <w:sz w:val="20"/>
              </w:rPr>
              <w:t>Ce que rapporte le bien et ce qu'il coûte chaque année.</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FBF3E6"/>
            <w:tcBorders>
              <w:top w:val="nil"/>
              <w:left w:val="single" w:sz="36" w:color="B7791F"/>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B7791F"/>
                <w:sz w:val="15"/>
              </w:rPr>
              <w:t>À RETENIR</w:t>
            </w:r>
          </w:p>
          <w:p>
            <w:pPr>
              <w:spacing w:before="20" w:after="0" w:line="240" w:lineRule="auto"/>
            </w:pPr>
            <w:r>
              <w:rPr>
                <w:rFonts w:ascii="Public Sans" w:hAnsi="Public Sans"/>
                <w:b w:val="0"/>
                <w:i w:val="0"/>
                <w:color w:val="B7791F"/>
                <w:sz w:val="23"/>
              </w:rPr>
              <w:t>Les charges hors crédit représentent 31 % des loyers : un niveau à surveiller.</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RECETTES LOCATIVES (ANNÉE 1)</w:t>
            </w:r>
          </w:p>
          <w:p>
            <w:pPr>
              <w:spacing w:before="40" w:after="0" w:line="240" w:lineRule="auto"/>
            </w:pPr>
            <w:r>
              <w:rPr>
                <w:rFonts w:ascii="Sora SemiBold" w:hAnsi="Sora SemiBold"/>
                <w:b w:val="0"/>
                <w:i w:val="0"/>
                <w:color w:val="1B3358"/>
                <w:sz w:val="34"/>
              </w:rPr>
              <w:t>8 094 €</w:t>
            </w:r>
          </w:p>
        </w:tc>
        <w:tc>
          <w:tcPr>
            <w:tcW w:type="dxa" w:w="4932"/>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CHARGES HORS CRÉDIT (ANNÉE 1)</w:t>
            </w:r>
          </w:p>
          <w:p>
            <w:pPr>
              <w:spacing w:before="40" w:after="0" w:line="240" w:lineRule="auto"/>
            </w:pPr>
            <w:r>
              <w:rPr>
                <w:rFonts w:ascii="Sora SemiBold" w:hAnsi="Sora SemiBold"/>
                <w:b w:val="0"/>
                <w:i w:val="0"/>
                <w:color w:val="1B3358"/>
                <w:sz w:val="34"/>
              </w:rPr>
              <w:t>2 500 €</w:t>
            </w:r>
          </w:p>
        </w:tc>
        <w:tc>
          <w:tcPr>
            <w:tcW w:type="dxa" w:w="4932"/>
            <w:vAlign w:val="center"/>
            <w:shd w:val="clear" w:color="auto" w:fill="EEF2F7"/>
            <w:tcBorders>
              <w:top w:val="nil"/>
              <w:left w:val="single" w:sz="24" w:color="2D6A4F"/>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CASH-FLOW AVANT IMPÔT (ANNÉE 1)</w:t>
            </w:r>
          </w:p>
          <w:p>
            <w:pPr>
              <w:spacing w:before="40" w:after="0" w:line="240" w:lineRule="auto"/>
            </w:pPr>
            <w:r>
              <w:rPr>
                <w:rFonts w:ascii="Sora SemiBold" w:hAnsi="Sora SemiBold"/>
                <w:b w:val="0"/>
                <w:i w:val="0"/>
                <w:color w:val="2D6A4F"/>
                <w:sz w:val="34"/>
              </w:rPr>
              <w:t>548 €</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220"/>
        <w:gridCol w:w="6576"/>
      </w:tblGrid>
      <w:tr>
        <w:tc>
          <w:tcPr>
            <w:tcW w:type="dxa" w:w="8220"/>
          </w:tcPr>
          <w:p/>
          <w:tbl>
            <w:tblPr>
              <w:tblW w:type="auto" w:w="0"/>
              <w:tblLayout w:type="fixed"/>
              <w:tblLook w:firstColumn="1" w:firstRow="1" w:lastColumn="0" w:lastRow="0" w:noHBand="0" w:noVBand="1" w:val="04A0"/>
            </w:tblPr>
            <w:tblGrid>
              <w:gridCol w:w="5116"/>
              <w:gridCol w:w="2878"/>
            </w:tblGrid>
            <w:tr>
              <w:tc>
                <w:tcPr>
                  <w:tcW w:type="dxa" w:w="5116"/>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Loyer mensuel hors charges</w:t>
                  </w:r>
                </w:p>
              </w:tc>
              <w:tc>
                <w:tcPr>
                  <w:tcW w:type="dxa" w:w="2878"/>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710 €</w:t>
                  </w:r>
                </w:p>
              </w:tc>
            </w:tr>
            <w:tr>
              <w:tc>
                <w:tcPr>
                  <w:tcW w:type="dxa" w:w="5116"/>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Vacance locative retenue</w:t>
                  </w:r>
                </w:p>
              </w:tc>
              <w:tc>
                <w:tcPr>
                  <w:tcW w:type="dxa" w:w="2878"/>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5,0 %</w:t>
                  </w:r>
                </w:p>
              </w:tc>
            </w:tr>
            <w:tr>
              <w:tc>
                <w:tcPr>
                  <w:tcW w:type="dxa" w:w="5116"/>
                  <w:tcMar>
                    <w:top w:w="90" w:type="dxa"/>
                    <w:bottom w:w="90" w:type="dxa"/>
                    <w:left w:w="120" w:type="dxa"/>
                    <w:right w:w="120" w:type="dxa"/>
                  </w:tcMar>
                  <w:tcBorders>
                    <w:bottom w:val="single" w:sz="8" w:color="1B3358"/>
                  </w:tcBorders>
                  <w:shd w:val="clear" w:color="auto" w:fill="EEF2F7"/>
                </w:tcPr>
                <w:p>
                  <w:pPr>
                    <w:spacing w:after="0" w:line="240" w:lineRule="auto"/>
                  </w:pPr>
                  <w:r>
                    <w:rPr>
                      <w:rFonts w:ascii="Public Sans SemiBold" w:hAnsi="Public Sans SemiBold"/>
                      <w:b w:val="0"/>
                      <w:i w:val="0"/>
                      <w:color w:val="1F2833"/>
                      <w:sz w:val="21"/>
                    </w:rPr>
                    <w:t>Recettes locatives brutes (année 1)</w:t>
                  </w:r>
                </w:p>
              </w:tc>
              <w:tc>
                <w:tcPr>
                  <w:tcW w:type="dxa" w:w="2878"/>
                  <w:tcMar>
                    <w:top w:w="90" w:type="dxa"/>
                    <w:bottom w:w="90" w:type="dxa"/>
                    <w:left w:w="120" w:type="dxa"/>
                    <w:right w:w="120" w:type="dxa"/>
                  </w:tcMar>
                  <w:tcBorders>
                    <w:bottom w:val="single" w:sz="8" w:color="1B3358"/>
                  </w:tcBorders>
                  <w:shd w:val="clear" w:color="auto" w:fill="EEF2F7"/>
                </w:tcPr>
                <w:p>
                  <w:pPr>
                    <w:spacing w:after="0" w:line="240" w:lineRule="auto"/>
                    <w:jc w:val="right"/>
                  </w:pPr>
                  <w:r>
                    <w:rPr>
                      <w:rFonts w:ascii="Public Sans SemiBold" w:hAnsi="Public Sans SemiBold"/>
                      <w:b w:val="0"/>
                      <w:i w:val="0"/>
                      <w:color w:val="1B3358"/>
                      <w:sz w:val="23"/>
                    </w:rPr>
                    <w:t>8 094 €</w:t>
                  </w:r>
                </w:p>
              </w:tc>
            </w:tr>
            <w:tr>
              <w:tc>
                <w:tcPr>
                  <w:tcW w:type="dxa" w:w="5116"/>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Charges de copropriété</w:t>
                  </w:r>
                </w:p>
              </w:tc>
              <w:tc>
                <w:tcPr>
                  <w:tcW w:type="dxa" w:w="2878"/>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800 €</w:t>
                  </w:r>
                </w:p>
              </w:tc>
            </w:tr>
            <w:tr>
              <w:tc>
                <w:tcPr>
                  <w:tcW w:type="dxa" w:w="5116"/>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Taxe foncière</w:t>
                  </w:r>
                </w:p>
              </w:tc>
              <w:tc>
                <w:tcPr>
                  <w:tcW w:type="dxa" w:w="2878"/>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850 €</w:t>
                  </w:r>
                </w:p>
              </w:tc>
            </w:tr>
            <w:tr>
              <w:tc>
                <w:tcPr>
                  <w:tcW w:type="dxa" w:w="5116"/>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Assurance PNO</w:t>
                  </w:r>
                </w:p>
              </w:tc>
              <w:tc>
                <w:tcPr>
                  <w:tcW w:type="dxa" w:w="2878"/>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150 €</w:t>
                  </w:r>
                </w:p>
              </w:tc>
            </w:tr>
            <w:tr>
              <w:tc>
                <w:tcPr>
                  <w:tcW w:type="dxa" w:w="5116"/>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Entretien annuel</w:t>
                  </w:r>
                </w:p>
              </w:tc>
              <w:tc>
                <w:tcPr>
                  <w:tcW w:type="dxa" w:w="2878"/>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300 €</w:t>
                  </w:r>
                </w:p>
              </w:tc>
            </w:tr>
            <w:tr>
              <w:tc>
                <w:tcPr>
                  <w:tcW w:type="dxa" w:w="5116"/>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Frais de gestion locative</w:t>
                  </w:r>
                </w:p>
              </w:tc>
              <w:tc>
                <w:tcPr>
                  <w:tcW w:type="dxa" w:w="2878"/>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0 € (0,0 %)</w:t>
                  </w:r>
                </w:p>
              </w:tc>
            </w:tr>
            <w:tr>
              <w:tc>
                <w:tcPr>
                  <w:tcW w:type="dxa" w:w="5116"/>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Frais comptable annuel</w:t>
                  </w:r>
                </w:p>
              </w:tc>
              <w:tc>
                <w:tcPr>
                  <w:tcW w:type="dxa" w:w="2878"/>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400 €</w:t>
                  </w:r>
                </w:p>
              </w:tc>
            </w:tr>
            <w:tr>
              <w:tc>
                <w:tcPr>
                  <w:tcW w:type="dxa" w:w="5116"/>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CFE (due à partir de la 2e année)</w:t>
                  </w:r>
                </w:p>
              </w:tc>
              <w:tc>
                <w:tcPr>
                  <w:tcW w:type="dxa" w:w="2878"/>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300 €</w:t>
                  </w:r>
                </w:p>
              </w:tc>
            </w:tr>
            <w:tr>
              <w:tc>
                <w:tcPr>
                  <w:tcW w:type="dxa" w:w="5116"/>
                  <w:tcMar>
                    <w:top w:w="90" w:type="dxa"/>
                    <w:bottom w:w="90" w:type="dxa"/>
                    <w:left w:w="120" w:type="dxa"/>
                    <w:right w:w="120" w:type="dxa"/>
                  </w:tcMar>
                  <w:tcBorders>
                    <w:bottom w:val="single" w:sz="8" w:color="1B3358"/>
                  </w:tcBorders>
                  <w:shd w:val="clear" w:color="auto" w:fill="EEF2F7"/>
                </w:tcPr>
                <w:p>
                  <w:pPr>
                    <w:spacing w:after="0" w:line="240" w:lineRule="auto"/>
                  </w:pPr>
                  <w:r>
                    <w:rPr>
                      <w:rFonts w:ascii="Public Sans SemiBold" w:hAnsi="Public Sans SemiBold"/>
                      <w:b w:val="0"/>
                      <w:i w:val="0"/>
                      <w:color w:val="1F2833"/>
                      <w:sz w:val="21"/>
                    </w:rPr>
                    <w:t>Total des charges hors crédit (année 1)</w:t>
                  </w:r>
                </w:p>
              </w:tc>
              <w:tc>
                <w:tcPr>
                  <w:tcW w:type="dxa" w:w="2878"/>
                  <w:tcMar>
                    <w:top w:w="90" w:type="dxa"/>
                    <w:bottom w:w="90" w:type="dxa"/>
                    <w:left w:w="120" w:type="dxa"/>
                    <w:right w:w="120" w:type="dxa"/>
                  </w:tcMar>
                  <w:tcBorders>
                    <w:bottom w:val="single" w:sz="8" w:color="1B3358"/>
                  </w:tcBorders>
                  <w:shd w:val="clear" w:color="auto" w:fill="EEF2F7"/>
                </w:tcPr>
                <w:p>
                  <w:pPr>
                    <w:spacing w:after="0" w:line="240" w:lineRule="auto"/>
                    <w:jc w:val="right"/>
                  </w:pPr>
                  <w:r>
                    <w:rPr>
                      <w:rFonts w:ascii="Public Sans SemiBold" w:hAnsi="Public Sans SemiBold"/>
                      <w:b w:val="0"/>
                      <w:i w:val="0"/>
                      <w:color w:val="1B3358"/>
                      <w:sz w:val="23"/>
                    </w:rPr>
                    <w:t>2 500 €</w:t>
                  </w:r>
                </w:p>
              </w:tc>
            </w:tr>
            <w:tr>
              <w:tc>
                <w:tcPr>
                  <w:tcW w:type="dxa" w:w="5116"/>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Hausse annuelle des charges retenue</w:t>
                  </w:r>
                </w:p>
              </w:tc>
              <w:tc>
                <w:tcPr>
                  <w:tcW w:type="dxa" w:w="2878"/>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2,0 %</w:t>
                  </w:r>
                </w:p>
              </w:tc>
            </w:tr>
          </w:tbl>
          <w:p/>
        </w:tc>
        <w:tc>
          <w:tcPr>
            <w:tcW w:type="dxa" w:w="6576"/>
          </w:tcPr>
          <w:p>
            <w:pPr>
              <w:spacing w:after="0"/>
              <w:jc w:val="center"/>
            </w:pPr>
            <w:r>
              <w:drawing>
                <wp:inline xmlns:a="http://schemas.openxmlformats.org/drawingml/2006/main" xmlns:pic="http://schemas.openxmlformats.org/drawingml/2006/picture">
                  <wp:extent cx="3996000" cy="2465177"/>
                  <wp:docPr id="14" name="Picture 14"/>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3996000" cy="2465177"/>
                          </a:xfrm>
                          <a:prstGeom prst="rect"/>
                        </pic:spPr>
                      </pic:pic>
                    </a:graphicData>
                  </a:graphic>
                </wp:inline>
              </w:drawing>
            </w:r>
          </w:p>
        </w:tc>
      </w:tr>
    </w:tbl>
    <w:p>
      <w:pPr>
        <w:sectPr>
          <w:footerReference w:type="default" r:id="rId25"/>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15" name="Picture 15"/>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5" w:name="chapitre_05"/>
            <w:pPr>
              <w:spacing w:after="0" w:line="240" w:lineRule="auto"/>
            </w:pPr>
            <w:r>
              <w:drawing>
                <wp:inline xmlns:a="http://schemas.openxmlformats.org/drawingml/2006/main" xmlns:pic="http://schemas.openxmlformats.org/drawingml/2006/picture">
                  <wp:extent cx="223200" cy="223200"/>
                  <wp:docPr id="16" name="Picture 16"/>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Où va le loyer chaque mois</w:t>
            </w:r>
            <w:bookmarkEnd w:id="5"/>
          </w:p>
          <w:p>
            <w:pPr>
              <w:spacing w:before="20" w:after="0" w:line="240" w:lineRule="auto"/>
            </w:pPr>
            <w:r>
              <w:rPr>
                <w:rFonts w:ascii="Public Sans" w:hAnsi="Public Sans"/>
                <w:b w:val="0"/>
                <w:i w:val="0"/>
                <w:color w:val="5B6672"/>
                <w:sz w:val="20"/>
              </w:rPr>
              <w:t>Du loyer encaissé au cash-flow net : charges, crédit et impôts, mois par mois.</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9F2ED"/>
            <w:tcBorders>
              <w:top w:val="nil"/>
              <w:left w:val="single" w:sz="36" w:color="2D6A4F"/>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2D6A4F"/>
                <w:sz w:val="15"/>
              </w:rPr>
              <w:t>À RETENIR</w:t>
            </w:r>
          </w:p>
          <w:p>
            <w:pPr>
              <w:spacing w:before="20" w:after="0" w:line="240" w:lineRule="auto"/>
            </w:pPr>
            <w:r>
              <w:rPr>
                <w:rFonts w:ascii="Public Sans" w:hAnsi="Public Sans"/>
                <w:b w:val="0"/>
                <w:i w:val="0"/>
                <w:color w:val="2D6A4F"/>
                <w:sz w:val="23"/>
              </w:rPr>
              <w:t>Le loyer couvre toutes les dépenses du bien et dégage 46 € par mois.</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LOYERS ENCAISSÉS / MOIS</w:t>
            </w:r>
          </w:p>
          <w:p>
            <w:pPr>
              <w:spacing w:before="40" w:after="0" w:line="240" w:lineRule="auto"/>
            </w:pPr>
            <w:r>
              <w:rPr>
                <w:rFonts w:ascii="Sora SemiBold" w:hAnsi="Sora SemiBold"/>
                <w:b w:val="0"/>
                <w:i w:val="0"/>
                <w:color w:val="1B3358"/>
                <w:sz w:val="34"/>
              </w:rPr>
              <w:t>674 €</w:t>
            </w:r>
          </w:p>
        </w:tc>
        <w:tc>
          <w:tcPr>
            <w:tcW w:type="dxa" w:w="4932"/>
            <w:vAlign w:val="center"/>
            <w:shd w:val="clear" w:color="auto" w:fill="EEF2F7"/>
            <w:tcBorders>
              <w:top w:val="nil"/>
              <w:left w:val="single" w:sz="24" w:color="2D6A4F"/>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CASH-FLOW NET / MOIS</w:t>
            </w:r>
          </w:p>
          <w:p>
            <w:pPr>
              <w:spacing w:before="40" w:after="0" w:line="240" w:lineRule="auto"/>
            </w:pPr>
            <w:r>
              <w:rPr>
                <w:rFonts w:ascii="Sora SemiBold" w:hAnsi="Sora SemiBold"/>
                <w:b w:val="0"/>
                <w:i w:val="0"/>
                <w:color w:val="2D6A4F"/>
                <w:sz w:val="34"/>
              </w:rPr>
              <w:t>46 €</w:t>
            </w:r>
          </w:p>
        </w:tc>
        <w:tc>
          <w:tcPr>
            <w:tcW w:type="dxa" w:w="4932"/>
            <w:vAlign w:val="center"/>
            <w:shd w:val="clear" w:color="auto" w:fill="EEF2F7"/>
            <w:tcBorders>
              <w:top w:val="nil"/>
              <w:left w:val="single" w:sz="24" w:color="2D6A4F"/>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EFFORT D'ÉPARGNE / MOIS</w:t>
            </w:r>
          </w:p>
          <w:p>
            <w:pPr>
              <w:spacing w:before="40" w:after="0" w:line="240" w:lineRule="auto"/>
            </w:pPr>
            <w:r>
              <w:rPr>
                <w:rFonts w:ascii="Sora SemiBold" w:hAnsi="Sora SemiBold"/>
                <w:b w:val="0"/>
                <w:i w:val="0"/>
                <w:color w:val="2D6A4F"/>
                <w:sz w:val="34"/>
              </w:rPr>
              <w:t>Aucun</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83"/>
        <w:gridCol w:w="6520"/>
      </w:tblGrid>
      <w:tr>
        <w:tc>
          <w:tcPr>
            <w:tcW w:type="dxa" w:w="7483"/>
          </w:tcPr>
          <w:p/>
          <w:tbl>
            <w:tblPr>
              <w:tblW w:type="auto" w:w="0"/>
              <w:tblLayout w:type="fixed"/>
              <w:tblLook w:firstColumn="1" w:firstRow="1" w:lastColumn="0" w:lastRow="0" w:noHBand="0" w:noVBand="1" w:val="04A0"/>
            </w:tblPr>
            <w:tblGrid>
              <w:gridCol w:w="4644"/>
              <w:gridCol w:w="2612"/>
            </w:tblGrid>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Loyers encaissés</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+674 €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Charges</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B23A32"/>
                      <w:sz w:val="22"/>
                    </w:rPr>
                    <w:t>-208 €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Crédit</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B23A32"/>
                      <w:sz w:val="22"/>
                    </w:rPr>
                    <w:t>-420 €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Impôts</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+0 €</w:t>
                  </w:r>
                </w:p>
              </w:tc>
            </w:tr>
            <w:tr>
              <w:tc>
                <w:tcPr>
                  <w:tcW w:type="dxa" w:w="4644"/>
                  <w:tcMar>
                    <w:top w:w="90" w:type="dxa"/>
                    <w:bottom w:w="90" w:type="dxa"/>
                    <w:left w:w="120" w:type="dxa"/>
                    <w:right w:w="120" w:type="dxa"/>
                  </w:tcMar>
                  <w:tcBorders>
                    <w:bottom w:val="single" w:sz="8" w:color="1B3358"/>
                  </w:tcBorders>
                  <w:shd w:val="clear" w:color="auto" w:fill="EEF2F7"/>
                </w:tcPr>
                <w:p>
                  <w:pPr>
                    <w:spacing w:after="0" w:line="240" w:lineRule="auto"/>
                  </w:pPr>
                  <w:r>
                    <w:rPr>
                      <w:rFonts w:ascii="Public Sans SemiBold" w:hAnsi="Public Sans SemiBold"/>
                      <w:b w:val="0"/>
                      <w:i w:val="0"/>
                      <w:color w:val="1F2833"/>
                      <w:sz w:val="21"/>
                    </w:rPr>
                    <w:t>Cash-flow net mensuel</w:t>
                  </w:r>
                </w:p>
              </w:tc>
              <w:tc>
                <w:tcPr>
                  <w:tcW w:type="dxa" w:w="2612"/>
                  <w:tcMar>
                    <w:top w:w="90" w:type="dxa"/>
                    <w:bottom w:w="90" w:type="dxa"/>
                    <w:left w:w="120" w:type="dxa"/>
                    <w:right w:w="120" w:type="dxa"/>
                  </w:tcMar>
                  <w:tcBorders>
                    <w:bottom w:val="single" w:sz="8" w:color="1B3358"/>
                  </w:tcBorders>
                  <w:shd w:val="clear" w:color="auto" w:fill="EEF2F7"/>
                </w:tcPr>
                <w:p>
                  <w:pPr>
                    <w:spacing w:after="0" w:line="240" w:lineRule="auto"/>
                    <w:jc w:val="right"/>
                  </w:pPr>
                  <w:r>
                    <w:rPr>
                      <w:rFonts w:ascii="Public Sans SemiBold" w:hAnsi="Public Sans SemiBold"/>
                      <w:b w:val="0"/>
                      <w:i w:val="0"/>
                      <w:color w:val="1B3358"/>
                      <w:sz w:val="23"/>
                    </w:rPr>
                    <w:t>46 €</w:t>
                  </w:r>
                </w:p>
              </w:tc>
            </w:tr>
          </w:tbl>
          <w:p/>
        </w:tc>
        <w:tc>
          <w:tcPr>
            <w:tcW w:type="dxa" w:w="6520"/>
          </w:tcPr>
          <w:p>
            <w:pPr>
              <w:spacing w:after="0"/>
              <w:jc w:val="center"/>
            </w:pPr>
            <w:r>
              <w:drawing>
                <wp:inline xmlns:a="http://schemas.openxmlformats.org/drawingml/2006/main" xmlns:pic="http://schemas.openxmlformats.org/drawingml/2006/picture">
                  <wp:extent cx="3960000" cy="3125913"/>
                  <wp:docPr id="17" name="Picture 17"/>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3960000" cy="3125913"/>
                          </a:xfrm>
                          <a:prstGeom prst="rect"/>
                        </pic:spPr>
                      </pic:pic>
                    </a:graphicData>
                  </a:graphic>
                </wp:inline>
              </w:drawing>
            </w:r>
          </w:p>
        </w:tc>
      </w:tr>
    </w:tbl>
    <w:p>
      <w:pPr>
        <w:spacing w:before="120"/>
      </w:pPr>
      <w:r>
        <w:rPr>
          <w:i/>
          <w:color w:val="969EA8"/>
          <w:sz w:val="18"/>
        </w:rPr>
        <w:t>Moyenne mensuelle de la première année, régime LMNP au réel. Les charges comprennent copropriété, taxe foncière, assurances, entretien et frais de gestion.</w:t>
      </w:r>
    </w:p>
    <w:p>
      <w:pPr>
        <w:sectPr>
          <w:footerReference w:type="default" r:id="rId29"/>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18" name="Picture 18"/>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6" w:name="chapitre_06"/>
            <w:pPr>
              <w:spacing w:after="0" w:line="240" w:lineRule="auto"/>
            </w:pPr>
            <w:r>
              <w:drawing>
                <wp:inline xmlns:a="http://schemas.openxmlformats.org/drawingml/2006/main" xmlns:pic="http://schemas.openxmlformats.org/drawingml/2006/picture">
                  <wp:extent cx="223200" cy="223200"/>
                  <wp:docPr id="19" name="Picture 19"/>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Évolution du patrimoine</w:t>
            </w:r>
            <w:bookmarkEnd w:id="6"/>
          </w:p>
          <w:p>
            <w:pPr>
              <w:spacing w:before="20" w:after="0" w:line="240" w:lineRule="auto"/>
            </w:pPr>
            <w:r>
              <w:rPr>
                <w:rFonts w:ascii="Public Sans" w:hAnsi="Public Sans"/>
                <w:b w:val="0"/>
                <w:i w:val="0"/>
                <w:color w:val="5B6672"/>
                <w:sz w:val="20"/>
              </w:rPr>
              <w:t>Comment le patrimoine se construit au fil du remboursement du crédit.</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9F2ED"/>
            <w:tcBorders>
              <w:top w:val="nil"/>
              <w:left w:val="single" w:sz="36" w:color="2D6A4F"/>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2D6A4F"/>
                <w:sz w:val="15"/>
              </w:rPr>
              <w:t>À RETENIR</w:t>
            </w:r>
          </w:p>
          <w:p>
            <w:pPr>
              <w:spacing w:before="20" w:after="0" w:line="240" w:lineRule="auto"/>
            </w:pPr>
            <w:r>
              <w:rPr>
                <w:rFonts w:ascii="Public Sans" w:hAnsi="Public Sans"/>
                <w:b w:val="0"/>
                <w:i w:val="0"/>
                <w:color w:val="2D6A4F"/>
                <w:sz w:val="23"/>
              </w:rPr>
              <w:t>En 20 ans, l'opération enrichit l'investisseur de 46 082 € (revente nette, impôts et apport déduits).</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EF2F7"/>
            <w:tcBorders>
              <w:top w:val="nil"/>
              <w:left w:val="single" w:sz="24" w:color="2D6A4F"/>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PATRIMOINE NET — ANNÉE 20</w:t>
            </w:r>
          </w:p>
          <w:p>
            <w:pPr>
              <w:spacing w:before="40" w:after="0" w:line="240" w:lineRule="auto"/>
            </w:pPr>
            <w:r>
              <w:rPr>
                <w:rFonts w:ascii="Sora SemiBold" w:hAnsi="Sora SemiBold"/>
                <w:b w:val="0"/>
                <w:i w:val="0"/>
                <w:color w:val="2D6A4F"/>
                <w:sz w:val="34"/>
              </w:rPr>
              <w:t>55 288 €</w:t>
            </w:r>
          </w:p>
        </w:tc>
        <w:tc>
          <w:tcPr>
            <w:tcW w:type="dxa" w:w="4932"/>
            <w:vAlign w:val="center"/>
            <w:shd w:val="clear" w:color="auto" w:fill="EEF2F7"/>
            <w:tcBorders>
              <w:top w:val="nil"/>
              <w:left w:val="single" w:sz="24" w:color="2D6A4F"/>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ENRICHISSEMENT NET APRÈS REVENTE</w:t>
            </w:r>
          </w:p>
          <w:p>
            <w:pPr>
              <w:spacing w:before="40" w:after="0" w:line="240" w:lineRule="auto"/>
            </w:pPr>
            <w:r>
              <w:rPr>
                <w:rFonts w:ascii="Sora SemiBold" w:hAnsi="Sora SemiBold"/>
                <w:b w:val="0"/>
                <w:i w:val="0"/>
                <w:color w:val="2D6A4F"/>
                <w:sz w:val="34"/>
              </w:rPr>
              <w:t>46 082 €</w:t>
            </w:r>
          </w:p>
        </w:tc>
        <w:tc>
          <w:tcPr>
            <w:tcW w:type="dxa" w:w="4932"/>
            <w:vAlign w:val="center"/>
            <w:shd w:val="clear" w:color="auto" w:fill="EEF2F7"/>
            <w:tcBorders>
              <w:top w:val="nil"/>
              <w:left w:val="single" w:sz="24" w:color="1B3358"/>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VALEUR ESTIMÉE DU BIEN — ANNÉE 20</w:t>
            </w:r>
          </w:p>
          <w:p>
            <w:pPr>
              <w:spacing w:before="40" w:after="0" w:line="240" w:lineRule="auto"/>
            </w:pPr>
            <w:r>
              <w:rPr>
                <w:rFonts w:ascii="Sora SemiBold" w:hAnsi="Sora SemiBold"/>
                <w:b w:val="0"/>
                <w:i w:val="0"/>
                <w:color w:val="1B3358"/>
                <w:sz w:val="34"/>
              </w:rPr>
              <w:t>92 734 €</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83"/>
        <w:gridCol w:w="6520"/>
      </w:tblGrid>
      <w:tr>
        <w:tc>
          <w:tcPr>
            <w:tcW w:type="dxa" w:w="7483"/>
          </w:tcPr>
          <w:p/>
          <w:tbl>
            <w:tblPr>
              <w:tblW w:type="auto" w:w="0"/>
              <w:tblLayout w:type="fixed"/>
              <w:tblLook w:firstColumn="1" w:firstRow="1" w:lastColumn="0" w:lastRow="0" w:noHBand="0" w:noVBand="1" w:val="04A0"/>
            </w:tblPr>
            <w:tblGrid>
              <w:gridCol w:w="4644"/>
              <w:gridCol w:w="2612"/>
            </w:tblGrid>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Patrimoine net — année 1</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B23A32"/>
                      <w:sz w:val="22"/>
                    </w:rPr>
                    <w:t>-25 654 €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Patrimoine net — année 5</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B23A32"/>
                      <w:sz w:val="22"/>
                    </w:rPr>
                    <w:t>-12 393 €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Patrimoine net — année 10</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6 790 €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Patrimoine net — année 15</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29 209 €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Patrimoine net — année 20</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55 288 €</w:t>
                  </w:r>
                </w:p>
              </w:tc>
            </w:tr>
            <w:tr>
              <w:tc>
                <w:tcPr>
                  <w:tcW w:type="dxa" w:w="4644"/>
                  <w:tcMar>
                    <w:top w:w="90" w:type="dxa"/>
                    <w:bottom w:w="90" w:type="dxa"/>
                    <w:left w:w="120" w:type="dxa"/>
                    <w:right w:w="120" w:type="dxa"/>
                  </w:tcMar>
                  <w:tcBorders>
                    <w:bottom w:val="single" w:sz="8" w:color="1B3358"/>
                  </w:tcBorders>
                  <w:shd w:val="clear" w:color="auto" w:fill="EEF2F7"/>
                </w:tcPr>
                <w:p>
                  <w:pPr>
                    <w:spacing w:after="0" w:line="240" w:lineRule="auto"/>
                  </w:pPr>
                  <w:r>
                    <w:rPr>
                      <w:rFonts w:ascii="Public Sans SemiBold" w:hAnsi="Public Sans SemiBold"/>
                      <w:b w:val="0"/>
                      <w:i w:val="0"/>
                      <w:color w:val="1F2833"/>
                      <w:sz w:val="21"/>
                    </w:rPr>
                    <w:t>Enrichissement net après revente (20 ans)</w:t>
                  </w:r>
                </w:p>
              </w:tc>
              <w:tc>
                <w:tcPr>
                  <w:tcW w:type="dxa" w:w="2612"/>
                  <w:tcMar>
                    <w:top w:w="90" w:type="dxa"/>
                    <w:bottom w:w="90" w:type="dxa"/>
                    <w:left w:w="120" w:type="dxa"/>
                    <w:right w:w="120" w:type="dxa"/>
                  </w:tcMar>
                  <w:tcBorders>
                    <w:bottom w:val="single" w:sz="8" w:color="1B3358"/>
                  </w:tcBorders>
                  <w:shd w:val="clear" w:color="auto" w:fill="EEF2F7"/>
                </w:tcPr>
                <w:p>
                  <w:pPr>
                    <w:spacing w:after="0" w:line="240" w:lineRule="auto"/>
                    <w:jc w:val="right"/>
                  </w:pPr>
                  <w:r>
                    <w:rPr>
                      <w:rFonts w:ascii="Public Sans SemiBold" w:hAnsi="Public Sans SemiBold"/>
                      <w:b w:val="0"/>
                      <w:i w:val="0"/>
                      <w:color w:val="1B3358"/>
                      <w:sz w:val="23"/>
                    </w:rPr>
                    <w:t>46 082 €</w:t>
                  </w:r>
                </w:p>
              </w:tc>
            </w:tr>
          </w:tbl>
          <w:p/>
        </w:tc>
        <w:tc>
          <w:tcPr>
            <w:tcW w:type="dxa" w:w="6520"/>
          </w:tcPr>
          <w:p>
            <w:pPr>
              <w:spacing w:after="0"/>
              <w:jc w:val="center"/>
            </w:pPr>
            <w:r>
              <w:drawing>
                <wp:inline xmlns:a="http://schemas.openxmlformats.org/drawingml/2006/main" xmlns:pic="http://schemas.openxmlformats.org/drawingml/2006/picture">
                  <wp:extent cx="3960000" cy="3139557"/>
                  <wp:docPr id="20" name="Picture 20"/>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3960000" cy="3139557"/>
                          </a:xfrm>
                          <a:prstGeom prst="rect"/>
                        </pic:spPr>
                      </pic:pic>
                    </a:graphicData>
                  </a:graphic>
                </wp:inline>
              </w:drawing>
            </w:r>
          </w:p>
        </w:tc>
      </w:tr>
    </w:tbl>
    <w:p>
      <w:pPr>
        <w:spacing w:before="120"/>
      </w:pPr>
      <w:r>
        <w:rPr>
          <w:i/>
          <w:color w:val="969EA8"/>
          <w:sz w:val="18"/>
        </w:rPr>
        <w:t>Patrimoine net = valeur du bien − capital restant dû + cash-flows cumulés − apport, avant impôt de revente. L'enrichissement net après revente tient compte de l'impôt sur la plus-value.</w:t>
      </w:r>
    </w:p>
    <w:p>
      <w:pPr>
        <w:sectPr>
          <w:footerReference w:type="default" r:id="rId33"/>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21" name="Picture 21"/>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7" w:name="chapitre_07"/>
            <w:pPr>
              <w:spacing w:after="0" w:line="240" w:lineRule="auto"/>
            </w:pPr>
            <w:r>
              <w:drawing>
                <wp:inline xmlns:a="http://schemas.openxmlformats.org/drawingml/2006/main" xmlns:pic="http://schemas.openxmlformats.org/drawingml/2006/picture">
                  <wp:extent cx="223200" cy="223200"/>
                  <wp:docPr id="22" name="Picture 22"/>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Plan de financement</w:t>
            </w:r>
            <w:bookmarkEnd w:id="7"/>
          </w:p>
          <w:p>
            <w:pPr>
              <w:spacing w:before="20" w:after="0" w:line="240" w:lineRule="auto"/>
            </w:pPr>
            <w:r>
              <w:rPr>
                <w:rFonts w:ascii="Public Sans" w:hAnsi="Public Sans"/>
                <w:b w:val="0"/>
                <w:i w:val="0"/>
                <w:color w:val="5B6672"/>
                <w:sz w:val="20"/>
              </w:rPr>
              <w:t>Comment l'opération est financée : apport, crédit et mensualités.</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9F2ED"/>
            <w:tcBorders>
              <w:top w:val="nil"/>
              <w:left w:val="single" w:sz="36" w:color="2D6A4F"/>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2D6A4F"/>
                <w:sz w:val="15"/>
              </w:rPr>
              <w:t>À RETENIR</w:t>
            </w:r>
          </w:p>
          <w:p>
            <w:pPr>
              <w:spacing w:before="20" w:after="0" w:line="240" w:lineRule="auto"/>
            </w:pPr>
            <w:r>
              <w:rPr>
                <w:rFonts w:ascii="Public Sans" w:hAnsi="Public Sans"/>
                <w:b w:val="0"/>
                <w:i w:val="0"/>
                <w:color w:val="2D6A4F"/>
                <w:sz w:val="23"/>
              </w:rPr>
              <w:t>Apport de 25 000 € (24 % du coût total) et crédit de 80 000 € sur 25 ans à 3,50 %.</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APPORT PERSONNEL</w:t>
            </w:r>
          </w:p>
          <w:p>
            <w:pPr>
              <w:spacing w:before="40" w:after="0" w:line="240" w:lineRule="auto"/>
            </w:pPr>
            <w:r>
              <w:rPr>
                <w:rFonts w:ascii="Sora SemiBold" w:hAnsi="Sora SemiBold"/>
                <w:b w:val="0"/>
                <w:i w:val="0"/>
                <w:color w:val="1B3358"/>
                <w:sz w:val="34"/>
              </w:rPr>
              <w:t>25 000 €</w:t>
            </w:r>
          </w:p>
        </w:tc>
        <w:tc>
          <w:tcPr>
            <w:tcW w:type="dxa" w:w="4932"/>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MONTANT EMPRUNTÉ</w:t>
            </w:r>
          </w:p>
          <w:p>
            <w:pPr>
              <w:spacing w:before="40" w:after="0" w:line="240" w:lineRule="auto"/>
            </w:pPr>
            <w:r>
              <w:rPr>
                <w:rFonts w:ascii="Sora SemiBold" w:hAnsi="Sora SemiBold"/>
                <w:b w:val="0"/>
                <w:i w:val="0"/>
                <w:color w:val="1B3358"/>
                <w:sz w:val="34"/>
              </w:rPr>
              <w:t>80 000 €</w:t>
            </w:r>
          </w:p>
        </w:tc>
        <w:tc>
          <w:tcPr>
            <w:tcW w:type="dxa" w:w="4932"/>
            <w:vAlign w:val="center"/>
            <w:shd w:val="clear" w:color="auto" w:fill="EEF2F7"/>
            <w:tcBorders>
              <w:top w:val="nil"/>
              <w:left w:val="single" w:sz="24" w:color="1B3358"/>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MENSUALITÉ DU CRÉDIT</w:t>
            </w:r>
          </w:p>
          <w:p>
            <w:pPr>
              <w:spacing w:before="40" w:after="0" w:line="240" w:lineRule="auto"/>
            </w:pPr>
            <w:r>
              <w:rPr>
                <w:rFonts w:ascii="Sora SemiBold" w:hAnsi="Sora SemiBold"/>
                <w:b w:val="0"/>
                <w:i w:val="0"/>
                <w:color w:val="1B3358"/>
                <w:sz w:val="34"/>
              </w:rPr>
              <w:t>400 €/mois</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83"/>
        <w:gridCol w:w="6520"/>
      </w:tblGrid>
      <w:tr>
        <w:tc>
          <w:tcPr>
            <w:tcW w:type="dxa" w:w="7483"/>
          </w:tcPr>
          <w:p/>
          <w:tbl>
            <w:tblPr>
              <w:tblW w:type="auto" w:w="0"/>
              <w:tblLayout w:type="fixed"/>
              <w:tblLook w:firstColumn="1" w:firstRow="1" w:lastColumn="0" w:lastRow="0" w:noHBand="0" w:noVBand="1" w:val="04A0"/>
            </w:tblPr>
            <w:tblGrid>
              <w:gridCol w:w="4644"/>
              <w:gridCol w:w="2612"/>
            </w:tblGrid>
            <w:tr>
              <w:tc>
                <w:tcPr>
                  <w:tcW w:type="dxa" w:w="4644"/>
                  <w:tcMar>
                    <w:top w:w="90" w:type="dxa"/>
                    <w:bottom w:w="90" w:type="dxa"/>
                    <w:left w:w="120" w:type="dxa"/>
                    <w:right w:w="120" w:type="dxa"/>
                  </w:tcMar>
                  <w:tcBorders>
                    <w:bottom w:val="single" w:sz="8" w:color="1B3358"/>
                  </w:tcBorders>
                  <w:shd w:val="clear" w:color="auto" w:fill="EEF2F7"/>
                </w:tcPr>
                <w:p>
                  <w:pPr>
                    <w:spacing w:after="0" w:line="240" w:lineRule="auto"/>
                  </w:pPr>
                  <w:r>
                    <w:rPr>
                      <w:rFonts w:ascii="Public Sans SemiBold" w:hAnsi="Public Sans SemiBold"/>
                      <w:b w:val="0"/>
                      <w:i w:val="0"/>
                      <w:color w:val="1F2833"/>
                      <w:sz w:val="21"/>
                    </w:rPr>
                    <w:t>Coût total d'acquisition</w:t>
                  </w:r>
                </w:p>
              </w:tc>
              <w:tc>
                <w:tcPr>
                  <w:tcW w:type="dxa" w:w="2612"/>
                  <w:tcMar>
                    <w:top w:w="90" w:type="dxa"/>
                    <w:bottom w:w="90" w:type="dxa"/>
                    <w:left w:w="120" w:type="dxa"/>
                    <w:right w:w="120" w:type="dxa"/>
                  </w:tcMar>
                  <w:tcBorders>
                    <w:bottom w:val="single" w:sz="8" w:color="1B3358"/>
                  </w:tcBorders>
                  <w:shd w:val="clear" w:color="auto" w:fill="EEF2F7"/>
                </w:tcPr>
                <w:p>
                  <w:pPr>
                    <w:spacing w:after="0" w:line="240" w:lineRule="auto"/>
                    <w:jc w:val="right"/>
                  </w:pPr>
                  <w:r>
                    <w:rPr>
                      <w:rFonts w:ascii="Public Sans SemiBold" w:hAnsi="Public Sans SemiBold"/>
                      <w:b w:val="0"/>
                      <w:i w:val="0"/>
                      <w:color w:val="1B3358"/>
                      <w:sz w:val="23"/>
                    </w:rPr>
                    <w:t>105 000 €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Apport personnel</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25 000 €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Montant emprunté</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80 000 €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Taux du crédit</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3,50 %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Durée du crédit</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25 ans</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Frais bancaires (garantie, dossier, courtage)</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1 600 €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Taux d'assurance emprunteur</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0,30 %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Mensualité du crédit (hors assurance)</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400 €/mois</w:t>
                  </w:r>
                </w:p>
              </w:tc>
            </w:tr>
          </w:tbl>
          <w:p/>
        </w:tc>
        <w:tc>
          <w:tcPr>
            <w:tcW w:type="dxa" w:w="6520"/>
          </w:tcPr>
          <w:p>
            <w:pPr>
              <w:spacing w:after="0"/>
              <w:jc w:val="center"/>
            </w:pPr>
            <w:r>
              <w:drawing>
                <wp:inline xmlns:a="http://schemas.openxmlformats.org/drawingml/2006/main" xmlns:pic="http://schemas.openxmlformats.org/drawingml/2006/picture">
                  <wp:extent cx="2708681" cy="3743999"/>
                  <wp:docPr id="23" name="Picture 23"/>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2708681" cy="3743999"/>
                          </a:xfrm>
                          <a:prstGeom prst="rect"/>
                        </pic:spPr>
                      </pic:pic>
                    </a:graphicData>
                  </a:graphic>
                </wp:inline>
              </w:drawing>
            </w:r>
          </w:p>
        </w:tc>
      </w:tr>
    </w:tbl>
    <w:p>
      <w:pPr>
        <w:sectPr>
          <w:footerReference w:type="default" r:id="rId37"/>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24" name="Picture 24"/>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8" w:name="chapitre_08"/>
            <w:pPr>
              <w:spacing w:after="0" w:line="240" w:lineRule="auto"/>
            </w:pPr>
            <w:r>
              <w:drawing>
                <wp:inline xmlns:a="http://schemas.openxmlformats.org/drawingml/2006/main" xmlns:pic="http://schemas.openxmlformats.org/drawingml/2006/picture">
                  <wp:extent cx="223200" cy="223200"/>
                  <wp:docPr id="25" name="Picture 25"/>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Profil de l'emprunteur</w:t>
            </w:r>
            <w:bookmarkEnd w:id="8"/>
          </w:p>
          <w:p>
            <w:pPr>
              <w:spacing w:before="20" w:after="0" w:line="240" w:lineRule="auto"/>
            </w:pPr>
            <w:r>
              <w:rPr>
                <w:rFonts w:ascii="Public Sans" w:hAnsi="Public Sans"/>
                <w:b w:val="0"/>
                <w:i w:val="0"/>
                <w:color w:val="5B6672"/>
                <w:sz w:val="20"/>
              </w:rPr>
              <w:t>Revenus, engagements et patrimoine du foyer pris en compte par la banque.</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EF2F7"/>
            <w:tcBorders>
              <w:top w:val="nil"/>
              <w:left w:val="single" w:sz="36" w:color="1B3358"/>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1B3358"/>
                <w:sz w:val="15"/>
              </w:rPr>
              <w:t>À RETENIR</w:t>
            </w:r>
          </w:p>
          <w:p>
            <w:pPr>
              <w:spacing w:before="20" w:after="0" w:line="240" w:lineRule="auto"/>
            </w:pPr>
            <w:r>
              <w:rPr>
                <w:rFonts w:ascii="Public Sans" w:hAnsi="Public Sans"/>
                <w:b w:val="0"/>
                <w:i w:val="0"/>
                <w:color w:val="1B3358"/>
                <w:sz w:val="23"/>
              </w:rPr>
              <w:t>Revenus retenus par la banque : 4 500 € par mois ; patrimoine net déclaré : 158 000 €.</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REVENUS MENSUELS RETENUS</w:t>
            </w:r>
          </w:p>
          <w:p>
            <w:pPr>
              <w:spacing w:before="40" w:after="0" w:line="240" w:lineRule="auto"/>
            </w:pPr>
            <w:r>
              <w:rPr>
                <w:rFonts w:ascii="Sora SemiBold" w:hAnsi="Sora SemiBold"/>
                <w:b w:val="0"/>
                <w:i w:val="0"/>
                <w:color w:val="1B3358"/>
                <w:sz w:val="34"/>
              </w:rPr>
              <w:t>4 500 €</w:t>
            </w:r>
          </w:p>
        </w:tc>
        <w:tc>
          <w:tcPr>
            <w:tcW w:type="dxa" w:w="4932"/>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CRÉDITS EN COURS / MOIS</w:t>
            </w:r>
          </w:p>
          <w:p>
            <w:pPr>
              <w:spacing w:before="40" w:after="0" w:line="240" w:lineRule="auto"/>
            </w:pPr>
            <w:r>
              <w:rPr>
                <w:rFonts w:ascii="Sora SemiBold" w:hAnsi="Sora SemiBold"/>
                <w:b w:val="0"/>
                <w:i w:val="0"/>
                <w:color w:val="1B3358"/>
                <w:sz w:val="34"/>
              </w:rPr>
              <w:t>200 €</w:t>
            </w:r>
          </w:p>
        </w:tc>
        <w:tc>
          <w:tcPr>
            <w:tcW w:type="dxa" w:w="4932"/>
            <w:vAlign w:val="center"/>
            <w:shd w:val="clear" w:color="auto" w:fill="EEF2F7"/>
            <w:tcBorders>
              <w:top w:val="nil"/>
              <w:left w:val="single" w:sz="24" w:color="1B3358"/>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PATRIMOINE NET</w:t>
            </w:r>
          </w:p>
          <w:p>
            <w:pPr>
              <w:spacing w:before="40" w:after="0" w:line="240" w:lineRule="auto"/>
            </w:pPr>
            <w:r>
              <w:rPr>
                <w:rFonts w:ascii="Sora SemiBold" w:hAnsi="Sora SemiBold"/>
                <w:b w:val="0"/>
                <w:i w:val="0"/>
                <w:color w:val="1B3358"/>
                <w:sz w:val="34"/>
              </w:rPr>
              <w:t>158 000 €</w:t>
            </w:r>
          </w:p>
        </w:tc>
      </w:tr>
    </w:tbl>
    <w:p>
      <w:pPr>
        <w:spacing w:before="0" w:after="0" w:line="200" w:lineRule="exact"/>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6236"/>
        <w:gridCol w:w="454"/>
        <w:gridCol w:w="8107"/>
      </w:tblGrid>
      <w:tr>
        <w:tc>
          <w:tcPr>
            <w:tcW w:type="dxa" w:w="6236"/>
            <w:vAlign w:val="top"/>
            <w:tcMar>
              <w:top w:w="0" w:type="dxa"/>
              <w:bottom w:w="0" w:type="dxa"/>
              <w:left w:w="0" w:type="dxa"/>
              <w:right w:w="0" w:type="dxa"/>
            </w:tcMar>
          </w:tcPr>
          <w:p>
            <w:pPr>
              <w:spacing w:after="120" w:line="240" w:lineRule="auto"/>
            </w:pPr>
            <w:r>
              <w:rPr>
                <w:rFonts w:ascii="Public Sans SemiBold" w:hAnsi="Public Sans SemiBold"/>
                <w:b w:val="0"/>
                <w:i w:val="0"/>
                <w:color w:val="1B3358"/>
                <w:sz w:val="22"/>
              </w:rPr>
              <w:t>Revenus et engagements</w:t>
            </w:r>
          </w:p>
          <w:tbl>
            <w:tblPr>
              <w:tblW w:type="auto" w:w="0"/>
              <w:tblLayout w:type="fixed"/>
              <w:tblLook w:firstColumn="1" w:firstRow="1" w:lastColumn="0" w:lastRow="0" w:noHBand="0" w:noVBand="1" w:val="04A0"/>
            </w:tblPr>
            <w:tblGrid>
              <w:gridCol w:w="3991"/>
              <w:gridCol w:w="2245"/>
            </w:tblGrid>
            <w:tr>
              <w:tc>
                <w:tcPr>
                  <w:tcW w:type="dxa" w:w="3991"/>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Emprunteur</w:t>
                  </w:r>
                </w:p>
              </w:tc>
              <w:tc>
                <w:tcPr>
                  <w:tcW w:type="dxa" w:w="2245"/>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Camille Exemple (emprunteur fictif)</w:t>
                  </w:r>
                </w:p>
              </w:tc>
            </w:tr>
            <w:tr>
              <w:tc>
                <w:tcPr>
                  <w:tcW w:type="dxa" w:w="3991"/>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Revenus nets mensuels du foyer</w:t>
                  </w:r>
                </w:p>
              </w:tc>
              <w:tc>
                <w:tcPr>
                  <w:tcW w:type="dxa" w:w="2245"/>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4 500 €</w:t>
                  </w:r>
                </w:p>
              </w:tc>
            </w:tr>
            <w:tr>
              <w:tc>
                <w:tcPr>
                  <w:tcW w:type="dxa" w:w="3991"/>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Autres revenus mensuels</w:t>
                  </w:r>
                </w:p>
              </w:tc>
              <w:tc>
                <w:tcPr>
                  <w:tcW w:type="dxa" w:w="2245"/>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0 €</w:t>
                  </w:r>
                </w:p>
              </w:tc>
            </w:tr>
            <w:tr>
              <w:tc>
                <w:tcPr>
                  <w:tcW w:type="dxa" w:w="3991"/>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Mensualités de crédits existants</w:t>
                  </w:r>
                </w:p>
              </w:tc>
              <w:tc>
                <w:tcPr>
                  <w:tcW w:type="dxa" w:w="2245"/>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200 €</w:t>
                  </w:r>
                </w:p>
              </w:tc>
            </w:tr>
            <w:tr>
              <w:tc>
                <w:tcPr>
                  <w:tcW w:type="dxa" w:w="3991"/>
                  <w:tcMar>
                    <w:top w:w="90" w:type="dxa"/>
                    <w:bottom w:w="90" w:type="dxa"/>
                    <w:left w:w="120" w:type="dxa"/>
                    <w:right w:w="120" w:type="dxa"/>
                  </w:tcMar>
                  <w:tcBorders>
                    <w:bottom w:val="single" w:sz="8" w:color="1B3358"/>
                  </w:tcBorders>
                  <w:shd w:val="clear" w:color="auto" w:fill="EEF2F7"/>
                </w:tcPr>
                <w:p>
                  <w:pPr>
                    <w:spacing w:after="0" w:line="240" w:lineRule="auto"/>
                  </w:pPr>
                  <w:r>
                    <w:rPr>
                      <w:rFonts w:ascii="Public Sans SemiBold" w:hAnsi="Public Sans SemiBold"/>
                      <w:b w:val="0"/>
                      <w:i w:val="0"/>
                      <w:color w:val="1F2833"/>
                      <w:sz w:val="21"/>
                    </w:rPr>
                    <w:t>Total des revenus mensuels retenus</w:t>
                  </w:r>
                </w:p>
              </w:tc>
              <w:tc>
                <w:tcPr>
                  <w:tcW w:type="dxa" w:w="2245"/>
                  <w:tcMar>
                    <w:top w:w="90" w:type="dxa"/>
                    <w:bottom w:w="90" w:type="dxa"/>
                    <w:left w:w="120" w:type="dxa"/>
                    <w:right w:w="120" w:type="dxa"/>
                  </w:tcMar>
                  <w:tcBorders>
                    <w:bottom w:val="single" w:sz="8" w:color="1B3358"/>
                  </w:tcBorders>
                  <w:shd w:val="clear" w:color="auto" w:fill="EEF2F7"/>
                </w:tcPr>
                <w:p>
                  <w:pPr>
                    <w:spacing w:after="0" w:line="240" w:lineRule="auto"/>
                    <w:jc w:val="right"/>
                  </w:pPr>
                  <w:r>
                    <w:rPr>
                      <w:rFonts w:ascii="Public Sans SemiBold" w:hAnsi="Public Sans SemiBold"/>
                      <w:b w:val="0"/>
                      <w:i w:val="0"/>
                      <w:color w:val="1B3358"/>
                      <w:sz w:val="23"/>
                    </w:rPr>
                    <w:t>4 500 €</w:t>
                  </w:r>
                </w:p>
              </w:tc>
            </w:tr>
          </w:tbl>
          <w:p/>
        </w:tc>
        <w:tc>
          <w:tcPr>
            <w:tcW w:type="dxa" w:w="454"/>
            <w:vAlign w:val="top"/>
            <w:tcMar>
              <w:top w:w="0" w:type="dxa"/>
              <w:bottom w:w="0" w:type="dxa"/>
              <w:left w:w="0" w:type="dxa"/>
              <w:right w:w="0" w:type="dxa"/>
            </w:tcMar>
          </w:tcPr>
          <w:p/>
        </w:tc>
        <w:tc>
          <w:tcPr>
            <w:tcW w:type="dxa" w:w="8107"/>
            <w:vAlign w:val="top"/>
            <w:tcMar>
              <w:top w:w="0" w:type="dxa"/>
              <w:bottom w:w="0" w:type="dxa"/>
              <w:left w:w="0" w:type="dxa"/>
              <w:right w:w="0" w:type="dxa"/>
            </w:tcMar>
          </w:tcPr>
          <w:p>
            <w:pPr>
              <w:spacing w:after="120" w:line="240" w:lineRule="auto"/>
            </w:pPr>
            <w:r>
              <w:rPr>
                <w:rFonts w:ascii="Public Sans SemiBold" w:hAnsi="Public Sans SemiBold"/>
                <w:b w:val="0"/>
                <w:i w:val="0"/>
                <w:color w:val="1B3358"/>
                <w:sz w:val="22"/>
              </w:rPr>
              <w:t>Patrimoine du foyer</w:t>
            </w:r>
          </w:p>
          <w:tbl>
            <w:tblPr>
              <w:tblW w:type="auto" w:w="0"/>
              <w:tblLayout w:type="fixed"/>
              <w:tblLook w:firstColumn="1" w:firstRow="1" w:lastColumn="0" w:lastRow="0" w:noHBand="0" w:noVBand="1" w:val="04A0"/>
            </w:tblPr>
            <w:tblGrid>
              <w:gridCol w:w="3405"/>
              <w:gridCol w:w="2270"/>
              <w:gridCol w:w="1216"/>
              <w:gridCol w:w="1216"/>
            </w:tblGrid>
            <w:tr>
              <w:trPr>
                <w:trHeight w:val="351" w:hRule="atLeast"/>
              </w:trPr>
              <w:tc>
                <w:tcPr>
                  <w:tcW w:type="dxa" w:w="3405"/>
                  <w:vAlign w:val="center"/>
                  <w:tcMar>
                    <w:top w:w="30" w:type="dxa"/>
                    <w:bottom w:w="30" w:type="dxa"/>
                    <w:left w:w="90" w:type="dxa"/>
                    <w:right w:w="90" w:type="dxa"/>
                  </w:tcMar>
                  <w:shd w:val="clear" w:color="auto" w:fill="1B3358"/>
                </w:tcPr>
                <w:p>
                  <w:pPr>
                    <w:spacing w:after="0" w:line="240" w:lineRule="auto"/>
                    <w:jc w:val="left"/>
                  </w:pPr>
                  <w:r>
                    <w:rPr>
                      <w:rFonts w:ascii="Public Sans" w:hAnsi="Public Sans"/>
                      <w:b w:val="0"/>
                      <w:i w:val="0"/>
                      <w:color w:val="1F2833"/>
                      <w:sz w:val="18"/>
                    </w:rPr>
                  </w:r>
                  <w:r>
                    <w:rPr>
                      <w:rFonts w:ascii="Public Sans SemiBold" w:hAnsi="Public Sans SemiBold"/>
                      <w:b w:val="0"/>
                      <w:i w:val="0"/>
                      <w:color w:val="FFFFFF"/>
                      <w:sz w:val="17"/>
                    </w:rPr>
                    <w:t>Nature</w:t>
                  </w:r>
                </w:p>
              </w:tc>
              <w:tc>
                <w:tcPr>
                  <w:tcW w:type="dxa" w:w="2270"/>
                  <w:vAlign w:val="center"/>
                  <w:tcMar>
                    <w:top w:w="30" w:type="dxa"/>
                    <w:bottom w:w="30" w:type="dxa"/>
                    <w:left w:w="90" w:type="dxa"/>
                    <w:right w:w="90" w:type="dxa"/>
                  </w:tcMar>
                  <w:shd w:val="clear" w:color="auto" w:fill="1B3358"/>
                </w:tcPr>
                <w:p>
                  <w:pPr>
                    <w:spacing w:after="0" w:line="240" w:lineRule="auto"/>
                    <w:jc w:val="left"/>
                  </w:pPr>
                  <w:r>
                    <w:rPr>
                      <w:rFonts w:ascii="Public Sans" w:hAnsi="Public Sans"/>
                      <w:b w:val="0"/>
                      <w:i w:val="0"/>
                      <w:color w:val="1F2833"/>
                      <w:sz w:val="18"/>
                    </w:rPr>
                  </w:r>
                  <w:r>
                    <w:rPr>
                      <w:rFonts w:ascii="Public Sans SemiBold" w:hAnsi="Public Sans SemiBold"/>
                      <w:b w:val="0"/>
                      <w:i w:val="0"/>
                      <w:color w:val="FFFFFF"/>
                      <w:sz w:val="17"/>
                    </w:rPr>
                    <w:t>Établissement / détail</w:t>
                  </w:r>
                </w:p>
              </w:tc>
              <w:tc>
                <w:tcPr>
                  <w:tcW w:type="dxa" w:w="1216"/>
                  <w:vAlign w:val="center"/>
                  <w:tcMar>
                    <w:top w:w="30" w:type="dxa"/>
                    <w:bottom w:w="30" w:type="dxa"/>
                    <w:left w:w="90" w:type="dxa"/>
                    <w:right w:w="90" w:type="dxa"/>
                  </w:tcMar>
                  <w:shd w:val="clear" w:color="auto" w:fill="1B3358"/>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FFFFFF"/>
                      <w:sz w:val="17"/>
                    </w:rPr>
                    <w:t>Valeur</w:t>
                  </w:r>
                </w:p>
              </w:tc>
              <w:tc>
                <w:tcPr>
                  <w:tcW w:type="dxa" w:w="1216"/>
                  <w:vAlign w:val="center"/>
                  <w:tcMar>
                    <w:top w:w="30" w:type="dxa"/>
                    <w:bottom w:w="30" w:type="dxa"/>
                    <w:left w:w="90" w:type="dxa"/>
                    <w:right w:w="90" w:type="dxa"/>
                  </w:tcMar>
                  <w:shd w:val="clear" w:color="auto" w:fill="1B3358"/>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FFFFFF"/>
                      <w:sz w:val="17"/>
                    </w:rPr>
                    <w:t>Reste dû</w:t>
                  </w:r>
                </w:p>
              </w:tc>
            </w:tr>
            <w:tr>
              <w:trPr>
                <w:trHeight w:val="351" w:hRule="atLeast"/>
              </w:trPr>
              <w:tc>
                <w:tcPr>
                  <w:tcW w:type="dxa" w:w="3405"/>
                  <w:vAlign w:val="center"/>
                  <w:tcMar>
                    <w:top w:w="30" w:type="dxa"/>
                    <w:bottom w:w="30" w:type="dxa"/>
                    <w:left w:w="90" w:type="dxa"/>
                    <w:right w:w="90" w:type="dxa"/>
                  </w:tcMar>
                  <w:tcBorders>
                    <w:bottom w:val="single" w:sz="4" w:color="E1E6EC"/>
                  </w:tcBorders>
                </w:tcPr>
                <w:p>
                  <w:pPr>
                    <w:spacing w:after="0" w:line="240" w:lineRule="auto"/>
                    <w:jc w:val="left"/>
                  </w:pPr>
                  <w:r>
                    <w:rPr>
                      <w:rFonts w:ascii="Public Sans" w:hAnsi="Public Sans"/>
                      <w:b w:val="0"/>
                      <w:i w:val="0"/>
                      <w:color w:val="1F2833"/>
                      <w:sz w:val="18"/>
                    </w:rPr>
                  </w:r>
                  <w:r>
                    <w:rPr>
                      <w:rFonts w:ascii="Public Sans" w:hAnsi="Public Sans"/>
                      <w:b w:val="0"/>
                      <w:i w:val="0"/>
                      <w:color w:val="5B6672"/>
                      <w:sz w:val="18"/>
                    </w:rPr>
                    <w:t>Résidence principale</w:t>
                  </w:r>
                </w:p>
              </w:tc>
              <w:tc>
                <w:tcPr>
                  <w:tcW w:type="dxa" w:w="2270"/>
                  <w:vAlign w:val="center"/>
                  <w:tcMar>
                    <w:top w:w="30" w:type="dxa"/>
                    <w:bottom w:w="30" w:type="dxa"/>
                    <w:left w:w="90" w:type="dxa"/>
                    <w:right w:w="90" w:type="dxa"/>
                  </w:tcMar>
                  <w:tcBorders>
                    <w:bottom w:val="single" w:sz="4" w:color="E1E6EC"/>
                  </w:tcBorders>
                </w:tcPr>
                <w:p>
                  <w:pPr>
                    <w:spacing w:after="0" w:line="240" w:lineRule="auto"/>
                    <w:jc w:val="left"/>
                  </w:pPr>
                  <w:r>
                    <w:rPr>
                      <w:rFonts w:ascii="Public Sans" w:hAnsi="Public Sans"/>
                      <w:b w:val="0"/>
                      <w:i w:val="0"/>
                      <w:color w:val="1F2833"/>
                      <w:sz w:val="18"/>
                    </w:rPr>
                  </w:r>
                  <w:r>
                    <w:rPr>
                      <w:rFonts w:ascii="Public Sans" w:hAnsi="Public Sans"/>
                      <w:b w:val="0"/>
                      <w:i w:val="0"/>
                      <w:color w:val="1F2833"/>
                      <w:sz w:val="18"/>
                    </w:rPr>
                    <w:t>Saint-Étienne</w:t>
                  </w:r>
                </w:p>
              </w:tc>
              <w:tc>
                <w:tcPr>
                  <w:tcW w:type="dxa" w:w="1216"/>
                  <w:vAlign w:val="center"/>
                  <w:tcMar>
                    <w:top w:w="30" w:type="dxa"/>
                    <w:bottom w:w="30" w:type="dxa"/>
                    <w:left w:w="90" w:type="dxa"/>
                    <w:right w:w="90" w:type="dxa"/>
                  </w:tcMar>
                  <w:tcBorders>
                    <w:bottom w:val="single" w:sz="4" w:color="E1E6EC"/>
                  </w:tcBorders>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F2833"/>
                      <w:sz w:val="18"/>
                    </w:rPr>
                    <w:t>210 000 €</w:t>
                  </w:r>
                </w:p>
              </w:tc>
              <w:tc>
                <w:tcPr>
                  <w:tcW w:type="dxa" w:w="1216"/>
                  <w:vAlign w:val="center"/>
                  <w:tcMar>
                    <w:top w:w="30" w:type="dxa"/>
                    <w:bottom w:w="30" w:type="dxa"/>
                    <w:left w:w="90" w:type="dxa"/>
                    <w:right w:w="90" w:type="dxa"/>
                  </w:tcMar>
                  <w:tcBorders>
                    <w:bottom w:val="single" w:sz="4" w:color="E1E6EC"/>
                  </w:tcBorders>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F2833"/>
                      <w:sz w:val="18"/>
                    </w:rPr>
                    <w:t>95 000 €</w:t>
                  </w:r>
                </w:p>
              </w:tc>
            </w:tr>
            <w:tr>
              <w:trPr>
                <w:trHeight w:val="351" w:hRule="atLeast"/>
              </w:trPr>
              <w:tc>
                <w:tcPr>
                  <w:tcW w:type="dxa" w:w="3405"/>
                  <w:vAlign w:val="center"/>
                  <w:tcMar>
                    <w:top w:w="30" w:type="dxa"/>
                    <w:bottom w:w="30" w:type="dxa"/>
                    <w:left w:w="90" w:type="dxa"/>
                    <w:right w:w="90" w:type="dxa"/>
                  </w:tcMar>
                  <w:tcBorders>
                    <w:bottom w:val="single" w:sz="4" w:color="E1E6EC"/>
                  </w:tcBorders>
                  <w:shd w:val="clear" w:color="auto" w:fill="F4F6FA"/>
                </w:tcPr>
                <w:p>
                  <w:pPr>
                    <w:spacing w:after="0" w:line="240" w:lineRule="auto"/>
                    <w:jc w:val="left"/>
                  </w:pPr>
                  <w:r>
                    <w:rPr>
                      <w:rFonts w:ascii="Public Sans" w:hAnsi="Public Sans"/>
                      <w:b w:val="0"/>
                      <w:i w:val="0"/>
                      <w:color w:val="1F2833"/>
                      <w:sz w:val="18"/>
                    </w:rPr>
                  </w:r>
                  <w:r>
                    <w:rPr>
                      <w:rFonts w:ascii="Public Sans" w:hAnsi="Public Sans"/>
                      <w:b w:val="0"/>
                      <w:i w:val="0"/>
                      <w:color w:val="5B6672"/>
                      <w:sz w:val="18"/>
                    </w:rPr>
                    <w:t>Comptes courants et livrets</w:t>
                  </w:r>
                </w:p>
              </w:tc>
              <w:tc>
                <w:tcPr>
                  <w:tcW w:type="dxa" w:w="2270"/>
                  <w:vAlign w:val="center"/>
                  <w:tcMar>
                    <w:top w:w="30" w:type="dxa"/>
                    <w:bottom w:w="30" w:type="dxa"/>
                    <w:left w:w="90" w:type="dxa"/>
                    <w:right w:w="90" w:type="dxa"/>
                  </w:tcMar>
                  <w:tcBorders>
                    <w:bottom w:val="single" w:sz="4" w:color="E1E6EC"/>
                  </w:tcBorders>
                  <w:shd w:val="clear" w:color="auto" w:fill="F4F6FA"/>
                </w:tcPr>
                <w:p>
                  <w:pPr>
                    <w:spacing w:after="0" w:line="240" w:lineRule="auto"/>
                    <w:jc w:val="left"/>
                  </w:pPr>
                  <w:r>
                    <w:rPr>
                      <w:rFonts w:ascii="Public Sans" w:hAnsi="Public Sans"/>
                      <w:b w:val="0"/>
                      <w:i w:val="0"/>
                      <w:color w:val="1F2833"/>
                      <w:sz w:val="18"/>
                    </w:rPr>
                  </w:r>
                  <w:r>
                    <w:rPr>
                      <w:rFonts w:ascii="Public Sans" w:hAnsi="Public Sans"/>
                      <w:b w:val="0"/>
                      <w:i w:val="0"/>
                      <w:color w:val="1F2833"/>
                      <w:sz w:val="18"/>
                    </w:rPr>
                    <w:t>Livret A, LDDS</w:t>
                  </w:r>
                </w:p>
              </w:tc>
              <w:tc>
                <w:tcPr>
                  <w:tcW w:type="dxa" w:w="1216"/>
                  <w:vAlign w:val="center"/>
                  <w:tcMar>
                    <w:top w:w="30" w:type="dxa"/>
                    <w:bottom w:w="30" w:type="dxa"/>
                    <w:left w:w="90" w:type="dxa"/>
                    <w:right w:w="90" w:type="dxa"/>
                  </w:tcMar>
                  <w:tcBorders>
                    <w:bottom w:val="single" w:sz="4" w:color="E1E6EC"/>
                  </w:tcBorders>
                  <w:shd w:val="clear" w:color="auto" w:fill="F4F6FA"/>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F2833"/>
                      <w:sz w:val="18"/>
                    </w:rPr>
                    <w:t>18 000 €</w:t>
                  </w:r>
                </w:p>
              </w:tc>
              <w:tc>
                <w:tcPr>
                  <w:tcW w:type="dxa" w:w="1216"/>
                  <w:vAlign w:val="center"/>
                  <w:tcMar>
                    <w:top w:w="30" w:type="dxa"/>
                    <w:bottom w:w="30" w:type="dxa"/>
                    <w:left w:w="90" w:type="dxa"/>
                    <w:right w:w="90" w:type="dxa"/>
                  </w:tcMar>
                  <w:tcBorders>
                    <w:bottom w:val="single" w:sz="4" w:color="E1E6EC"/>
                  </w:tcBorders>
                  <w:shd w:val="clear" w:color="auto" w:fill="F4F6FA"/>
                </w:tcPr>
                <w:p>
                  <w:pPr>
                    <w:spacing w:after="0" w:line="240" w:lineRule="auto"/>
                    <w:jc w:val="center"/>
                  </w:pPr>
                  <w:r>
                    <w:rPr>
                      <w:rFonts w:ascii="Public Sans" w:hAnsi="Public Sans"/>
                      <w:b w:val="0"/>
                      <w:i w:val="0"/>
                      <w:color w:val="1F2833"/>
                      <w:sz w:val="18"/>
                    </w:rPr>
                  </w:r>
                  <w:r>
                    <w:rPr>
                      <w:rFonts w:ascii="Public Sans" w:hAnsi="Public Sans"/>
                      <w:b w:val="0"/>
                      <w:i w:val="0"/>
                      <w:color w:val="969EA8"/>
                      <w:sz w:val="18"/>
                    </w:rPr>
                    <w:t>—</w:t>
                  </w:r>
                </w:p>
              </w:tc>
            </w:tr>
            <w:tr>
              <w:trPr>
                <w:trHeight w:val="351" w:hRule="atLeast"/>
              </w:trPr>
              <w:tc>
                <w:tcPr>
                  <w:tcW w:type="dxa" w:w="3405"/>
                  <w:vAlign w:val="center"/>
                  <w:tcMar>
                    <w:top w:w="30" w:type="dxa"/>
                    <w:bottom w:w="30" w:type="dxa"/>
                    <w:left w:w="90" w:type="dxa"/>
                    <w:right w:w="90" w:type="dxa"/>
                  </w:tcMar>
                  <w:tcBorders>
                    <w:bottom w:val="single" w:sz="4" w:color="E1E6EC"/>
                  </w:tcBorders>
                </w:tcPr>
                <w:p>
                  <w:pPr>
                    <w:spacing w:after="0" w:line="240" w:lineRule="auto"/>
                    <w:jc w:val="left"/>
                  </w:pPr>
                  <w:r>
                    <w:rPr>
                      <w:rFonts w:ascii="Public Sans" w:hAnsi="Public Sans"/>
                      <w:b w:val="0"/>
                      <w:i w:val="0"/>
                      <w:color w:val="1F2833"/>
                      <w:sz w:val="18"/>
                    </w:rPr>
                  </w:r>
                  <w:r>
                    <w:rPr>
                      <w:rFonts w:ascii="Public Sans" w:hAnsi="Public Sans"/>
                      <w:b w:val="0"/>
                      <w:i w:val="0"/>
                      <w:color w:val="5B6672"/>
                      <w:sz w:val="18"/>
                    </w:rPr>
                    <w:t>Assurance-vie</w:t>
                  </w:r>
                </w:p>
              </w:tc>
              <w:tc>
                <w:tcPr>
                  <w:tcW w:type="dxa" w:w="2270"/>
                  <w:vAlign w:val="center"/>
                  <w:tcMar>
                    <w:top w:w="30" w:type="dxa"/>
                    <w:bottom w:w="30" w:type="dxa"/>
                    <w:left w:w="90" w:type="dxa"/>
                    <w:right w:w="90" w:type="dxa"/>
                  </w:tcMar>
                  <w:tcBorders>
                    <w:bottom w:val="single" w:sz="4" w:color="E1E6EC"/>
                  </w:tcBorders>
                </w:tcPr>
                <w:p>
                  <w:pPr>
                    <w:spacing w:after="0" w:line="240" w:lineRule="auto"/>
                    <w:jc w:val="left"/>
                  </w:pPr>
                  <w:r>
                    <w:rPr>
                      <w:rFonts w:ascii="Public Sans" w:hAnsi="Public Sans"/>
                      <w:b w:val="0"/>
                      <w:i w:val="0"/>
                      <w:color w:val="1F2833"/>
                      <w:sz w:val="18"/>
                    </w:rPr>
                  </w:r>
                </w:p>
              </w:tc>
              <w:tc>
                <w:tcPr>
                  <w:tcW w:type="dxa" w:w="1216"/>
                  <w:vAlign w:val="center"/>
                  <w:tcMar>
                    <w:top w:w="30" w:type="dxa"/>
                    <w:bottom w:w="30" w:type="dxa"/>
                    <w:left w:w="90" w:type="dxa"/>
                    <w:right w:w="90" w:type="dxa"/>
                  </w:tcMar>
                  <w:tcBorders>
                    <w:bottom w:val="single" w:sz="4" w:color="E1E6EC"/>
                  </w:tcBorders>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F2833"/>
                      <w:sz w:val="18"/>
                    </w:rPr>
                    <w:t>25 000 €</w:t>
                  </w:r>
                </w:p>
              </w:tc>
              <w:tc>
                <w:tcPr>
                  <w:tcW w:type="dxa" w:w="1216"/>
                  <w:vAlign w:val="center"/>
                  <w:tcMar>
                    <w:top w:w="30" w:type="dxa"/>
                    <w:bottom w:w="30" w:type="dxa"/>
                    <w:left w:w="90" w:type="dxa"/>
                    <w:right w:w="90" w:type="dxa"/>
                  </w:tcMar>
                  <w:tcBorders>
                    <w:bottom w:val="single" w:sz="4" w:color="E1E6EC"/>
                  </w:tcBorders>
                </w:tcPr>
                <w:p>
                  <w:pPr>
                    <w:spacing w:after="0" w:line="240" w:lineRule="auto"/>
                    <w:jc w:val="center"/>
                  </w:pPr>
                  <w:r>
                    <w:rPr>
                      <w:rFonts w:ascii="Public Sans" w:hAnsi="Public Sans"/>
                      <w:b w:val="0"/>
                      <w:i w:val="0"/>
                      <w:color w:val="1F2833"/>
                      <w:sz w:val="18"/>
                    </w:rPr>
                  </w:r>
                  <w:r>
                    <w:rPr>
                      <w:rFonts w:ascii="Public Sans" w:hAnsi="Public Sans"/>
                      <w:b w:val="0"/>
                      <w:i w:val="0"/>
                      <w:color w:val="969EA8"/>
                      <w:sz w:val="18"/>
                    </w:rPr>
                    <w:t>—</w:t>
                  </w:r>
                </w:p>
              </w:tc>
            </w:tr>
            <w:tr>
              <w:trPr>
                <w:trHeight w:val="351" w:hRule="atLeast"/>
              </w:trPr>
              <w:tc>
                <w:tcPr>
                  <w:tcW w:type="dxa" w:w="3405"/>
                  <w:vAlign w:val="center"/>
                  <w:tcMar>
                    <w:top w:w="30" w:type="dxa"/>
                    <w:bottom w:w="30" w:type="dxa"/>
                    <w:left w:w="90" w:type="dxa"/>
                    <w:right w:w="90" w:type="dxa"/>
                  </w:tcMar>
                  <w:tcBorders>
                    <w:bottom w:val="single" w:sz="8" w:color="1B3358"/>
                  </w:tcBorders>
                  <w:shd w:val="clear" w:color="auto" w:fill="EEF2F7"/>
                </w:tcPr>
                <w:p>
                  <w:pPr>
                    <w:spacing w:after="0" w:line="240" w:lineRule="auto"/>
                    <w:jc w:val="left"/>
                  </w:pPr>
                  <w:r>
                    <w:rPr>
                      <w:rFonts w:ascii="Public Sans" w:hAnsi="Public Sans"/>
                      <w:b w:val="0"/>
                      <w:i w:val="0"/>
                      <w:color w:val="1F2833"/>
                      <w:sz w:val="18"/>
                    </w:rPr>
                  </w:r>
                  <w:r>
                    <w:rPr>
                      <w:rFonts w:ascii="Public Sans SemiBold" w:hAnsi="Public Sans SemiBold"/>
                      <w:b w:val="0"/>
                      <w:i w:val="0"/>
                      <w:color w:val="1F2833"/>
                      <w:sz w:val="18"/>
                    </w:rPr>
                    <w:t>Total</w:t>
                  </w:r>
                </w:p>
              </w:tc>
              <w:tc>
                <w:tcPr>
                  <w:tcW w:type="dxa" w:w="2270"/>
                  <w:vAlign w:val="center"/>
                  <w:tcMar>
                    <w:top w:w="30" w:type="dxa"/>
                    <w:bottom w:w="30" w:type="dxa"/>
                    <w:left w:w="90" w:type="dxa"/>
                    <w:right w:w="90" w:type="dxa"/>
                  </w:tcMar>
                  <w:tcBorders>
                    <w:bottom w:val="single" w:sz="8" w:color="1B3358"/>
                  </w:tcBorders>
                  <w:shd w:val="clear" w:color="auto" w:fill="EEF2F7"/>
                </w:tcPr>
                <w:p>
                  <w:pPr>
                    <w:spacing w:after="0" w:line="240" w:lineRule="auto"/>
                    <w:jc w:val="left"/>
                  </w:pPr>
                  <w:r>
                    <w:rPr>
                      <w:rFonts w:ascii="Public Sans" w:hAnsi="Public Sans"/>
                      <w:b w:val="0"/>
                      <w:i w:val="0"/>
                      <w:color w:val="1F2833"/>
                      <w:sz w:val="18"/>
                    </w:rPr>
                  </w:r>
                </w:p>
              </w:tc>
              <w:tc>
                <w:tcPr>
                  <w:tcW w:type="dxa" w:w="1216"/>
                  <w:vAlign w:val="center"/>
                  <w:tcMar>
                    <w:top w:w="30" w:type="dxa"/>
                    <w:bottom w:w="30" w:type="dxa"/>
                    <w:left w:w="90" w:type="dxa"/>
                    <w:right w:w="90" w:type="dxa"/>
                  </w:tcMar>
                  <w:tcBorders>
                    <w:bottom w:val="single" w:sz="8" w:color="1B3358"/>
                  </w:tcBorders>
                  <w:shd w:val="clear" w:color="auto" w:fill="EEF2F7"/>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F2833"/>
                      <w:sz w:val="19"/>
                    </w:rPr>
                    <w:t>253 000 €</w:t>
                  </w:r>
                </w:p>
              </w:tc>
              <w:tc>
                <w:tcPr>
                  <w:tcW w:type="dxa" w:w="1216"/>
                  <w:vAlign w:val="center"/>
                  <w:tcMar>
                    <w:top w:w="30" w:type="dxa"/>
                    <w:bottom w:w="30" w:type="dxa"/>
                    <w:left w:w="90" w:type="dxa"/>
                    <w:right w:w="90" w:type="dxa"/>
                  </w:tcMar>
                  <w:tcBorders>
                    <w:bottom w:val="single" w:sz="8" w:color="1B3358"/>
                  </w:tcBorders>
                  <w:shd w:val="clear" w:color="auto" w:fill="EEF2F7"/>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F2833"/>
                      <w:sz w:val="19"/>
                    </w:rPr>
                    <w:t>95 000 €</w:t>
                  </w:r>
                </w:p>
              </w:tc>
            </w:tr>
            <w:tr>
              <w:trPr>
                <w:trHeight w:val="351" w:hRule="atLeast"/>
              </w:trPr>
              <w:tc>
                <w:tcPr>
                  <w:tcW w:type="dxa" w:w="3405"/>
                  <w:vAlign w:val="center"/>
                  <w:tcMar>
                    <w:top w:w="30" w:type="dxa"/>
                    <w:bottom w:w="30" w:type="dxa"/>
                    <w:left w:w="90" w:type="dxa"/>
                    <w:right w:w="90" w:type="dxa"/>
                  </w:tcMar>
                  <w:tcBorders>
                    <w:bottom w:val="single" w:sz="8" w:color="1B3358"/>
                  </w:tcBorders>
                  <w:shd w:val="clear" w:color="auto" w:fill="EEF2F7"/>
                </w:tcPr>
                <w:p>
                  <w:pPr>
                    <w:spacing w:after="0" w:line="240" w:lineRule="auto"/>
                    <w:jc w:val="left"/>
                  </w:pPr>
                  <w:r>
                    <w:rPr>
                      <w:rFonts w:ascii="Public Sans" w:hAnsi="Public Sans"/>
                      <w:b w:val="0"/>
                      <w:i w:val="0"/>
                      <w:color w:val="1F2833"/>
                      <w:sz w:val="18"/>
                    </w:rPr>
                  </w:r>
                  <w:r>
                    <w:rPr>
                      <w:rFonts w:ascii="Public Sans SemiBold" w:hAnsi="Public Sans SemiBold"/>
                      <w:b w:val="0"/>
                      <w:i w:val="0"/>
                      <w:color w:val="1F2833"/>
                      <w:sz w:val="18"/>
                    </w:rPr>
                    <w:t>Patrimoine net (valeur − reste dû)</w:t>
                  </w:r>
                </w:p>
              </w:tc>
              <w:tc>
                <w:tcPr>
                  <w:tcW w:type="dxa" w:w="2270"/>
                  <w:vAlign w:val="center"/>
                  <w:tcMar>
                    <w:top w:w="30" w:type="dxa"/>
                    <w:bottom w:w="30" w:type="dxa"/>
                    <w:left w:w="90" w:type="dxa"/>
                    <w:right w:w="90" w:type="dxa"/>
                  </w:tcMar>
                  <w:tcBorders>
                    <w:bottom w:val="single" w:sz="8" w:color="1B3358"/>
                  </w:tcBorders>
                  <w:shd w:val="clear" w:color="auto" w:fill="EEF2F7"/>
                </w:tcPr>
                <w:p>
                  <w:pPr>
                    <w:spacing w:after="0" w:line="240" w:lineRule="auto"/>
                    <w:jc w:val="left"/>
                  </w:pPr>
                  <w:r>
                    <w:rPr>
                      <w:rFonts w:ascii="Public Sans" w:hAnsi="Public Sans"/>
                      <w:b w:val="0"/>
                      <w:i w:val="0"/>
                      <w:color w:val="1F2833"/>
                      <w:sz w:val="18"/>
                    </w:rPr>
                  </w:r>
                </w:p>
              </w:tc>
              <w:tc>
                <w:tcPr>
                  <w:tcW w:type="dxa" w:w="1216"/>
                  <w:vAlign w:val="center"/>
                  <w:tcMar>
                    <w:top w:w="30" w:type="dxa"/>
                    <w:bottom w:w="30" w:type="dxa"/>
                    <w:left w:w="90" w:type="dxa"/>
                    <w:right w:w="90" w:type="dxa"/>
                  </w:tcMar>
                  <w:tcBorders>
                    <w:bottom w:val="single" w:sz="8" w:color="1B3358"/>
                  </w:tcBorders>
                  <w:shd w:val="clear" w:color="auto" w:fill="EEF2F7"/>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B3358"/>
                      <w:sz w:val="19"/>
                    </w:rPr>
                    <w:t>158 000 €</w:t>
                  </w:r>
                </w:p>
              </w:tc>
              <w:tc>
                <w:tcPr>
                  <w:tcW w:type="dxa" w:w="1216"/>
                  <w:vAlign w:val="center"/>
                  <w:tcMar>
                    <w:top w:w="30" w:type="dxa"/>
                    <w:bottom w:w="30" w:type="dxa"/>
                    <w:left w:w="90" w:type="dxa"/>
                    <w:right w:w="90" w:type="dxa"/>
                  </w:tcMar>
                  <w:tcBorders>
                    <w:bottom w:val="single" w:sz="8" w:color="1B3358"/>
                  </w:tcBorders>
                  <w:shd w:val="clear" w:color="auto" w:fill="EEF2F7"/>
                </w:tcPr>
                <w:p>
                  <w:pPr>
                    <w:spacing w:after="0" w:line="240" w:lineRule="auto"/>
                    <w:jc w:val="right"/>
                  </w:pPr>
                  <w:r>
                    <w:rPr>
                      <w:rFonts w:ascii="Public Sans" w:hAnsi="Public Sans"/>
                      <w:b w:val="0"/>
                      <w:i w:val="0"/>
                      <w:color w:val="1F2833"/>
                      <w:sz w:val="18"/>
                    </w:rPr>
                  </w:r>
                </w:p>
              </w:tc>
            </w:tr>
          </w:tbl>
          <w:p/>
          <w:p>
            <w:pPr>
              <w:spacing w:after="0" w:line="240" w:lineRule="auto" w:before="100"/>
            </w:pPr>
            <w:r>
              <w:rPr>
                <w:rFonts w:ascii="Public Sans" w:hAnsi="Public Sans"/>
                <w:b w:val="0"/>
                <w:i/>
                <w:color w:val="969EA8"/>
                <w:sz w:val="17"/>
              </w:rPr>
              <w:t>Déclaré par l'emprunteur : valeur estimée à ce jour ; pour les biens financés à crédit, capital restant dû. Le patrimoine rassure la banque sur la capacité à faire face à un imprévu.</w:t>
            </w:r>
          </w:p>
        </w:tc>
      </w:tr>
    </w:tbl>
    <w:p>
      <w:pPr>
        <w:sectPr>
          <w:footerReference w:type="default" r:id="rId41"/>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26" name="Picture 26"/>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9" w:name="chapitre_09"/>
            <w:pPr>
              <w:spacing w:after="0" w:line="240" w:lineRule="auto"/>
            </w:pPr>
            <w:r>
              <w:drawing>
                <wp:inline xmlns:a="http://schemas.openxmlformats.org/drawingml/2006/main" xmlns:pic="http://schemas.openxmlformats.org/drawingml/2006/picture">
                  <wp:extent cx="223200" cy="223200"/>
                  <wp:docPr id="27" name="Picture 27"/>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Taux d'endettement</w:t>
            </w:r>
            <w:bookmarkEnd w:id="9"/>
          </w:p>
          <w:p>
            <w:pPr>
              <w:spacing w:before="20" w:after="0" w:line="240" w:lineRule="auto"/>
            </w:pPr>
            <w:r>
              <w:rPr>
                <w:rFonts w:ascii="Public Sans" w:hAnsi="Public Sans"/>
                <w:b w:val="0"/>
                <w:i w:val="0"/>
                <w:color w:val="5B6672"/>
                <w:sz w:val="20"/>
              </w:rPr>
              <w:t>Capacité d'emprunt du foyer au regard de la règle des 35 % du HCSF.</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9F2ED"/>
            <w:tcBorders>
              <w:top w:val="nil"/>
              <w:left w:val="single" w:sz="36" w:color="2D6A4F"/>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2D6A4F"/>
                <w:sz w:val="15"/>
              </w:rPr>
              <w:t>À RETENIR</w:t>
            </w:r>
          </w:p>
          <w:p>
            <w:pPr>
              <w:spacing w:before="20" w:after="0" w:line="240" w:lineRule="auto"/>
            </w:pPr>
            <w:r>
              <w:rPr>
                <w:rFonts w:ascii="Public Sans" w:hAnsi="Public Sans"/>
                <w:b w:val="0"/>
                <w:i w:val="0"/>
                <w:color w:val="2D6A4F"/>
                <w:sz w:val="23"/>
              </w:rPr>
              <w:t>Avec ce projet, le foyer est à 12,1 % d'endettement : 22,9 points sous le seuil de 35 %.</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EF2F7"/>
            <w:tcBorders>
              <w:top w:val="nil"/>
              <w:left w:val="single" w:sz="24" w:color="2D6A4F"/>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TAUX D'ENDETTEMENT</w:t>
            </w:r>
          </w:p>
          <w:p>
            <w:pPr>
              <w:spacing w:before="40" w:after="0" w:line="240" w:lineRule="auto"/>
            </w:pPr>
            <w:r>
              <w:rPr>
                <w:rFonts w:ascii="Sora SemiBold" w:hAnsi="Sora SemiBold"/>
                <w:b w:val="0"/>
                <w:i w:val="0"/>
                <w:color w:val="2D6A4F"/>
                <w:sz w:val="34"/>
              </w:rPr>
              <w:t>12,1 %</w:t>
            </w:r>
          </w:p>
        </w:tc>
        <w:tc>
          <w:tcPr>
            <w:tcW w:type="dxa" w:w="4932"/>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SEUIL HCSF</w:t>
            </w:r>
          </w:p>
          <w:p>
            <w:pPr>
              <w:spacing w:before="40" w:after="0" w:line="240" w:lineRule="auto"/>
            </w:pPr>
            <w:r>
              <w:rPr>
                <w:rFonts w:ascii="Sora SemiBold" w:hAnsi="Sora SemiBold"/>
                <w:b w:val="0"/>
                <w:i w:val="0"/>
                <w:color w:val="1B3358"/>
                <w:sz w:val="34"/>
              </w:rPr>
              <w:t>35 %</w:t>
            </w:r>
          </w:p>
        </w:tc>
        <w:tc>
          <w:tcPr>
            <w:tcW w:type="dxa" w:w="4932"/>
            <w:vAlign w:val="center"/>
            <w:shd w:val="clear" w:color="auto" w:fill="EEF2F7"/>
            <w:tcBorders>
              <w:top w:val="nil"/>
              <w:left w:val="single" w:sz="24" w:color="2D6A4F"/>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MENSUALITÉ ENCORE SUPPORTABLE</w:t>
            </w:r>
          </w:p>
          <w:p>
            <w:pPr>
              <w:spacing w:before="40" w:after="0" w:line="240" w:lineRule="auto"/>
            </w:pPr>
            <w:r>
              <w:rPr>
                <w:rFonts w:ascii="Sora SemiBold" w:hAnsi="Sora SemiBold"/>
                <w:b w:val="0"/>
                <w:i w:val="0"/>
                <w:color w:val="2D6A4F"/>
                <w:sz w:val="34"/>
              </w:rPr>
              <w:t>1 140 €/mois</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83"/>
        <w:gridCol w:w="6520"/>
      </w:tblGrid>
      <w:tr>
        <w:tc>
          <w:tcPr>
            <w:tcW w:type="dxa" w:w="7483"/>
          </w:tcPr>
          <w:p/>
          <w:tbl>
            <w:tblPr>
              <w:tblW w:type="auto" w:w="0"/>
              <w:tblLayout w:type="fixed"/>
              <w:tblLook w:firstColumn="1" w:firstRow="1" w:lastColumn="0" w:lastRow="0" w:noHBand="0" w:noVBand="1" w:val="04A0"/>
            </w:tblPr>
            <w:tblGrid>
              <w:gridCol w:w="4644"/>
              <w:gridCol w:w="2612"/>
            </w:tblGrid>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Mensualité du projet retenue (hors assurance)</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400 €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Recettes locatives prévisionnelles retenues à 70 %</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472 €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Revenus considérés par la banque</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4 972 €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Mensualités totales (crédits existants + projet)</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600 €</w:t>
                  </w:r>
                </w:p>
              </w:tc>
            </w:tr>
            <w:tr>
              <w:tc>
                <w:tcPr>
                  <w:tcW w:type="dxa" w:w="4644"/>
                  <w:tcMar>
                    <w:top w:w="90" w:type="dxa"/>
                    <w:bottom w:w="90" w:type="dxa"/>
                    <w:left w:w="120" w:type="dxa"/>
                    <w:right w:w="120" w:type="dxa"/>
                  </w:tcMar>
                  <w:tcBorders>
                    <w:bottom w:val="single" w:sz="8" w:color="1B3358"/>
                  </w:tcBorders>
                  <w:shd w:val="clear" w:color="auto" w:fill="EEF2F7"/>
                </w:tcPr>
                <w:p>
                  <w:pPr>
                    <w:spacing w:after="0" w:line="240" w:lineRule="auto"/>
                  </w:pPr>
                  <w:r>
                    <w:rPr>
                      <w:rFonts w:ascii="Public Sans SemiBold" w:hAnsi="Public Sans SemiBold"/>
                      <w:b w:val="0"/>
                      <w:i w:val="0"/>
                      <w:color w:val="1F2833"/>
                      <w:sz w:val="21"/>
                    </w:rPr>
                    <w:t>Taux d'endettement</w:t>
                  </w:r>
                </w:p>
              </w:tc>
              <w:tc>
                <w:tcPr>
                  <w:tcW w:type="dxa" w:w="2612"/>
                  <w:tcMar>
                    <w:top w:w="90" w:type="dxa"/>
                    <w:bottom w:w="90" w:type="dxa"/>
                    <w:left w:w="120" w:type="dxa"/>
                    <w:right w:w="120" w:type="dxa"/>
                  </w:tcMar>
                  <w:tcBorders>
                    <w:bottom w:val="single" w:sz="8" w:color="1B3358"/>
                  </w:tcBorders>
                  <w:shd w:val="clear" w:color="auto" w:fill="EEF2F7"/>
                </w:tcPr>
                <w:p>
                  <w:pPr>
                    <w:spacing w:after="0" w:line="240" w:lineRule="auto"/>
                    <w:jc w:val="right"/>
                  </w:pPr>
                  <w:r>
                    <w:rPr>
                      <w:rFonts w:ascii="Public Sans SemiBold" w:hAnsi="Public Sans SemiBold"/>
                      <w:b w:val="0"/>
                      <w:i w:val="0"/>
                      <w:color w:val="1B3358"/>
                      <w:sz w:val="23"/>
                    </w:rPr>
                    <w:t>12,1 %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Seuil HCSF</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35 %</w:t>
                  </w:r>
                </w:p>
              </w:tc>
            </w:tr>
          </w:tbl>
          <w:p/>
        </w:tc>
        <w:tc>
          <w:tcPr>
            <w:tcW w:type="dxa" w:w="6520"/>
          </w:tcPr>
          <w:p>
            <w:pPr>
              <w:spacing w:after="0"/>
              <w:jc w:val="center"/>
            </w:pPr>
            <w:r>
              <w:drawing>
                <wp:inline xmlns:a="http://schemas.openxmlformats.org/drawingml/2006/main" xmlns:pic="http://schemas.openxmlformats.org/drawingml/2006/picture">
                  <wp:extent cx="3960000" cy="700615"/>
                  <wp:docPr id="28" name="Picture 28"/>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3960000" cy="700615"/>
                          </a:xfrm>
                          <a:prstGeom prst="rect"/>
                        </pic:spPr>
                      </pic:pic>
                    </a:graphicData>
                  </a:graphic>
                </wp:inline>
              </w:drawing>
            </w:r>
          </w:p>
        </w:tc>
      </w:tr>
    </w:tbl>
    <w:p>
      <w:pPr>
        <w:sectPr>
          <w:footerReference w:type="default" r:id="rId44"/>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29" name="Picture 29"/>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10" w:name="chapitre_10"/>
            <w:pPr>
              <w:spacing w:after="0" w:line="240" w:lineRule="auto"/>
            </w:pPr>
            <w:r>
              <w:drawing>
                <wp:inline xmlns:a="http://schemas.openxmlformats.org/drawingml/2006/main" xmlns:pic="http://schemas.openxmlformats.org/drawingml/2006/picture">
                  <wp:extent cx="223200" cy="223200"/>
                  <wp:docPr id="30" name="Picture 30"/>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Synthèse du projet</w:t>
            </w:r>
            <w:bookmarkEnd w:id="10"/>
          </w:p>
          <w:p>
            <w:pPr>
              <w:spacing w:before="20" w:after="0" w:line="240" w:lineRule="auto"/>
            </w:pPr>
            <w:r>
              <w:rPr>
                <w:rFonts w:ascii="Public Sans" w:hAnsi="Public Sans"/>
                <w:b w:val="0"/>
                <w:i w:val="0"/>
                <w:color w:val="5B6672"/>
                <w:sz w:val="20"/>
              </w:rPr>
              <w:t>Le bilan du projet : les repères essentiels, puis les chiffres clés de chaque partie.</w:t>
            </w:r>
          </w:p>
        </w:tc>
      </w:tr>
    </w:tbl>
    <w:p>
      <w:pPr>
        <w:spacing w:before="0" w:after="0" w:line="280" w:lineRule="exact"/>
      </w:pPr>
    </w:p>
    <w:p>
      <w:pPr>
        <w:spacing w:after="200" w:line="240" w:lineRule="auto"/>
      </w:pPr>
      <w:r>
        <w:rPr>
          <w:rFonts w:ascii="Public Sans" w:hAnsi="Public Sans"/>
          <w:b w:val="0"/>
          <w:i w:val="0"/>
          <w:color w:val="1F2833"/>
          <w:sz w:val="25"/>
        </w:rPr>
        <w:t>Achat d'un appartement de 65 m² à Saint-Étienne (42000) pour 76 000 €, plus 8 000 € de travaux, financé à 76 % par un crédit sur 25 ans à 3,50 % et un apport de 25 000 €, loué 710 € par mois hors charges en meublé.</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EF2F7"/>
            <w:tcBorders>
              <w:top w:val="nil"/>
              <w:left w:val="single" w:sz="36" w:color="1B3358"/>
              <w:bottom w:val="nil"/>
              <w:right w:val="nil"/>
            </w:tcBorders>
            <w:tcMar>
              <w:top w:w="140" w:type="dxa"/>
              <w:bottom w:w="150" w:type="dxa"/>
              <w:left w:w="260" w:type="dxa"/>
              <w:right w:w="260" w:type="dxa"/>
            </w:tcMar>
          </w:tcPr>
          <w:p>
            <w:pPr>
              <w:spacing w:after="80" w:line="240" w:lineRule="auto"/>
            </w:pPr>
            <w:r>
              <w:rPr>
                <w:rFonts w:ascii="Sora SemiBold" w:hAnsi="Sora SemiBold"/>
                <w:b w:val="0"/>
                <w:i w:val="0"/>
                <w:color w:val="1B3358"/>
                <w:sz w:val="30"/>
              </w:rPr>
              <w:t>Les 3 repères du projet</w:t>
            </w:r>
          </w:p>
          <w:p>
            <w:pPr>
              <w:spacing w:before="60" w:after="0" w:line="240" w:lineRule="auto"/>
            </w:pPr>
            <w:r>
              <w:rPr>
                <w:rFonts w:ascii="Public Sans" w:hAnsi="Public Sans"/>
                <w:b w:val="0"/>
                <w:i w:val="0"/>
                <w:color w:val="2D6A4F"/>
                <w:sz w:val="22"/>
              </w:rPr>
              <w:t xml:space="preserve">●  </w:t>
            </w:r>
            <w:r>
              <w:rPr>
                <w:rFonts w:ascii="Public Sans SemiBold" w:hAnsi="Public Sans SemiBold"/>
                <w:b w:val="0"/>
                <w:i w:val="0"/>
                <w:color w:val="1F2833"/>
                <w:sz w:val="21"/>
              </w:rPr>
              <w:t>Rentabilité</w:t>
            </w:r>
            <w:r>
              <w:rPr>
                <w:rFonts w:ascii="Public Sans" w:hAnsi="Public Sans"/>
                <w:b w:val="0"/>
                <w:i w:val="0"/>
                <w:color w:val="1F2833"/>
                <w:sz w:val="21"/>
              </w:rPr>
              <w:t xml:space="preserve"> : cash-flow net de +46 € par mois après crédit, charges et impôts</w:t>
            </w:r>
          </w:p>
          <w:p>
            <w:pPr>
              <w:spacing w:before="60" w:after="0" w:line="240" w:lineRule="auto"/>
            </w:pPr>
            <w:r>
              <w:rPr>
                <w:rFonts w:ascii="Public Sans" w:hAnsi="Public Sans"/>
                <w:b w:val="0"/>
                <w:i w:val="0"/>
                <w:color w:val="2D6A4F"/>
                <w:sz w:val="22"/>
              </w:rPr>
              <w:t xml:space="preserve">●  </w:t>
            </w:r>
            <w:r>
              <w:rPr>
                <w:rFonts w:ascii="Public Sans SemiBold" w:hAnsi="Public Sans SemiBold"/>
                <w:b w:val="0"/>
                <w:i w:val="0"/>
                <w:color w:val="1F2833"/>
                <w:sz w:val="21"/>
              </w:rPr>
              <w:t>Prix</w:t>
            </w:r>
            <w:r>
              <w:rPr>
                <w:rFonts w:ascii="Public Sans" w:hAnsi="Public Sans"/>
                <w:b w:val="0"/>
                <w:i w:val="0"/>
                <w:color w:val="1F2833"/>
                <w:sz w:val="21"/>
              </w:rPr>
              <w:t xml:space="preserve"> : 4 % sous la médiane du quartier</w:t>
            </w:r>
          </w:p>
          <w:p>
            <w:pPr>
              <w:spacing w:before="60" w:after="0" w:line="240" w:lineRule="auto"/>
            </w:pPr>
            <w:r>
              <w:rPr>
                <w:rFonts w:ascii="Public Sans" w:hAnsi="Public Sans"/>
                <w:b w:val="0"/>
                <w:i w:val="0"/>
                <w:color w:val="2D6A4F"/>
                <w:sz w:val="22"/>
              </w:rPr>
              <w:t xml:space="preserve">●  </w:t>
            </w:r>
            <w:r>
              <w:rPr>
                <w:rFonts w:ascii="Public Sans SemiBold" w:hAnsi="Public Sans SemiBold"/>
                <w:b w:val="0"/>
                <w:i w:val="0"/>
                <w:color w:val="1F2833"/>
                <w:sz w:val="21"/>
              </w:rPr>
              <w:t>Financement</w:t>
            </w:r>
            <w:r>
              <w:rPr>
                <w:rFonts w:ascii="Public Sans" w:hAnsi="Public Sans"/>
                <w:b w:val="0"/>
                <w:i w:val="0"/>
                <w:color w:val="1F2833"/>
                <w:sz w:val="21"/>
              </w:rPr>
              <w:t xml:space="preserve"> : endettement de 12,1 %, sous le seuil de 35 %</w:t>
            </w:r>
          </w:p>
          <w:p>
            <w:pPr>
              <w:spacing w:before="120" w:after="0" w:line="240" w:lineRule="auto"/>
            </w:pPr>
            <w:r>
              <w:rPr>
                <w:rFonts w:ascii="Public Sans" w:hAnsi="Public Sans"/>
                <w:b w:val="0"/>
                <w:i w:val="0"/>
                <w:color w:val="5B6672"/>
                <w:sz w:val="19"/>
              </w:rPr>
              <w:t>Enrichissement net estimé sur 20 ans : 46 082 € (cash-flows après impôts et revente nette, apport déduit).</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257"/>
        <w:gridCol w:w="283"/>
        <w:gridCol w:w="7257"/>
      </w:tblGrid>
      <w:tr>
        <w:tc>
          <w:tcPr>
            <w:tcW w:type="dxa" w:w="7257"/>
            <w:vAlign w:val="top"/>
            <w:shd w:val="clear" w:color="auto" w:fill="EEF2F7"/>
            <w:tcBorders>
              <w:top w:val="nil"/>
              <w:left w:val="single" w:sz="30" w:color="2D6A4F"/>
              <w:bottom w:val="nil"/>
              <w:right w:val="nil"/>
            </w:tcBorders>
            <w:tcMar>
              <w:top w:w="150" w:type="dxa"/>
              <w:bottom w:w="170" w:type="dxa"/>
              <w:left w:w="260" w:type="dxa"/>
              <w:right w:w="240" w:type="dxa"/>
            </w:tcMar>
          </w:tcPr>
          <w:p>
            <w:pPr>
              <w:spacing w:after="100" w:line="240" w:lineRule="auto"/>
            </w:pPr>
            <w:r>
              <w:drawing>
                <wp:inline xmlns:a="http://schemas.openxmlformats.org/drawingml/2006/main" xmlns:pic="http://schemas.openxmlformats.org/drawingml/2006/picture">
                  <wp:extent cx="198000" cy="198000"/>
                  <wp:docPr id="31" name="Picture 31"/>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198000" cy="198000"/>
                          </a:xfrm>
                          <a:prstGeom prst="rect"/>
                        </pic:spPr>
                      </pic:pic>
                    </a:graphicData>
                  </a:graphic>
                </wp:inline>
              </w:drawing>
            </w:r>
            <w:r>
              <w:rPr>
                <w:rFonts w:ascii="Public Sans" w:hAnsi="Public Sans"/>
                <w:b w:val="0"/>
                <w:i w:val="0"/>
                <w:color w:val="1B3358"/>
                <w:sz w:val="26"/>
              </w:rPr>
              <w:t xml:space="preserve">  </w:t>
            </w:r>
            <w:r>
              <w:rPr>
                <w:rFonts w:ascii="Public Sans SemiBold" w:hAnsi="Public Sans SemiBold"/>
                <w:b w:val="0"/>
                <w:i w:val="0"/>
                <w:color w:val="1B3358"/>
                <w:sz w:val="26"/>
              </w:rPr>
              <w:t>Le bien</w:t>
            </w:r>
          </w:p>
          <w:p>
            <w:pPr>
              <w:tabs>
                <w:tab w:pos="6718" w:val="right"/>
              </w:tabs>
              <w:spacing w:after="0" w:line="240" w:lineRule="auto" w:before="60"/>
            </w:pPr>
            <w:r>
              <w:rPr>
                <w:rFonts w:ascii="Public Sans" w:hAnsi="Public Sans"/>
                <w:b w:val="0"/>
                <w:i w:val="0"/>
                <w:color w:val="5B6672"/>
                <w:sz w:val="20"/>
              </w:rPr>
              <w:t>Prix d'achat</w:t>
            </w:r>
            <w:r>
              <w:rPr>
                <w:rFonts w:ascii="Public Sans SemiBold" w:hAnsi="Public Sans SemiBold"/>
                <w:b w:val="0"/>
                <w:i w:val="0"/>
                <w:color w:val="1F2833"/>
                <w:sz w:val="23"/>
              </w:rPr>
              <w:tab/>
              <w:t>76 000 €</w:t>
            </w:r>
          </w:p>
          <w:p>
            <w:pPr>
              <w:tabs>
                <w:tab w:pos="6718" w:val="right"/>
              </w:tabs>
              <w:spacing w:after="0" w:line="240" w:lineRule="auto" w:before="60"/>
            </w:pPr>
            <w:r>
              <w:rPr>
                <w:rFonts w:ascii="Public Sans" w:hAnsi="Public Sans"/>
                <w:b w:val="0"/>
                <w:i w:val="0"/>
                <w:color w:val="5B6672"/>
                <w:sz w:val="20"/>
              </w:rPr>
              <w:t>Prix au m²</w:t>
            </w:r>
            <w:r>
              <w:rPr>
                <w:rFonts w:ascii="Public Sans SemiBold" w:hAnsi="Public Sans SemiBold"/>
                <w:b w:val="0"/>
                <w:i w:val="0"/>
                <w:color w:val="1F2833"/>
                <w:sz w:val="23"/>
              </w:rPr>
              <w:tab/>
              <w:t>1 169 €/m² (−4 % vs quartier)</w:t>
            </w:r>
          </w:p>
          <w:p>
            <w:pPr>
              <w:tabs>
                <w:tab w:pos="6718" w:val="right"/>
              </w:tabs>
              <w:spacing w:after="0" w:line="240" w:lineRule="auto" w:before="60"/>
            </w:pPr>
            <w:r>
              <w:rPr>
                <w:rFonts w:ascii="Public Sans" w:hAnsi="Public Sans"/>
                <w:b w:val="0"/>
                <w:i w:val="0"/>
                <w:color w:val="5B6672"/>
                <w:sz w:val="20"/>
              </w:rPr>
              <w:t>Coût total de l'opération</w:t>
            </w:r>
            <w:r>
              <w:rPr>
                <w:rFonts w:ascii="Public Sans SemiBold" w:hAnsi="Public Sans SemiBold"/>
                <w:b w:val="0"/>
                <w:i w:val="0"/>
                <w:color w:val="1F2833"/>
                <w:sz w:val="23"/>
              </w:rPr>
              <w:tab/>
              <w:t>105 000 €</w:t>
            </w:r>
          </w:p>
        </w:tc>
        <w:tc>
          <w:tcPr>
            <w:tcW w:type="dxa" w:w="283"/>
          </w:tcPr>
          <w:p/>
        </w:tc>
        <w:tc>
          <w:tcPr>
            <w:tcW w:type="dxa" w:w="7257"/>
            <w:vAlign w:val="top"/>
            <w:shd w:val="clear" w:color="auto" w:fill="EEF2F7"/>
            <w:tcBorders>
              <w:top w:val="nil"/>
              <w:left w:val="single" w:sz="30" w:color="2D6A4F"/>
              <w:bottom w:val="nil"/>
              <w:right w:val="nil"/>
            </w:tcBorders>
            <w:tcMar>
              <w:top w:w="150" w:type="dxa"/>
              <w:bottom w:w="170" w:type="dxa"/>
              <w:left w:w="260" w:type="dxa"/>
              <w:right w:w="240" w:type="dxa"/>
            </w:tcMar>
          </w:tcPr>
          <w:p>
            <w:pPr>
              <w:spacing w:after="100" w:line="240" w:lineRule="auto"/>
            </w:pPr>
            <w:r>
              <w:drawing>
                <wp:inline xmlns:a="http://schemas.openxmlformats.org/drawingml/2006/main" xmlns:pic="http://schemas.openxmlformats.org/drawingml/2006/picture">
                  <wp:extent cx="198000" cy="198000"/>
                  <wp:docPr id="32" name="Picture 32"/>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198000" cy="198000"/>
                          </a:xfrm>
                          <a:prstGeom prst="rect"/>
                        </pic:spPr>
                      </pic:pic>
                    </a:graphicData>
                  </a:graphic>
                </wp:inline>
              </w:drawing>
            </w:r>
            <w:r>
              <w:rPr>
                <w:rFonts w:ascii="Public Sans" w:hAnsi="Public Sans"/>
                <w:b w:val="0"/>
                <w:i w:val="0"/>
                <w:color w:val="1B3358"/>
                <w:sz w:val="26"/>
              </w:rPr>
              <w:t xml:space="preserve">  </w:t>
            </w:r>
            <w:r>
              <w:rPr>
                <w:rFonts w:ascii="Public Sans SemiBold" w:hAnsi="Public Sans SemiBold"/>
                <w:b w:val="0"/>
                <w:i w:val="0"/>
                <w:color w:val="1B3358"/>
                <w:sz w:val="26"/>
              </w:rPr>
              <w:t>La rentabilité</w:t>
            </w:r>
          </w:p>
          <w:p>
            <w:pPr>
              <w:tabs>
                <w:tab w:pos="6718" w:val="right"/>
              </w:tabs>
              <w:spacing w:after="0" w:line="240" w:lineRule="auto" w:before="60"/>
            </w:pPr>
            <w:r>
              <w:rPr>
                <w:rFonts w:ascii="Public Sans" w:hAnsi="Public Sans"/>
                <w:b w:val="0"/>
                <w:i w:val="0"/>
                <w:color w:val="5B6672"/>
                <w:sz w:val="20"/>
              </w:rPr>
              <w:t>Cash-flow net / mois</w:t>
            </w:r>
            <w:r>
              <w:rPr>
                <w:rFonts w:ascii="Public Sans SemiBold" w:hAnsi="Public Sans SemiBold"/>
                <w:b w:val="0"/>
                <w:i w:val="0"/>
                <w:color w:val="2D6A4F"/>
                <w:sz w:val="23"/>
              </w:rPr>
              <w:tab/>
              <w:t>46 €</w:t>
            </w:r>
          </w:p>
          <w:p>
            <w:pPr>
              <w:tabs>
                <w:tab w:pos="6718" w:val="right"/>
              </w:tabs>
              <w:spacing w:after="0" w:line="240" w:lineRule="auto" w:before="60"/>
            </w:pPr>
            <w:r>
              <w:rPr>
                <w:rFonts w:ascii="Public Sans" w:hAnsi="Public Sans"/>
                <w:b w:val="0"/>
                <w:i w:val="0"/>
                <w:color w:val="5B6672"/>
                <w:sz w:val="20"/>
              </w:rPr>
              <w:t>Rendement brut</w:t>
            </w:r>
            <w:r>
              <w:rPr>
                <w:rFonts w:ascii="Public Sans SemiBold" w:hAnsi="Public Sans SemiBold"/>
                <w:b w:val="0"/>
                <w:i w:val="0"/>
                <w:color w:val="1F2833"/>
                <w:sz w:val="23"/>
              </w:rPr>
              <w:tab/>
              <w:t>8,1 %</w:t>
            </w:r>
          </w:p>
          <w:p>
            <w:pPr>
              <w:tabs>
                <w:tab w:pos="6718" w:val="right"/>
              </w:tabs>
              <w:spacing w:after="0" w:line="240" w:lineRule="auto" w:before="60"/>
            </w:pPr>
            <w:r>
              <w:rPr>
                <w:rFonts w:ascii="Public Sans" w:hAnsi="Public Sans"/>
                <w:b w:val="0"/>
                <w:i w:val="0"/>
                <w:color w:val="5B6672"/>
                <w:sz w:val="20"/>
              </w:rPr>
              <w:t>Rendement net-net</w:t>
            </w:r>
            <w:r>
              <w:rPr>
                <w:rFonts w:ascii="Public Sans SemiBold" w:hAnsi="Public Sans SemiBold"/>
                <w:b w:val="0"/>
                <w:i w:val="0"/>
                <w:color w:val="1F2833"/>
                <w:sz w:val="23"/>
              </w:rPr>
              <w:tab/>
              <w:t>5,7 %</w:t>
            </w:r>
          </w:p>
        </w:tc>
      </w:tr>
    </w:tbl>
    <w:p>
      <w:pPr>
        <w:spacing w:before="0" w:after="0" w:line="18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257"/>
        <w:gridCol w:w="283"/>
        <w:gridCol w:w="7257"/>
      </w:tblGrid>
      <w:tr>
        <w:tc>
          <w:tcPr>
            <w:tcW w:type="dxa" w:w="7257"/>
            <w:vAlign w:val="top"/>
            <w:shd w:val="clear" w:color="auto" w:fill="EEF2F7"/>
            <w:tcBorders>
              <w:top w:val="nil"/>
              <w:left w:val="single" w:sz="30" w:color="2D6A4F"/>
              <w:bottom w:val="nil"/>
              <w:right w:val="nil"/>
            </w:tcBorders>
            <w:tcMar>
              <w:top w:w="150" w:type="dxa"/>
              <w:bottom w:w="170" w:type="dxa"/>
              <w:left w:w="260" w:type="dxa"/>
              <w:right w:w="240" w:type="dxa"/>
            </w:tcMar>
          </w:tcPr>
          <w:p>
            <w:pPr>
              <w:spacing w:after="100" w:line="240" w:lineRule="auto"/>
            </w:pPr>
            <w:r>
              <w:drawing>
                <wp:inline xmlns:a="http://schemas.openxmlformats.org/drawingml/2006/main" xmlns:pic="http://schemas.openxmlformats.org/drawingml/2006/picture">
                  <wp:extent cx="198000" cy="198000"/>
                  <wp:docPr id="33" name="Picture 33"/>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198000" cy="198000"/>
                          </a:xfrm>
                          <a:prstGeom prst="rect"/>
                        </pic:spPr>
                      </pic:pic>
                    </a:graphicData>
                  </a:graphic>
                </wp:inline>
              </w:drawing>
            </w:r>
            <w:r>
              <w:rPr>
                <w:rFonts w:ascii="Public Sans" w:hAnsi="Public Sans"/>
                <w:b w:val="0"/>
                <w:i w:val="0"/>
                <w:color w:val="1B3358"/>
                <w:sz w:val="26"/>
              </w:rPr>
              <w:t xml:space="preserve">  </w:t>
            </w:r>
            <w:r>
              <w:rPr>
                <w:rFonts w:ascii="Public Sans SemiBold" w:hAnsi="Public Sans SemiBold"/>
                <w:b w:val="0"/>
                <w:i w:val="0"/>
                <w:color w:val="1B3358"/>
                <w:sz w:val="26"/>
              </w:rPr>
              <w:t>Le financement</w:t>
            </w:r>
          </w:p>
          <w:p>
            <w:pPr>
              <w:tabs>
                <w:tab w:pos="6718" w:val="right"/>
              </w:tabs>
              <w:spacing w:after="0" w:line="240" w:lineRule="auto" w:before="60"/>
            </w:pPr>
            <w:r>
              <w:rPr>
                <w:rFonts w:ascii="Public Sans" w:hAnsi="Public Sans"/>
                <w:b w:val="0"/>
                <w:i w:val="0"/>
                <w:color w:val="5B6672"/>
                <w:sz w:val="20"/>
              </w:rPr>
              <w:t>Apport</w:t>
            </w:r>
            <w:r>
              <w:rPr>
                <w:rFonts w:ascii="Public Sans SemiBold" w:hAnsi="Public Sans SemiBold"/>
                <w:b w:val="0"/>
                <w:i w:val="0"/>
                <w:color w:val="1F2833"/>
                <w:sz w:val="23"/>
              </w:rPr>
              <w:tab/>
              <w:t>25 000 € (24 %)</w:t>
            </w:r>
          </w:p>
          <w:p>
            <w:pPr>
              <w:tabs>
                <w:tab w:pos="6718" w:val="right"/>
              </w:tabs>
              <w:spacing w:after="0" w:line="240" w:lineRule="auto" w:before="60"/>
            </w:pPr>
            <w:r>
              <w:rPr>
                <w:rFonts w:ascii="Public Sans" w:hAnsi="Public Sans"/>
                <w:b w:val="0"/>
                <w:i w:val="0"/>
                <w:color w:val="5B6672"/>
                <w:sz w:val="20"/>
              </w:rPr>
              <w:t>Crédit</w:t>
            </w:r>
            <w:r>
              <w:rPr>
                <w:rFonts w:ascii="Public Sans SemiBold" w:hAnsi="Public Sans SemiBold"/>
                <w:b w:val="0"/>
                <w:i w:val="0"/>
                <w:color w:val="1F2833"/>
                <w:sz w:val="23"/>
              </w:rPr>
              <w:tab/>
              <w:t>80 000 € · 25 ans à 3,50 %</w:t>
            </w:r>
          </w:p>
          <w:p>
            <w:pPr>
              <w:tabs>
                <w:tab w:pos="6718" w:val="right"/>
              </w:tabs>
              <w:spacing w:after="0" w:line="240" w:lineRule="auto" w:before="60"/>
            </w:pPr>
            <w:r>
              <w:rPr>
                <w:rFonts w:ascii="Public Sans" w:hAnsi="Public Sans"/>
                <w:b w:val="0"/>
                <w:i w:val="0"/>
                <w:color w:val="5B6672"/>
                <w:sz w:val="20"/>
              </w:rPr>
              <w:t>Taux d'endettement</w:t>
            </w:r>
            <w:r>
              <w:rPr>
                <w:rFonts w:ascii="Public Sans SemiBold" w:hAnsi="Public Sans SemiBold"/>
                <w:b w:val="0"/>
                <w:i w:val="0"/>
                <w:color w:val="2D6A4F"/>
                <w:sz w:val="23"/>
              </w:rPr>
              <w:tab/>
              <w:t>12,1 %</w:t>
            </w:r>
          </w:p>
        </w:tc>
        <w:tc>
          <w:tcPr>
            <w:tcW w:type="dxa" w:w="283"/>
          </w:tcPr>
          <w:p/>
        </w:tc>
        <w:tc>
          <w:tcPr>
            <w:tcW w:type="dxa" w:w="7257"/>
            <w:vAlign w:val="top"/>
            <w:shd w:val="clear" w:color="auto" w:fill="EEF2F7"/>
            <w:tcBorders>
              <w:top w:val="nil"/>
              <w:left w:val="single" w:sz="30" w:color="2D6A4F"/>
              <w:bottom w:val="nil"/>
              <w:right w:val="nil"/>
            </w:tcBorders>
            <w:tcMar>
              <w:top w:w="150" w:type="dxa"/>
              <w:bottom w:w="170" w:type="dxa"/>
              <w:left w:w="260" w:type="dxa"/>
              <w:right w:w="240" w:type="dxa"/>
            </w:tcMar>
          </w:tcPr>
          <w:p>
            <w:pPr>
              <w:spacing w:after="100" w:line="240" w:lineRule="auto"/>
            </w:pPr>
            <w:r>
              <w:drawing>
                <wp:inline xmlns:a="http://schemas.openxmlformats.org/drawingml/2006/main" xmlns:pic="http://schemas.openxmlformats.org/drawingml/2006/picture">
                  <wp:extent cx="198000" cy="198000"/>
                  <wp:docPr id="34" name="Picture 34"/>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198000" cy="198000"/>
                          </a:xfrm>
                          <a:prstGeom prst="rect"/>
                        </pic:spPr>
                      </pic:pic>
                    </a:graphicData>
                  </a:graphic>
                </wp:inline>
              </w:drawing>
            </w:r>
            <w:r>
              <w:rPr>
                <w:rFonts w:ascii="Public Sans" w:hAnsi="Public Sans"/>
                <w:b w:val="0"/>
                <w:i w:val="0"/>
                <w:color w:val="1B3358"/>
                <w:sz w:val="26"/>
              </w:rPr>
              <w:t xml:space="preserve">  </w:t>
            </w:r>
            <w:r>
              <w:rPr>
                <w:rFonts w:ascii="Public Sans SemiBold" w:hAnsi="Public Sans SemiBold"/>
                <w:b w:val="0"/>
                <w:i w:val="0"/>
                <w:color w:val="1B3358"/>
                <w:sz w:val="26"/>
              </w:rPr>
              <w:t>Sur 20 ans</w:t>
            </w:r>
          </w:p>
          <w:p>
            <w:pPr>
              <w:tabs>
                <w:tab w:pos="6718" w:val="right"/>
              </w:tabs>
              <w:spacing w:after="0" w:line="240" w:lineRule="auto" w:before="60"/>
            </w:pPr>
            <w:r>
              <w:rPr>
                <w:rFonts w:ascii="Public Sans" w:hAnsi="Public Sans"/>
                <w:b w:val="0"/>
                <w:i w:val="0"/>
                <w:color w:val="5B6672"/>
                <w:sz w:val="20"/>
              </w:rPr>
              <w:t>Enrichissement net</w:t>
            </w:r>
            <w:r>
              <w:rPr>
                <w:rFonts w:ascii="Public Sans SemiBold" w:hAnsi="Public Sans SemiBold"/>
                <w:b w:val="0"/>
                <w:i w:val="0"/>
                <w:color w:val="2D6A4F"/>
                <w:sz w:val="23"/>
              </w:rPr>
              <w:tab/>
              <w:t>46 082 €</w:t>
            </w:r>
          </w:p>
          <w:p>
            <w:pPr>
              <w:tabs>
                <w:tab w:pos="6718" w:val="right"/>
              </w:tabs>
              <w:spacing w:after="0" w:line="240" w:lineRule="auto" w:before="60"/>
            </w:pPr>
            <w:r>
              <w:rPr>
                <w:rFonts w:ascii="Public Sans" w:hAnsi="Public Sans"/>
                <w:b w:val="0"/>
                <w:i w:val="0"/>
                <w:color w:val="5B6672"/>
                <w:sz w:val="20"/>
              </w:rPr>
              <w:t>Effort d'épargne / mois</w:t>
            </w:r>
            <w:r>
              <w:rPr>
                <w:rFonts w:ascii="Public Sans SemiBold" w:hAnsi="Public Sans SemiBold"/>
                <w:b w:val="0"/>
                <w:i w:val="0"/>
                <w:color w:val="1F2833"/>
                <w:sz w:val="23"/>
              </w:rPr>
              <w:tab/>
              <w:t>Aucun</w:t>
            </w:r>
          </w:p>
          <w:p>
            <w:pPr>
              <w:tabs>
                <w:tab w:pos="6718" w:val="right"/>
              </w:tabs>
              <w:spacing w:after="0" w:line="240" w:lineRule="auto" w:before="60"/>
            </w:pPr>
            <w:r>
              <w:rPr>
                <w:rFonts w:ascii="Public Sans" w:hAnsi="Public Sans"/>
                <w:b w:val="0"/>
                <w:i w:val="0"/>
                <w:color w:val="5B6672"/>
                <w:sz w:val="20"/>
              </w:rPr>
              <w:t>Régime fiscal le plus favorable</w:t>
            </w:r>
            <w:r>
              <w:rPr>
                <w:rFonts w:ascii="Public Sans SemiBold" w:hAnsi="Public Sans SemiBold"/>
                <w:b w:val="0"/>
                <w:i w:val="0"/>
                <w:color w:val="1F2833"/>
                <w:sz w:val="23"/>
              </w:rPr>
              <w:tab/>
              <w:t>LMNP au réel</w:t>
            </w:r>
          </w:p>
        </w:tc>
      </w:tr>
    </w:tbl>
    <w:p>
      <w:pPr>
        <w:spacing w:before="0" w:after="0" w:line="180" w:lineRule="exact"/>
      </w:pPr>
    </w:p>
    <w:p>
      <w:pPr>
        <w:sectPr>
          <w:footerReference w:type="default" r:id="rId48"/>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35" name="Picture 35"/>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11" w:name="chapitre_11"/>
            <w:pPr>
              <w:spacing w:after="0" w:line="240" w:lineRule="auto"/>
            </w:pPr>
            <w:r>
              <w:drawing>
                <wp:inline xmlns:a="http://schemas.openxmlformats.org/drawingml/2006/main" xmlns:pic="http://schemas.openxmlformats.org/drawingml/2006/picture">
                  <wp:extent cx="223200" cy="223200"/>
                  <wp:docPr id="36" name="Picture 36"/>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Pièces à fournir à la banque</w:t>
            </w:r>
            <w:bookmarkEnd w:id="11"/>
          </w:p>
          <w:p>
            <w:pPr>
              <w:spacing w:before="20" w:after="0" w:line="240" w:lineRule="auto"/>
            </w:pPr>
            <w:r>
              <w:rPr>
                <w:rFonts w:ascii="Public Sans" w:hAnsi="Public Sans"/>
                <w:b w:val="0"/>
                <w:i w:val="0"/>
                <w:color w:val="5B6672"/>
                <w:sz w:val="20"/>
              </w:rPr>
              <w:t>Les documents à réunir pour que la banque ouvre l'étude de financement.</w:t>
            </w:r>
          </w:p>
        </w:tc>
      </w:tr>
    </w:tbl>
    <w:p>
      <w:pPr>
        <w:spacing w:before="0" w:after="0" w:line="280" w:lineRule="exact"/>
      </w:pPr>
    </w:p>
    <w:tbl>
      <w:tblPr>
        <w:tblW w:type="auto" w:w="0"/>
        <w:tblLayout w:type="fixed"/>
        <w:tblLook w:firstColumn="1" w:firstRow="1" w:lastColumn="0" w:lastRow="0" w:noHBand="0" w:noVBand="1" w:val="04A0"/>
      </w:tblPr>
      <w:tblGrid>
        <w:gridCol w:w="624"/>
        <w:gridCol w:w="5669"/>
        <w:gridCol w:w="8504"/>
      </w:tblGrid>
      <w:tr>
        <w:tc>
          <w:tcPr>
            <w:tcW w:type="dxa" w:w="14797"/>
            <w:gridSpan w:val="3"/>
            <w:shd w:val="clear" w:color="auto" w:fill="EEF2F7"/>
            <w:tcMar>
              <w:top w:w="70" w:type="dxa"/>
              <w:bottom w:w="70" w:type="dxa"/>
              <w:left w:w="120" w:type="dxa"/>
              <w:right w:w="90" w:type="dxa"/>
            </w:tcMar>
          </w:tcPr>
          <w:p>
            <w:pPr>
              <w:spacing w:after="0" w:line="240" w:lineRule="auto"/>
            </w:pPr>
            <w:r>
              <w:rPr>
                <w:rFonts w:ascii="Public Sans SemiBold" w:hAnsi="Public Sans SemiBold"/>
                <w:b w:val="0"/>
                <w:i w:val="0"/>
                <w:color w:val="1B3358"/>
                <w:sz w:val="16"/>
              </w:rPr>
              <w:t>IDENTITÉ ET DOMICILE</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Pièce d'identité</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Carte d'identité ou passeport en cours de validité</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Justificatif de domicile</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Facture d'énergie, quittance de loyer ou avis de taxe foncière récent</w:t>
            </w:r>
          </w:p>
        </w:tc>
      </w:tr>
      <w:tr>
        <w:tc>
          <w:tcPr>
            <w:tcW w:type="dxa" w:w="14797"/>
            <w:gridSpan w:val="3"/>
            <w:shd w:val="clear" w:color="auto" w:fill="EEF2F7"/>
            <w:tcMar>
              <w:top w:w="70" w:type="dxa"/>
              <w:bottom w:w="70" w:type="dxa"/>
              <w:left w:w="120" w:type="dxa"/>
              <w:right w:w="90" w:type="dxa"/>
            </w:tcMar>
          </w:tcPr>
          <w:p>
            <w:pPr>
              <w:spacing w:after="0" w:line="240" w:lineRule="auto"/>
            </w:pPr>
            <w:r>
              <w:rPr>
                <w:rFonts w:ascii="Public Sans SemiBold" w:hAnsi="Public Sans SemiBold"/>
                <w:b w:val="0"/>
                <w:i w:val="0"/>
                <w:color w:val="1B3358"/>
                <w:sz w:val="16"/>
              </w:rPr>
              <w:t>REVENUS ET SITUATION PROFESSIONNELLE</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3 derniers bulletins de salaire</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Ainsi que celui de décembre de l'année précédente (cumul annuel)</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Contrat de travail</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Ou, à défaut, attestation de l'employeur</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2 derniers avis d'imposition</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Toutes les pages</w:t>
            </w:r>
          </w:p>
        </w:tc>
      </w:tr>
      <w:tr>
        <w:tc>
          <w:tcPr>
            <w:tcW w:type="dxa" w:w="14797"/>
            <w:gridSpan w:val="3"/>
            <w:shd w:val="clear" w:color="auto" w:fill="EEF2F7"/>
            <w:tcMar>
              <w:top w:w="70" w:type="dxa"/>
              <w:bottom w:w="70" w:type="dxa"/>
              <w:left w:w="120" w:type="dxa"/>
              <w:right w:w="90" w:type="dxa"/>
            </w:tcMar>
          </w:tcPr>
          <w:p>
            <w:pPr>
              <w:spacing w:after="0" w:line="240" w:lineRule="auto"/>
            </w:pPr>
            <w:r>
              <w:rPr>
                <w:rFonts w:ascii="Public Sans SemiBold" w:hAnsi="Public Sans SemiBold"/>
                <w:b w:val="0"/>
                <w:i w:val="0"/>
                <w:color w:val="1B3358"/>
                <w:sz w:val="16"/>
              </w:rPr>
              <w:t>COMPTES BANCAIRES</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3 derniers relevés de compte</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Tous les comptes courants</w:t>
            </w:r>
          </w:p>
        </w:tc>
      </w:tr>
      <w:tr>
        <w:tc>
          <w:tcPr>
            <w:tcW w:type="dxa" w:w="14797"/>
            <w:gridSpan w:val="3"/>
            <w:shd w:val="clear" w:color="auto" w:fill="EEF2F7"/>
            <w:tcMar>
              <w:top w:w="70" w:type="dxa"/>
              <w:bottom w:w="70" w:type="dxa"/>
              <w:left w:w="120" w:type="dxa"/>
              <w:right w:w="90" w:type="dxa"/>
            </w:tcMar>
          </w:tcPr>
          <w:p>
            <w:pPr>
              <w:spacing w:after="0" w:line="240" w:lineRule="auto"/>
            </w:pPr>
            <w:r>
              <w:rPr>
                <w:rFonts w:ascii="Public Sans SemiBold" w:hAnsi="Public Sans SemiBold"/>
                <w:b w:val="0"/>
                <w:i w:val="0"/>
                <w:color w:val="1B3358"/>
                <w:sz w:val="16"/>
              </w:rPr>
              <w:t>LE BIEN</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Compromis de vente</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Si déjà signé</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DPE (diagnostic de performance énergétique)</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Fourni par le vendeur ou l'agence</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Devis des travaux</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Travaux prévus au plan de financement : 8 000 €</w:t>
            </w:r>
          </w:p>
        </w:tc>
      </w:tr>
    </w:tbl>
    <w:p>
      <w:pPr>
        <w:spacing w:before="120"/>
      </w:pPr>
      <w:r>
        <w:rPr>
          <w:i/>
          <w:color w:val="969EA8"/>
          <w:sz w:val="18"/>
        </w:rPr>
        <w:t>Pièces à fournir pour chaque emprunteur. Les cases se cochent d'un clic dans Word. La banque peut demander des justificatifs complémentaires selon la situation (épargne constituant l'apport, crédits en cours, revenus locatifs existants…).</w:t>
      </w:r>
    </w:p>
    <w:p>
      <w:pPr>
        <w:sectPr>
          <w:footerReference w:type="default" r:id="rId55"/>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37" name="Picture 37"/>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12" w:name="chapitre_12"/>
            <w:pPr>
              <w:spacing w:after="0" w:line="240" w:lineRule="auto"/>
            </w:pPr>
            <w:r>
              <w:drawing>
                <wp:inline xmlns:a="http://schemas.openxmlformats.org/drawingml/2006/main" xmlns:pic="http://schemas.openxmlformats.org/drawingml/2006/picture">
                  <wp:extent cx="223200" cy="223200"/>
                  <wp:docPr id="38" name="Picture 38"/>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Mentions et méthodologie</w:t>
            </w:r>
            <w:bookmarkEnd w:id="12"/>
          </w:p>
          <w:p>
            <w:pPr>
              <w:spacing w:before="20" w:after="0" w:line="240" w:lineRule="auto"/>
            </w:pPr>
            <w:r>
              <w:rPr>
                <w:rFonts w:ascii="Public Sans" w:hAnsi="Public Sans"/>
                <w:b w:val="0"/>
                <w:i w:val="0"/>
                <w:color w:val="5B6672"/>
                <w:sz w:val="20"/>
              </w:rPr>
              <w:t>Hypothèses de calcul et limites de l'estimation.</w:t>
            </w:r>
          </w:p>
        </w:tc>
      </w:tr>
    </w:tbl>
    <w:p>
      <w:pPr>
        <w:spacing w:before="0" w:after="0" w:line="280" w:lineRule="exact"/>
      </w:pPr>
    </w:p>
    <w:p>
      <w:r>
        <w:t>Ce document est une estimation générée automatiquement à partir des hypothèses saisies par l'utilisateur (prix, loyers ou tarifs de location, charges, taux, durée...).</w:t>
      </w:r>
    </w:p>
    <w:p>
      <w:r>
        <w:t>Credaura produit des calculs à partir des données saisies. Ce n'est ni un conseil en investissement, en financement ou en fiscalité, ni une offre de prêt. Credaura n'est ni un établissement de crédit, ni un intermédiaire en opérations de banque et en services de paiement (IOBSP, article L. 519-1 du Code monétaire et financier) : il ne propose aucun crédit et ne met en relation avec aucun établissement. La banque reste seule décisionnaire.</w:t>
      </w:r>
    </w:p>
    <w:p>
      <w:r>
        <w:t>Le barème de l'impôt sur le revenu, les taux de prélèvements sociaux et les règles d'amortissement appliqués correspondent à la législation en vigueur au moment de la génération du document et sont susceptibles d'évoluer.</w:t>
      </w:r>
    </w:p>
    <w:p>
      <w:r>
        <w:rPr>
          <w:i/>
        </w:rPr>
        <w:t>Ces éléments doivent être vérifiés et validés par un professionnel (notaire, expert-comptable, courtier en crédit) avant toute décision d'investissement ou constitution d'un dossier de financement définitif.</w:t>
      </w:r>
    </w:p>
    <w:sectPr w:rsidR="00FC693F" w:rsidRPr="0006063C" w:rsidSect="00034616">
      <w:footerReference w:type="default" r:id="rId58"/>
      <w:pgSz w:w="16838" w:h="11906" w:orient="landscape"/>
      <w:pgMar w:top="1020" w:right="1020" w:bottom="1020" w:left="1020" w:header="720" w:footer="340" w:gutter="0"/>
      <w:cols w:space="720"/>
      <w:docGrid w:linePitch="360"/>
      <w:vAlign w:val="top"/>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Sora">
    <w:charset w:val="00"/>
    <w:family w:val="swiss"/>
    <w:pitch w:val="variable"/>
    <w:embedRegular r:id="rId1" w:fontKey="{BE5A61B9-C939-4518-BC7E-FEA3BDC2E830}"/>
  </w:font>
  <w:font w:name="Sora SemiBold">
    <w:charset w:val="00"/>
    <w:family w:val="swiss"/>
    <w:pitch w:val="variable"/>
    <w:embedRegular r:id="rId2" w:fontKey="{DC91B29C-E594-4D4C-A1D4-F0C6260F3135}"/>
  </w:font>
  <w:font w:name="Public Sans">
    <w:charset w:val="00"/>
    <w:family w:val="swiss"/>
    <w:pitch w:val="variable"/>
    <w:embedRegular r:id="rId3" w:fontKey="{A1015F74-3ED3-4C88-B0A8-CA35EEC65F10}"/>
    <w:embedItalic r:id="rId4" w:fontKey="{3CBFE726-F7DD-40A5-955D-D9233B55ECAB}"/>
  </w:font>
  <w:font w:name="Public Sans SemiBold">
    <w:charset w:val="00"/>
    <w:family w:val="swiss"/>
    <w:pitch w:val="variable"/>
    <w:embedRegular r:id="rId5" w:fontKey="{2647738B-59A3-4636-8FB3-7584613469C8}"/>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4797" w:val="right"/>
      </w:tabs>
      <w:spacing w:after="0" w:line="240" w:lineRule="auto"/>
    </w:pPr>
    <w:r>
      <w:rPr>
        <w:rFonts w:ascii="Public Sans" w:hAnsi="Public Sans"/>
        <w:b w:val="0"/>
        <w:i/>
        <w:color w:val="969EA8"/>
        <w:sz w:val="16"/>
      </w:rPr>
      <w:t>Établi avec Credaura — estimation pédagogique,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88506"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88506"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88506"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88506"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88506"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88506"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95071"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95071"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95071"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95071"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95071"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95071"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95071"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95071"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95071"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95071"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95071"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95071"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88506"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88506"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88506"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88506"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88506"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88506"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4797" w:val="right"/>
      </w:tabs>
      <w:spacing w:after="0" w:line="240" w:lineRule="auto"/>
      <w:pBdr>
        <w:bottom w:val="single" w:sz="6" w:space="4" w:color="A8823B"/>
      </w:pBdr>
    </w:pPr>
    <w:r>
      <w:rPr>
        <w:rFonts w:ascii="Public Sans SemiBold" w:hAnsi="Public Sans SemiBold"/>
        <w:b w:val="0"/>
        <w:i w:val="0"/>
        <w:color w:val="1B3358"/>
        <w:sz w:val="16"/>
      </w:rPr>
      <w:t>CREDAURA  ·  DOSSIER DE FINANCEMENT IMMOBILIER</w:t>
    </w:r>
    <w:r>
      <w:rPr>
        <w:rFonts w:ascii="Public Sans" w:hAnsi="Public Sans"/>
        <w:b w:val="0"/>
        <w:i w:val="0"/>
        <w:color w:val="969EA8"/>
        <w:sz w:val="16"/>
      </w:rPr>
      <w:tab/>
      <w:t>12 Rue Michelet 42000 Saint-Étienne — Location longue durée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ublic Sans" w:hAnsi="Public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footer" Target="footer2.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footer" Target="footer3.xml"/><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footer" Target="footer4.xml"/><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footer" Target="footer5.xml"/><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footer" Target="footer6.xml"/><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footer" Target="footer7.xml"/><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footer" Target="footer8.xml"/><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footer" Target="footer9.xml"/><Relationship Id="rId42" Type="http://schemas.openxmlformats.org/officeDocument/2006/relationships/image" Target="media/image27.png"/><Relationship Id="rId43" Type="http://schemas.openxmlformats.org/officeDocument/2006/relationships/image" Target="media/image28.png"/><Relationship Id="rId44" Type="http://schemas.openxmlformats.org/officeDocument/2006/relationships/footer" Target="footer10.xml"/><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footer" Target="footer11.xml"/><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footer" Target="footer12.xml"/><Relationship Id="rId56" Type="http://schemas.openxmlformats.org/officeDocument/2006/relationships/image" Target="media/image39.png"/><Relationship Id="rId57" Type="http://schemas.openxmlformats.org/officeDocument/2006/relationships/image" Target="media/image40.png"/><Relationship Id="rId58" Type="http://schemas.openxmlformats.org/officeDocument/2006/relationships/footer" Target="footer13.xml"/><Relationship Id="rId59" Type="http://schemas.openxmlformats.org/officeDocument/2006/relationships/image" Target="media/image41.png"/><Relationship Id="rId60" Type="http://schemas.openxmlformats.org/officeDocument/2006/relationships/image" Target="media/image42.png"/></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13.png"/></Relationships>
</file>

<file path=word/_rels/footer6.xml.rels><?xml version='1.0' encoding='UTF-8' standalone='yes'?>
<Relationships xmlns="http://schemas.openxmlformats.org/package/2006/relationships"><Relationship Id="rId1" Type="http://schemas.openxmlformats.org/officeDocument/2006/relationships/image" Target="media/image13.png"/></Relationships>
</file>

<file path=word/_rels/footer7.xml.rels><?xml version='1.0' encoding='UTF-8' standalone='yes'?>
<Relationships xmlns="http://schemas.openxmlformats.org/package/2006/relationships"><Relationship Id="rId1" Type="http://schemas.openxmlformats.org/officeDocument/2006/relationships/image" Target="media/image13.png"/></Relationships>
</file>

<file path=word/_rels/footer8.xml.rels><?xml version='1.0' encoding='UTF-8' standalone='yes'?>
<Relationships xmlns="http://schemas.openxmlformats.org/package/2006/relationships"><Relationship Id="rId1" Type="http://schemas.openxmlformats.org/officeDocument/2006/relationships/image" Target="media/image23.png"/></Relationships>
</file>

<file path=word/_rels/footer9.xml.rels><?xml version='1.0' encoding='UTF-8' standalone='yes'?>
<Relationships xmlns="http://schemas.openxmlformats.org/package/2006/relationships"><Relationship Id="rId1" Type="http://schemas.openxmlformats.org/officeDocument/2006/relationships/image" Target="media/image23.png"/></Relationships>
</file>

<file path=word/_rels/footer10.xml.rels><?xml version='1.0' encoding='UTF-8' standalone='yes'?>
<Relationships xmlns="http://schemas.openxmlformats.org/package/2006/relationships"><Relationship Id="rId1" Type="http://schemas.openxmlformats.org/officeDocument/2006/relationships/image" Target="media/image23.png"/></Relationships>
</file>

<file path=word/_rels/footer11.xml.rels><?xml version='1.0' encoding='UTF-8' standalone='yes'?>
<Relationships xmlns="http://schemas.openxmlformats.org/package/2006/relationships"><Relationship Id="rId1" Type="http://schemas.openxmlformats.org/officeDocument/2006/relationships/image" Target="media/image32.png"/></Relationships>
</file>

<file path=word/_rels/footer12.xml.rels><?xml version='1.0' encoding='UTF-8' standalone='yes'?>
<Relationships xmlns="http://schemas.openxmlformats.org/package/2006/relationships"><Relationship Id="rId1" Type="http://schemas.openxmlformats.org/officeDocument/2006/relationships/image" Target="media/image32.png"/></Relationships>
</file>

<file path=word/_rels/footer13.xml.rels><?xml version='1.0' encoding='UTF-8' standalone='yes'?>
<Relationships xmlns="http://schemas.openxmlformats.org/package/2006/relationships"><Relationship Id="rId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