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041"/>
        <w:gridCol w:w="12756"/>
      </w:tblGrid>
      <w:tr>
        <w:tc>
          <w:tcPr>
            <w:tcW w:type="dxa" w:w="2041"/>
            <w:vAlign w:val="center"/>
            <w:shd w:val="clear" w:color="auto" w:fill="1B3358"/>
            <w:tcMar>
              <w:top w:w="500" w:type="dxa"/>
              <w:bottom w:w="500" w:type="dxa"/>
              <w:left w:w="400" w:type="dxa"/>
              <w:right w:w="100" w:type="dxa"/>
            </w:tcMar>
          </w:tcPr>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36000" cy="936000"/>
                          </a:xfrm>
                          <a:prstGeom prst="rect"/>
                        </pic:spPr>
                      </pic:pic>
                    </a:graphicData>
                  </a:graphic>
                </wp:inline>
              </w:drawing>
            </w:r>
          </w:p>
        </w:tc>
        <w:tc>
          <w:tcPr>
            <w:tcW w:type="dxa" w:w="12756"/>
            <w:vAlign w:val="center"/>
            <w:shd w:val="clear" w:color="auto" w:fill="1B3358"/>
            <w:tcMar>
              <w:top w:w="500" w:type="dxa"/>
              <w:bottom w:w="500" w:type="dxa"/>
              <w:left w:w="200" w:type="dxa"/>
              <w:right w:w="400" w:type="dxa"/>
            </w:tcMar>
          </w:tcPr>
          <w:p>
            <w:pPr>
              <w:spacing w:after="0" w:line="240" w:lineRule="auto"/>
            </w:pPr>
            <w:r>
              <w:rPr>
                <w:rFonts w:ascii="Public Sans SemiBold" w:hAnsi="Public Sans SemiBold"/>
                <w:b w:val="0"/>
                <w:i w:val="0"/>
                <w:color w:val="E9D8B0"/>
                <w:sz w:val="22"/>
              </w:rPr>
              <w:t>CREDAURA  ·  DOSSIER DE FINANCEMENT IMMOBILIER</w:t>
            </w:r>
          </w:p>
          <w:p>
            <w:pPr>
              <w:spacing w:before="80" w:after="0" w:line="240" w:lineRule="auto"/>
            </w:pPr>
            <w:r>
              <w:rPr>
                <w:rFonts w:ascii="Sora SemiBold" w:hAnsi="Sora SemiBold"/>
                <w:b w:val="0"/>
                <w:i w:val="0"/>
                <w:color w:val="FFFFFF"/>
                <w:sz w:val="56"/>
              </w:rPr>
              <w:t>12 Rue Michelet 42000 Saint-Étienne</w:t>
            </w:r>
          </w:p>
          <w:p>
            <w:pPr>
              <w:spacing w:before="80" w:after="0" w:line="240" w:lineRule="auto"/>
            </w:pPr>
            <w:r>
              <w:rPr>
                <w:rFonts w:ascii="Public Sans" w:hAnsi="Public Sans"/>
                <w:b w:val="0"/>
                <w:i w:val="0"/>
                <w:color w:val="FFFFFF"/>
                <w:sz w:val="24"/>
              </w:rPr>
              <w:t>Location longue durée  ·  Personne physique</w:t>
            </w:r>
          </w:p>
        </w:tc>
      </w:tr>
    </w:tbl>
    <w:p>
      <w:pPr>
        <w:spacing w:before="0" w:after="0" w:line="44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44"/>
              </w:rPr>
              <w:t>76 000 €</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MENSUEL</w:t>
            </w:r>
          </w:p>
          <w:p>
            <w:pPr>
              <w:spacing w:before="40" w:after="0" w:line="240" w:lineRule="auto"/>
            </w:pPr>
            <w:r>
              <w:rPr>
                <w:rFonts w:ascii="Sora SemiBold" w:hAnsi="Sora SemiBold"/>
                <w:b w:val="0"/>
                <w:i w:val="0"/>
                <w:color w:val="1B3358"/>
                <w:sz w:val="44"/>
              </w:rPr>
              <w:t>710 €</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MENSUEL</w:t>
            </w:r>
          </w:p>
          <w:p>
            <w:pPr>
              <w:spacing w:before="40" w:after="0" w:line="240" w:lineRule="auto"/>
            </w:pPr>
            <w:r>
              <w:rPr>
                <w:rFonts w:ascii="Sora SemiBold" w:hAnsi="Sora SemiBold"/>
                <w:b w:val="0"/>
                <w:i w:val="0"/>
                <w:color w:val="2D6A4F"/>
                <w:sz w:val="44"/>
              </w:rPr>
              <w:t>46 €</w:t>
            </w:r>
          </w:p>
        </w:tc>
        <w:tc>
          <w:tcPr>
            <w:tcW w:type="dxa" w:w="3699"/>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RENDEMENT BRUT</w:t>
            </w:r>
          </w:p>
          <w:p>
            <w:pPr>
              <w:spacing w:before="40" w:after="0" w:line="240" w:lineRule="auto"/>
            </w:pPr>
            <w:r>
              <w:rPr>
                <w:rFonts w:ascii="Sora SemiBold" w:hAnsi="Sora SemiBold"/>
                <w:b w:val="0"/>
                <w:i w:val="0"/>
                <w:color w:val="1B3358"/>
                <w:sz w:val="44"/>
              </w:rPr>
              <w:t>8,1 %</w:t>
            </w:r>
          </w:p>
        </w:tc>
      </w:tr>
    </w:tbl>
    <w:p>
      <w:pPr>
        <w:spacing w:before="0" w:after="0" w:line="200" w:lineRule="exact"/>
      </w:pPr>
    </w:p>
    <w:p>
      <w:pPr>
        <w:spacing w:before="0" w:after="0" w:line="200" w:lineRule="exact"/>
      </w:pPr>
    </w:p>
    <w:p>
      <w:pPr>
        <w:spacing w:after="0" w:line="240" w:lineRule="auto"/>
        <w:jc w:val="center"/>
      </w:pPr>
      <w:r>
        <w:rPr>
          <w:rFonts w:ascii="Public Sans" w:hAnsi="Public Sans"/>
          <w:b w:val="0"/>
          <w:i w:val="0"/>
          <w:color w:val="5B6672"/>
          <w:sz w:val="22"/>
        </w:rPr>
        <w:t>Emprunteur : Camille Exemple (emprunteur fictif)   ·   Document établi le 04/10/2026</w:t>
      </w:r>
    </w:p>
    <w:p>
      <w:pPr>
        <w:spacing w:after="0" w:line="240" w:lineRule="auto"/>
        <w:jc w:val="center"/>
      </w:pPr>
      <w:r>
        <w:rPr>
          <w:rFonts w:ascii="Public Sans" w:hAnsi="Public Sans"/>
          <w:b w:val="0"/>
          <w:i/>
          <w:color w:val="969EA8"/>
          <w:sz w:val="18"/>
        </w:rPr>
        <w:t>Document établi avec Credaura — estimation pédagogique, à faire valider par un professionnel avant toute décision.</w:t>
      </w:r>
    </w:p>
    <w:p>
      <w:pPr>
        <w:sectPr>
          <w:headerReference w:type="default" r:id="rId9"/>
          <w:footerReference w:type="default" r:id="rId10"/>
          <w:pgSz w:w="16838" w:h="11906" w:orient="landscape"/>
          <w:pgMar w:top="1020" w:right="1020" w:bottom="1020" w:left="1020" w:header="720" w:footer="340" w:gutter="0"/>
          <w:cols w:space="720"/>
          <w:titlePg/>
          <w:docGrid w:linePitch="360"/>
          <w:vAlign w:val="center"/>
        </w:sectPr>
      </w:pPr>
    </w:p>
    <w:p>
      <w:pPr>
        <w:spacing w:after="80" w:line="240" w:lineRule="auto"/>
        <w:pBdr>
          <w:bottom w:val="single" w:sz="12" w:space="4" w:color="1B3358"/>
        </w:pBdr>
      </w:pPr>
      <w:r>
        <w:rPr>
          <w:rFonts w:ascii="Sora SemiBold" w:hAnsi="Sora SemiBold"/>
          <w:b w:val="0"/>
          <w:i w:val="0"/>
          <w:color w:val="1F2833"/>
          <w:sz w:val="48"/>
        </w:rPr>
        <w:t>Sommaire</w:t>
      </w:r>
    </w:p>
    <w:p>
      <w:pPr>
        <w:spacing w:before="0" w:after="0" w:line="48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973"/>
        <w:gridCol w:w="850"/>
        <w:gridCol w:w="6973"/>
      </w:tblGrid>
      <w:tr>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BIEN</w:t>
            </w:r>
          </w:p>
          <w:p>
            <w:pPr>
              <w:tabs>
                <w:tab w:pos="680" w:val="left"/>
                <w:tab w:pos="6917" w:val="right" w:leader="dot"/>
              </w:tabs>
              <w:spacing w:after="180" w:line="240" w:lineRule="auto"/>
            </w:pPr>
            <w:hyperlink w:anchor="chapitre_01" w:history="1">
              <w:r>
                <w:rPr>
                  <w:rFonts w:ascii="Public Sans SemiBold" w:hAnsi="Public Sans SemiBold"/>
                  <w:b w:val="0"/>
                  <w:i w:val="0"/>
                  <w:color w:val="1B3358"/>
                  <w:sz w:val="26"/>
                </w:rPr>
                <w:t>01</w:t>
              </w:r>
              <w:r>
                <w:rPr>
                  <w:rFonts w:ascii="Public Sans" w:hAnsi="Public Sans"/>
                  <w:b w:val="0"/>
                  <w:i w:val="0"/>
                  <w:color w:val="1F2833"/>
                  <w:sz w:val="26"/>
                </w:rPr>
                <w:tab/>
                <w:t>Le bien sur la carte</w:t>
              </w:r>
              <w:r>
                <w:rPr>
                  <w:rFonts w:ascii="Public Sans" w:hAnsi="Public Sans"/>
                  <w:b w:val="0"/>
                  <w:i w:val="0"/>
                  <w:color w:val="5B6672"/>
                  <w:sz w:val="26"/>
                </w:rPr>
                <w:tab/>
                <w:t>3</w:t>
              </w:r>
            </w:hyperlink>
          </w:p>
          <w:p>
            <w:pPr>
              <w:tabs>
                <w:tab w:pos="680" w:val="left"/>
                <w:tab w:pos="6917" w:val="right" w:leader="dot"/>
              </w:tabs>
              <w:spacing w:after="180" w:line="240" w:lineRule="auto"/>
            </w:pPr>
            <w:hyperlink w:anchor="chapitre_02" w:history="1">
              <w:r>
                <w:rPr>
                  <w:rFonts w:ascii="Public Sans SemiBold" w:hAnsi="Public Sans SemiBold"/>
                  <w:b w:val="0"/>
                  <w:i w:val="0"/>
                  <w:color w:val="1B3358"/>
                  <w:sz w:val="26"/>
                </w:rPr>
                <w:t>02</w:t>
              </w:r>
              <w:r>
                <w:rPr>
                  <w:rFonts w:ascii="Public Sans" w:hAnsi="Public Sans"/>
                  <w:b w:val="0"/>
                  <w:i w:val="0"/>
                  <w:color w:val="1F2833"/>
                  <w:sz w:val="26"/>
                </w:rPr>
                <w:tab/>
                <w:t>Étude de marché</w:t>
              </w:r>
              <w:r>
                <w:rPr>
                  <w:rFonts w:ascii="Public Sans" w:hAnsi="Public Sans"/>
                  <w:b w:val="0"/>
                  <w:i w:val="0"/>
                  <w:color w:val="5B6672"/>
                  <w:sz w:val="26"/>
                </w:rPr>
                <w:tab/>
                <w:t>4</w:t>
              </w:r>
            </w:hyperlink>
          </w:p>
          <w:p>
            <w:pPr>
              <w:tabs>
                <w:tab w:pos="680" w:val="left"/>
                <w:tab w:pos="6917" w:val="right" w:leader="dot"/>
              </w:tabs>
              <w:spacing w:after="180" w:line="240" w:lineRule="auto"/>
            </w:pPr>
            <w:hyperlink w:anchor="chapitre_03" w:history="1">
              <w:r>
                <w:rPr>
                  <w:rFonts w:ascii="Public Sans SemiBold" w:hAnsi="Public Sans SemiBold"/>
                  <w:b w:val="0"/>
                  <w:i w:val="0"/>
                  <w:color w:val="1B3358"/>
                  <w:sz w:val="26"/>
                </w:rPr>
                <w:t>03</w:t>
              </w:r>
              <w:r>
                <w:rPr>
                  <w:rFonts w:ascii="Public Sans" w:hAnsi="Public Sans"/>
                  <w:b w:val="0"/>
                  <w:i w:val="0"/>
                  <w:color w:val="1F2833"/>
                  <w:sz w:val="26"/>
                </w:rPr>
                <w:tab/>
                <w:t>Le bien et le projet</w:t>
              </w:r>
              <w:r>
                <w:rPr>
                  <w:rFonts w:ascii="Public Sans" w:hAnsi="Public Sans"/>
                  <w:b w:val="0"/>
                  <w:i w:val="0"/>
                  <w:color w:val="5B6672"/>
                  <w:sz w:val="26"/>
                </w:rPr>
                <w:tab/>
                <w:t>5</w:t>
              </w:r>
            </w:hyperlink>
          </w:p>
          <w:p>
            <w:pPr>
              <w:spacing w:after="120" w:line="240" w:lineRule="auto" w:before="440"/>
            </w:pPr>
            <w:r>
              <w:rPr>
                <w:rFonts w:ascii="Public Sans SemiBold" w:hAnsi="Public Sans SemiBold"/>
                <w:b w:val="0"/>
                <w:i w:val="0"/>
                <w:color w:val="A8823B"/>
                <w:sz w:val="19"/>
              </w:rPr>
              <w:t>LA RENTABILITÉ</w:t>
            </w:r>
          </w:p>
          <w:p>
            <w:pPr>
              <w:tabs>
                <w:tab w:pos="680" w:val="left"/>
                <w:tab w:pos="6917" w:val="right" w:leader="dot"/>
              </w:tabs>
              <w:spacing w:after="180" w:line="240" w:lineRule="auto"/>
            </w:pPr>
            <w:hyperlink w:anchor="chapitre_04" w:history="1">
              <w:r>
                <w:rPr>
                  <w:rFonts w:ascii="Public Sans SemiBold" w:hAnsi="Public Sans SemiBold"/>
                  <w:b w:val="0"/>
                  <w:i w:val="0"/>
                  <w:color w:val="1B3358"/>
                  <w:sz w:val="26"/>
                </w:rPr>
                <w:t>04</w:t>
              </w:r>
              <w:r>
                <w:rPr>
                  <w:rFonts w:ascii="Public Sans" w:hAnsi="Public Sans"/>
                  <w:b w:val="0"/>
                  <w:i w:val="0"/>
                  <w:color w:val="1F2833"/>
                  <w:sz w:val="26"/>
                </w:rPr>
                <w:tab/>
                <w:t>Recettes et charges annuelles</w:t>
              </w:r>
              <w:r>
                <w:rPr>
                  <w:rFonts w:ascii="Public Sans" w:hAnsi="Public Sans"/>
                  <w:b w:val="0"/>
                  <w:i w:val="0"/>
                  <w:color w:val="5B6672"/>
                  <w:sz w:val="26"/>
                </w:rPr>
                <w:tab/>
                <w:t>6</w:t>
              </w:r>
            </w:hyperlink>
          </w:p>
          <w:p>
            <w:pPr>
              <w:tabs>
                <w:tab w:pos="680" w:val="left"/>
                <w:tab w:pos="6917" w:val="right" w:leader="dot"/>
              </w:tabs>
              <w:spacing w:after="180" w:line="240" w:lineRule="auto"/>
            </w:pPr>
            <w:hyperlink w:anchor="chapitre_05" w:history="1">
              <w:r>
                <w:rPr>
                  <w:rFonts w:ascii="Public Sans SemiBold" w:hAnsi="Public Sans SemiBold"/>
                  <w:b w:val="0"/>
                  <w:i w:val="0"/>
                  <w:color w:val="1B3358"/>
                  <w:sz w:val="26"/>
                </w:rPr>
                <w:t>05</w:t>
              </w:r>
              <w:r>
                <w:rPr>
                  <w:rFonts w:ascii="Public Sans" w:hAnsi="Public Sans"/>
                  <w:b w:val="0"/>
                  <w:i w:val="0"/>
                  <w:color w:val="1F2833"/>
                  <w:sz w:val="26"/>
                </w:rPr>
                <w:tab/>
                <w:t>Où va le loyer chaque mois</w:t>
              </w:r>
              <w:r>
                <w:rPr>
                  <w:rFonts w:ascii="Public Sans" w:hAnsi="Public Sans"/>
                  <w:b w:val="0"/>
                  <w:i w:val="0"/>
                  <w:color w:val="5B6672"/>
                  <w:sz w:val="26"/>
                </w:rPr>
                <w:tab/>
                <w:t>7</w:t>
              </w:r>
            </w:hyperlink>
          </w:p>
          <w:p>
            <w:pPr>
              <w:tabs>
                <w:tab w:pos="680" w:val="left"/>
                <w:tab w:pos="6917" w:val="right" w:leader="dot"/>
              </w:tabs>
              <w:spacing w:after="180" w:line="240" w:lineRule="auto"/>
            </w:pPr>
            <w:hyperlink w:anchor="chapitre_06" w:history="1">
              <w:r>
                <w:rPr>
                  <w:rFonts w:ascii="Public Sans SemiBold" w:hAnsi="Public Sans SemiBold"/>
                  <w:b w:val="0"/>
                  <w:i w:val="0"/>
                  <w:color w:val="1B3358"/>
                  <w:sz w:val="26"/>
                </w:rPr>
                <w:t>06</w:t>
              </w:r>
              <w:r>
                <w:rPr>
                  <w:rFonts w:ascii="Public Sans" w:hAnsi="Public Sans"/>
                  <w:b w:val="0"/>
                  <w:i w:val="0"/>
                  <w:color w:val="1F2833"/>
                  <w:sz w:val="26"/>
                </w:rPr>
                <w:tab/>
                <w:t>Évolution du patrimoine</w:t>
              </w:r>
              <w:r>
                <w:rPr>
                  <w:rFonts w:ascii="Public Sans" w:hAnsi="Public Sans"/>
                  <w:b w:val="0"/>
                  <w:i w:val="0"/>
                  <w:color w:val="5B6672"/>
                  <w:sz w:val="26"/>
                </w:rPr>
                <w:tab/>
                <w:t>8</w:t>
              </w:r>
            </w:hyperlink>
          </w:p>
        </w:tc>
        <w:tc>
          <w:tcPr>
            <w:tcW w:type="dxa" w:w="850"/>
          </w:tcPr>
          <w:p/>
        </w:tc>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FINANCEMENT</w:t>
            </w:r>
          </w:p>
          <w:p>
            <w:pPr>
              <w:tabs>
                <w:tab w:pos="680" w:val="left"/>
                <w:tab w:pos="6917" w:val="right" w:leader="dot"/>
              </w:tabs>
              <w:spacing w:after="180" w:line="240" w:lineRule="auto"/>
            </w:pPr>
            <w:hyperlink w:anchor="chapitre_07" w:history="1">
              <w:r>
                <w:rPr>
                  <w:rFonts w:ascii="Public Sans SemiBold" w:hAnsi="Public Sans SemiBold"/>
                  <w:b w:val="0"/>
                  <w:i w:val="0"/>
                  <w:color w:val="1B3358"/>
                  <w:sz w:val="26"/>
                </w:rPr>
                <w:t>07</w:t>
              </w:r>
              <w:r>
                <w:rPr>
                  <w:rFonts w:ascii="Public Sans" w:hAnsi="Public Sans"/>
                  <w:b w:val="0"/>
                  <w:i w:val="0"/>
                  <w:color w:val="1F2833"/>
                  <w:sz w:val="26"/>
                </w:rPr>
                <w:tab/>
                <w:t>Plan de financement</w:t>
              </w:r>
              <w:r>
                <w:rPr>
                  <w:rFonts w:ascii="Public Sans" w:hAnsi="Public Sans"/>
                  <w:b w:val="0"/>
                  <w:i w:val="0"/>
                  <w:color w:val="5B6672"/>
                  <w:sz w:val="26"/>
                </w:rPr>
                <w:tab/>
                <w:t>9</w:t>
              </w:r>
            </w:hyperlink>
          </w:p>
          <w:p>
            <w:pPr>
              <w:tabs>
                <w:tab w:pos="680" w:val="left"/>
                <w:tab w:pos="6917" w:val="right" w:leader="dot"/>
              </w:tabs>
              <w:spacing w:after="180" w:line="240" w:lineRule="auto"/>
            </w:pPr>
            <w:hyperlink w:anchor="chapitre_08" w:history="1">
              <w:r>
                <w:rPr>
                  <w:rFonts w:ascii="Public Sans SemiBold" w:hAnsi="Public Sans SemiBold"/>
                  <w:b w:val="0"/>
                  <w:i w:val="0"/>
                  <w:color w:val="1B3358"/>
                  <w:sz w:val="26"/>
                </w:rPr>
                <w:t>08</w:t>
              </w:r>
              <w:r>
                <w:rPr>
                  <w:rFonts w:ascii="Public Sans" w:hAnsi="Public Sans"/>
                  <w:b w:val="0"/>
                  <w:i w:val="0"/>
                  <w:color w:val="1F2833"/>
                  <w:sz w:val="26"/>
                </w:rPr>
                <w:tab/>
                <w:t>Profil de l'emprunteur</w:t>
              </w:r>
              <w:r>
                <w:rPr>
                  <w:rFonts w:ascii="Public Sans" w:hAnsi="Public Sans"/>
                  <w:b w:val="0"/>
                  <w:i w:val="0"/>
                  <w:color w:val="5B6672"/>
                  <w:sz w:val="26"/>
                </w:rPr>
                <w:tab/>
                <w:t>10</w:t>
              </w:r>
            </w:hyperlink>
          </w:p>
          <w:p>
            <w:pPr>
              <w:tabs>
                <w:tab w:pos="680" w:val="left"/>
                <w:tab w:pos="6917" w:val="right" w:leader="dot"/>
              </w:tabs>
              <w:spacing w:after="180" w:line="240" w:lineRule="auto"/>
            </w:pPr>
            <w:hyperlink w:anchor="chapitre_09" w:history="1">
              <w:r>
                <w:rPr>
                  <w:rFonts w:ascii="Public Sans SemiBold" w:hAnsi="Public Sans SemiBold"/>
                  <w:b w:val="0"/>
                  <w:i w:val="0"/>
                  <w:color w:val="1B3358"/>
                  <w:sz w:val="26"/>
                </w:rPr>
                <w:t>09</w:t>
              </w:r>
              <w:r>
                <w:rPr>
                  <w:rFonts w:ascii="Public Sans" w:hAnsi="Public Sans"/>
                  <w:b w:val="0"/>
                  <w:i w:val="0"/>
                  <w:color w:val="1F2833"/>
                  <w:sz w:val="26"/>
                </w:rPr>
                <w:tab/>
                <w:t>Taux d'endettement</w:t>
              </w:r>
              <w:r>
                <w:rPr>
                  <w:rFonts w:ascii="Public Sans" w:hAnsi="Public Sans"/>
                  <w:b w:val="0"/>
                  <w:i w:val="0"/>
                  <w:color w:val="5B6672"/>
                  <w:sz w:val="26"/>
                </w:rPr>
                <w:tab/>
                <w:t>11</w:t>
              </w:r>
            </w:hyperlink>
          </w:p>
          <w:p>
            <w:pPr>
              <w:spacing w:after="120" w:line="240" w:lineRule="auto" w:before="440"/>
            </w:pPr>
            <w:r>
              <w:rPr>
                <w:rFonts w:ascii="Public Sans SemiBold" w:hAnsi="Public Sans SemiBold"/>
                <w:b w:val="0"/>
                <w:i w:val="0"/>
                <w:color w:val="A8823B"/>
                <w:sz w:val="19"/>
              </w:rPr>
              <w:t>CONCLUSION</w:t>
            </w:r>
          </w:p>
          <w:p>
            <w:pPr>
              <w:tabs>
                <w:tab w:pos="680" w:val="left"/>
                <w:tab w:pos="6917" w:val="right" w:leader="dot"/>
              </w:tabs>
              <w:spacing w:after="180" w:line="240" w:lineRule="auto"/>
            </w:pPr>
            <w:hyperlink w:anchor="chapitre_10" w:history="1">
              <w:r>
                <w:rPr>
                  <w:rFonts w:ascii="Public Sans SemiBold" w:hAnsi="Public Sans SemiBold"/>
                  <w:b w:val="0"/>
                  <w:i w:val="0"/>
                  <w:color w:val="1B3358"/>
                  <w:sz w:val="26"/>
                </w:rPr>
                <w:t>10</w:t>
              </w:r>
              <w:r>
                <w:rPr>
                  <w:rFonts w:ascii="Public Sans" w:hAnsi="Public Sans"/>
                  <w:b w:val="0"/>
                  <w:i w:val="0"/>
                  <w:color w:val="1F2833"/>
                  <w:sz w:val="26"/>
                </w:rPr>
                <w:tab/>
                <w:t>Synthèse du projet</w:t>
              </w:r>
              <w:r>
                <w:rPr>
                  <w:rFonts w:ascii="Public Sans" w:hAnsi="Public Sans"/>
                  <w:b w:val="0"/>
                  <w:i w:val="0"/>
                  <w:color w:val="5B6672"/>
                  <w:sz w:val="26"/>
                </w:rPr>
                <w:tab/>
                <w:t>12</w:t>
              </w:r>
            </w:hyperlink>
          </w:p>
          <w:p>
            <w:pPr>
              <w:tabs>
                <w:tab w:pos="680" w:val="left"/>
                <w:tab w:pos="6917" w:val="right" w:leader="dot"/>
              </w:tabs>
              <w:spacing w:after="180" w:line="240" w:lineRule="auto"/>
            </w:pPr>
            <w:hyperlink w:anchor="chapitre_11" w:history="1">
              <w:r>
                <w:rPr>
                  <w:rFonts w:ascii="Public Sans SemiBold" w:hAnsi="Public Sans SemiBold"/>
                  <w:b w:val="0"/>
                  <w:i w:val="0"/>
                  <w:color w:val="1B3358"/>
                  <w:sz w:val="26"/>
                </w:rPr>
                <w:t>11</w:t>
              </w:r>
              <w:r>
                <w:rPr>
                  <w:rFonts w:ascii="Public Sans" w:hAnsi="Public Sans"/>
                  <w:b w:val="0"/>
                  <w:i w:val="0"/>
                  <w:color w:val="1F2833"/>
                  <w:sz w:val="26"/>
                </w:rPr>
                <w:tab/>
                <w:t>Pièces à fournir à la banque</w:t>
              </w:r>
              <w:r>
                <w:rPr>
                  <w:rFonts w:ascii="Public Sans" w:hAnsi="Public Sans"/>
                  <w:b w:val="0"/>
                  <w:i w:val="0"/>
                  <w:color w:val="5B6672"/>
                  <w:sz w:val="26"/>
                </w:rPr>
                <w:tab/>
                <w:t>13</w:t>
              </w:r>
            </w:hyperlink>
          </w:p>
          <w:p>
            <w:pPr>
              <w:tabs>
                <w:tab w:pos="680" w:val="left"/>
                <w:tab w:pos="6917" w:val="right" w:leader="dot"/>
              </w:tabs>
              <w:spacing w:after="180" w:line="240" w:lineRule="auto"/>
            </w:pPr>
            <w:hyperlink w:anchor="chapitre_12" w:history="1">
              <w:r>
                <w:rPr>
                  <w:rFonts w:ascii="Public Sans SemiBold" w:hAnsi="Public Sans SemiBold"/>
                  <w:b w:val="0"/>
                  <w:i w:val="0"/>
                  <w:color w:val="1B3358"/>
                  <w:sz w:val="26"/>
                </w:rPr>
                <w:t>12</w:t>
              </w:r>
              <w:r>
                <w:rPr>
                  <w:rFonts w:ascii="Public Sans" w:hAnsi="Public Sans"/>
                  <w:b w:val="0"/>
                  <w:i w:val="0"/>
                  <w:color w:val="1F2833"/>
                  <w:sz w:val="26"/>
                </w:rPr>
                <w:tab/>
                <w:t>Mentions et méthodologie</w:t>
              </w:r>
              <w:r>
                <w:rPr>
                  <w:rFonts w:ascii="Public Sans" w:hAnsi="Public Sans"/>
                  <w:b w:val="0"/>
                  <w:i w:val="0"/>
                  <w:color w:val="5B6672"/>
                  <w:sz w:val="26"/>
                </w:rPr>
                <w:tab/>
                <w:t>14</w:t>
              </w:r>
            </w:hyperlink>
          </w:p>
        </w:tc>
      </w:tr>
    </w:tbl>
    <w:p>
      <w:pPr>
        <w:sectPr>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 w:name="chapitre_01"/>
            <w:pPr>
              <w:spacing w:after="0" w:line="240" w:lineRule="auto"/>
            </w:pPr>
            <w:r>
              <w:drawing>
                <wp:inline xmlns:a="http://schemas.openxmlformats.org/drawingml/2006/main" xmlns:pic="http://schemas.openxmlformats.org/drawingml/2006/picture">
                  <wp:extent cx="2232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sur la carte</w:t>
            </w:r>
            <w:bookmarkEnd w:id="1"/>
          </w:p>
          <w:p>
            <w:pPr>
              <w:spacing w:before="20" w:after="0" w:line="240" w:lineRule="auto"/>
            </w:pPr>
            <w:r>
              <w:rPr>
                <w:rFonts w:ascii="Public Sans" w:hAnsi="Public Sans"/>
                <w:b w:val="0"/>
                <w:i w:val="0"/>
                <w:color w:val="5B6672"/>
                <w:sz w:val="20"/>
              </w:rPr>
              <w:t>Les ventes comparables autour du bien et la rentabilité des communes du département.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189 ventes comparables dans un rayon de 500 m autour du bien ; rentabilité brute moyenne de la commune : 9,9 %.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398"/>
        <w:gridCol w:w="7398"/>
      </w:tblGrid>
      <w:tr>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380872" cy="4139999"/>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0872" cy="4139999"/>
                          </a:xfrm>
                          <a:prstGeom prst="rect"/>
                        </pic:spPr>
                      </pic:pic>
                    </a:graphicData>
                  </a:graphic>
                </wp:inline>
              </w:drawing>
            </w:r>
          </w:p>
        </w:tc>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589999" cy="3878669"/>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89999" cy="3878669"/>
                          </a:xfrm>
                          <a:prstGeom prst="rect"/>
                        </pic:spPr>
                      </pic:pic>
                    </a:graphicData>
                  </a:graphic>
                </wp:inline>
              </w:drawing>
            </w:r>
          </w:p>
        </w:tc>
      </w:tr>
    </w:tbl>
    <w:p>
      <w:pPr>
        <w:spacing w:before="120"/>
      </w:pPr>
      <w:r>
        <w:rPr>
          <w:i/>
          <w:color w:val="969EA8"/>
          <w:sz w:val="18"/>
        </w:rPr>
        <w:t>Couleur des ventes : écart de leur prix au m² à la médiane du secteur (1 224 €/m²). Rentabilité brute d'une commune = loyer d'annonce au m² × 12 ÷ prix médian au m² des ventes dans l'ancien (01/2024 à 12/2025). Sources : DVF (DGFiP), carte des loyers (ANIL), contours geo.api.gouv.fr, fond de carte © IGN.</w:t>
      </w:r>
    </w:p>
    <w:p>
      <w:pPr>
        <w:sectPr>
          <w:footerReference w:type="default" r:id="rId1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2" w:name="chapitre_02"/>
            <w:pPr>
              <w:spacing w:after="0" w:line="240" w:lineRule="auto"/>
            </w:pPr>
            <w:r>
              <w:drawing>
                <wp:inline xmlns:a="http://schemas.openxmlformats.org/drawingml/2006/main" xmlns:pic="http://schemas.openxmlformats.org/drawingml/2006/picture">
                  <wp:extent cx="223200" cy="223200"/>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Étude de marché</w:t>
            </w:r>
            <w:bookmarkEnd w:id="2"/>
          </w:p>
          <w:p>
            <w:pPr>
              <w:spacing w:before="20" w:after="0" w:line="240" w:lineRule="auto"/>
            </w:pPr>
            <w:r>
              <w:rPr>
                <w:rFonts w:ascii="Public Sans" w:hAnsi="Public Sans"/>
                <w:b w:val="0"/>
                <w:i w:val="0"/>
                <w:color w:val="5B6672"/>
                <w:sz w:val="20"/>
              </w:rPr>
              <w:t>Le prix d'achat comparé aux ventes réelles de biens similaires autour du bien.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Prix d'achat 4 % sous la médiane des ventes du quartier (1 224 €/m²) : un prix justifié.</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 DU PROJET</w:t>
            </w:r>
          </w:p>
          <w:p>
            <w:pPr>
              <w:spacing w:before="40" w:after="0" w:line="240" w:lineRule="auto"/>
            </w:pPr>
            <w:r>
              <w:rPr>
                <w:rFonts w:ascii="Sora SemiBold" w:hAnsi="Sora SemiBold"/>
                <w:b w:val="0"/>
                <w:i w:val="0"/>
                <w:color w:val="1B3358"/>
                <w:sz w:val="34"/>
              </w:rPr>
              <w:t>1 169 €/m²</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MÉDIANE DE 189 VENTES</w:t>
            </w:r>
          </w:p>
          <w:p>
            <w:pPr>
              <w:spacing w:before="40" w:after="0" w:line="240" w:lineRule="auto"/>
            </w:pPr>
            <w:r>
              <w:rPr>
                <w:rFonts w:ascii="Sora SemiBold" w:hAnsi="Sora SemiBold"/>
                <w:b w:val="0"/>
                <w:i w:val="0"/>
                <w:color w:val="1B3358"/>
                <w:sz w:val="34"/>
              </w:rPr>
              <w:t>1 224 €/m²</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ÉCART AU MARCHÉ</w:t>
            </w:r>
          </w:p>
          <w:p>
            <w:pPr>
              <w:spacing w:before="40" w:after="0" w:line="240" w:lineRule="auto"/>
            </w:pPr>
            <w:r>
              <w:rPr>
                <w:rFonts w:ascii="Sora SemiBold" w:hAnsi="Sora SemiBold"/>
                <w:b w:val="0"/>
                <w:i w:val="0"/>
                <w:color w:val="2D6A4F"/>
                <w:sz w:val="34"/>
              </w:rPr>
              <w:t>-4 %</w:t>
            </w:r>
          </w:p>
        </w:tc>
        <w:tc>
          <w:tcPr>
            <w:tcW w:type="dxa" w:w="3699"/>
            <w:vAlign w:val="center"/>
            <w:shd w:val="clear" w:color="auto" w:fill="EEF2F7"/>
            <w:tcBorders>
              <w:top w:val="nil"/>
              <w:left w:val="single" w:sz="24" w:color="B23A32"/>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PROJET / MARCHÉ</w:t>
            </w:r>
          </w:p>
          <w:p>
            <w:pPr>
              <w:spacing w:before="40" w:after="0" w:line="240" w:lineRule="auto"/>
            </w:pPr>
            <w:r>
              <w:rPr>
                <w:rFonts w:ascii="Sora SemiBold" w:hAnsi="Sora SemiBold"/>
                <w:b w:val="0"/>
                <w:i w:val="0"/>
                <w:color w:val="B23A32"/>
                <w:sz w:val="34"/>
              </w:rPr>
              <w:t>10,9 / 9,9 €/m²</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1077"/>
              <w:gridCol w:w="2608"/>
              <w:gridCol w:w="850"/>
              <w:gridCol w:w="1191"/>
              <w:gridCol w:w="1020"/>
              <w:gridCol w:w="737"/>
            </w:tblGrid>
            <w:tr>
              <w:tc>
                <w:tcPr>
                  <w:tcW w:type="dxa" w:w="1077"/>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Date</w:t>
                  </w:r>
                </w:p>
              </w:tc>
              <w:tc>
                <w:tcPr>
                  <w:tcW w:type="dxa" w:w="2608"/>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Adresse</w:t>
                  </w:r>
                </w:p>
              </w:tc>
              <w:tc>
                <w:tcPr>
                  <w:tcW w:type="dxa" w:w="85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Surface</w:t>
                  </w:r>
                </w:p>
              </w:tc>
              <w:tc>
                <w:tcPr>
                  <w:tcW w:type="dxa" w:w="1191"/>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w:t>
                  </w:r>
                </w:p>
              </w:tc>
              <w:tc>
                <w:tcPr>
                  <w:tcW w:type="dxa" w:w="102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 / m²</w:t>
                  </w:r>
                </w:p>
              </w:tc>
              <w:tc>
                <w:tcPr>
                  <w:tcW w:type="dxa" w:w="737"/>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Distance</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26/11/2025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13 Rue Jose Frappa</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64 650 €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1 134 €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23/10/2025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16 Rue Jose Frappa</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75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29 000 €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387 €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5 Rue Martyrs De Vingre</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1 404 €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90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19/11/2025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1 726 €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13/10/2025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48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2 083 €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11/07/2025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Notre-Dame</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150 000 €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1 829 €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Leon Nautin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70 750 €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1 310 €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07/11/2025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6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63 000 €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1 167 €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06/10/2025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34 Rue Michelet</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65 500 €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799 €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12/12/2025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9 Rue Gal Foy</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1 176 €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190 m</w:t>
                  </w:r>
                </w:p>
              </w:tc>
            </w:tr>
          </w:tbl>
          <w:p/>
        </w:tc>
        <w:tc>
          <w:tcPr>
            <w:tcW w:type="dxa" w:w="6520"/>
          </w:tcPr>
          <w:p>
            <w:pPr>
              <w:spacing w:after="0"/>
              <w:jc w:val="center"/>
            </w:pPr>
            <w:r>
              <w:drawing>
                <wp:inline xmlns:a="http://schemas.openxmlformats.org/drawingml/2006/main" xmlns:pic="http://schemas.openxmlformats.org/drawingml/2006/picture">
                  <wp:extent cx="3960000" cy="3361150"/>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960000" cy="3361150"/>
                          </a:xfrm>
                          <a:prstGeom prst="rect"/>
                        </pic:spPr>
                      </pic:pic>
                    </a:graphicData>
                  </a:graphic>
                </wp:inline>
              </w:drawing>
            </w:r>
          </w:p>
        </w:tc>
      </w:tr>
    </w:tbl>
    <w:p>
      <w:pPr>
        <w:spacing w:before="120"/>
      </w:pPr>
      <w:r>
        <w:rPr>
          <w:i/>
          <w:color w:val="969EA8"/>
          <w:sz w:val="18"/>
        </w:rPr>
        <w:t>189 ventes réelles dans l'ancien entre 01/2024 et 12/2025, dans un rayon de 500 m autour du bien, surfaces de 46 à 84 m² (fiabilité élevée). Fourchette de 80 % des ventes : 775 € à 1 848 €/m². Commune : prix médian 1 193 €/m², loyer d'annonce 9,9 €/m², rentabilité brute moyenne 9,9 %. Sources : DVF (DGFiP, data.gouv.fr), carte des loyers (ANIL). Ventes en bloc exclues.</w:t>
      </w:r>
    </w:p>
    <w:p>
      <w:pPr>
        <w:sectPr>
          <w:footerReference w:type="default" r:id="rId1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9" name="Picture 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3" w:name="chapitre_03"/>
            <w:pPr>
              <w:spacing w:after="0" w:line="240" w:lineRule="auto"/>
            </w:pPr>
            <w:r>
              <w:drawing>
                <wp:inline xmlns:a="http://schemas.openxmlformats.org/drawingml/2006/main" xmlns:pic="http://schemas.openxmlformats.org/drawingml/2006/picture">
                  <wp:extent cx="223200" cy="223200"/>
                  <wp:docPr id="10" name="Picture 1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et le projet</w:t>
            </w:r>
            <w:bookmarkEnd w:id="3"/>
          </w:p>
          <w:p>
            <w:pPr>
              <w:spacing w:before="20" w:after="0" w:line="240" w:lineRule="auto"/>
            </w:pPr>
            <w:r>
              <w:rPr>
                <w:rFonts w:ascii="Public Sans" w:hAnsi="Public Sans"/>
                <w:b w:val="0"/>
                <w:i w:val="0"/>
                <w:color w:val="5B6672"/>
                <w:sz w:val="20"/>
              </w:rPr>
              <w:t>Le bien, son prix et la composition du coût total de l'opération.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Coût total de l'opération : 105 000 €, dont 29 000 € de frais, travaux et équipement (28 % du total).</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34"/>
              </w:rPr>
              <w:t>76 000 €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AU M²</w:t>
            </w:r>
          </w:p>
          <w:p>
            <w:pPr>
              <w:spacing w:before="40" w:after="0" w:line="240" w:lineRule="auto"/>
            </w:pPr>
            <w:r>
              <w:rPr>
                <w:rFonts w:ascii="Sora SemiBold" w:hAnsi="Sora SemiBold"/>
                <w:b w:val="0"/>
                <w:i w:val="0"/>
                <w:color w:val="1B3358"/>
                <w:sz w:val="34"/>
              </w:rPr>
              <w:t>1 169 €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COÛT TOTAL DE L'OPÉRATION</w:t>
            </w:r>
          </w:p>
          <w:p>
            <w:pPr>
              <w:spacing w:before="40" w:after="0" w:line="240" w:lineRule="auto"/>
            </w:pPr>
            <w:r>
              <w:rPr>
                <w:rFonts w:ascii="Sora SemiBold" w:hAnsi="Sora SemiBold"/>
                <w:b w:val="0"/>
                <w:i w:val="0"/>
                <w:color w:val="1B3358"/>
                <w:sz w:val="34"/>
              </w:rPr>
              <w:t>105 000 €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Adresse du bien</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12 Rue Michelet 42000 Saint-Étienne</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Type de bien</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Appartement</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Surface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65 m²</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Bien neuf / VEFA</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Non</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Prix d'achat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76 000 €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notaire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14 400 €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des travaux</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Montant du mobilier</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de l'opération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Régime locatif</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Location meublée</w:t>
                  </w:r>
                </w:p>
              </w:tc>
            </w:tr>
          </w:tbl>
          <w:p/>
        </w:tc>
        <w:tc>
          <w:tcPr>
            <w:tcW w:type="dxa" w:w="6520"/>
          </w:tcPr>
          <w:p>
            <w:pPr>
              <w:spacing w:after="0"/>
              <w:jc w:val="center"/>
            </w:pPr>
            <w:r>
              <w:drawing>
                <wp:inline xmlns:a="http://schemas.openxmlformats.org/drawingml/2006/main" xmlns:pic="http://schemas.openxmlformats.org/drawingml/2006/picture">
                  <wp:extent cx="2186930" cy="3743999"/>
                  <wp:docPr id="11" name="Picture 1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186930" cy="3743999"/>
                          </a:xfrm>
                          <a:prstGeom prst="rect"/>
                        </pic:spPr>
                      </pic:pic>
                    </a:graphicData>
                  </a:graphic>
                </wp:inline>
              </w:drawing>
            </w:r>
          </w:p>
        </w:tc>
      </w:tr>
    </w:tbl>
    <w:p>
      <w:pPr>
        <w:sectPr>
          <w:footerReference w:type="default" r:id="rId2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2" name="Picture 1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4" w:name="chapitre_04"/>
            <w:pPr>
              <w:spacing w:after="0" w:line="240" w:lineRule="auto"/>
            </w:pPr>
            <w:r>
              <w:drawing>
                <wp:inline xmlns:a="http://schemas.openxmlformats.org/drawingml/2006/main" xmlns:pic="http://schemas.openxmlformats.org/drawingml/2006/picture">
                  <wp:extent cx="223200" cy="223200"/>
                  <wp:docPr id="13" name="Picture 1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Recettes et charges annuelles</w:t>
            </w:r>
            <w:bookmarkEnd w:id="4"/>
          </w:p>
          <w:p>
            <w:pPr>
              <w:spacing w:before="20" w:after="0" w:line="240" w:lineRule="auto"/>
            </w:pPr>
            <w:r>
              <w:rPr>
                <w:rFonts w:ascii="Public Sans" w:hAnsi="Public Sans"/>
                <w:b w:val="0"/>
                <w:i w:val="0"/>
                <w:color w:val="5B6672"/>
                <w:sz w:val="20"/>
              </w:rPr>
              <w:t>Ce que rapporte le bien et ce qu'il coûte chaque année.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FBF3E6"/>
            <w:tcBorders>
              <w:top w:val="nil"/>
              <w:left w:val="single" w:sz="36" w:color="B7791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B7791F"/>
                <w:sz w:val="15"/>
              </w:rPr>
              <w:t>À RETENIR</w:t>
            </w:r>
          </w:p>
          <w:p>
            <w:pPr>
              <w:spacing w:before="20" w:after="0" w:line="240" w:lineRule="auto"/>
            </w:pPr>
            <w:r>
              <w:rPr>
                <w:rFonts w:ascii="Public Sans" w:hAnsi="Public Sans"/>
                <w:b w:val="0"/>
                <w:i w:val="0"/>
                <w:color w:val="B7791F"/>
                <w:sz w:val="23"/>
              </w:rPr>
              <w:t>Les charges hors crédit représentent 31 % des loyers : un niveau à surveiller.</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RECETTES LOCATIVES (ANNÉE 1)</w:t>
            </w:r>
          </w:p>
          <w:p>
            <w:pPr>
              <w:spacing w:before="40" w:after="0" w:line="240" w:lineRule="auto"/>
            </w:pPr>
            <w:r>
              <w:rPr>
                <w:rFonts w:ascii="Sora SemiBold" w:hAnsi="Sora SemiBold"/>
                <w:b w:val="0"/>
                <w:i w:val="0"/>
                <w:color w:val="1B3358"/>
                <w:sz w:val="34"/>
              </w:rPr>
              <w:t>8 094 €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CHARGES HORS CRÉDIT (ANNÉE 1)</w:t>
            </w:r>
          </w:p>
          <w:p>
            <w:pPr>
              <w:spacing w:before="40" w:after="0" w:line="240" w:lineRule="auto"/>
            </w:pPr>
            <w:r>
              <w:rPr>
                <w:rFonts w:ascii="Sora SemiBold" w:hAnsi="Sora SemiBold"/>
                <w:b w:val="0"/>
                <w:i w:val="0"/>
                <w:color w:val="1B3358"/>
                <w:sz w:val="34"/>
              </w:rPr>
              <w:t>2 500 €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AVANT IMPÔT (ANNÉE 1)</w:t>
            </w:r>
          </w:p>
          <w:p>
            <w:pPr>
              <w:spacing w:before="40" w:after="0" w:line="240" w:lineRule="auto"/>
            </w:pPr>
            <w:r>
              <w:rPr>
                <w:rFonts w:ascii="Sora SemiBold" w:hAnsi="Sora SemiBold"/>
                <w:b w:val="0"/>
                <w:i w:val="0"/>
                <w:color w:val="2D6A4F"/>
                <w:sz w:val="34"/>
              </w:rPr>
              <w:t>548 €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20"/>
        <w:gridCol w:w="6576"/>
      </w:tblGrid>
      <w:tr>
        <w:tc>
          <w:tcPr>
            <w:tcW w:type="dxa" w:w="8220"/>
          </w:tcPr>
          <w:p/>
          <w:tbl>
            <w:tblPr>
              <w:tblW w:type="auto" w:w="0"/>
              <w:tblLayout w:type="fixed"/>
              <w:tblLook w:firstColumn="1" w:firstRow="1" w:lastColumn="0" w:lastRow="0" w:noHBand="0" w:noVBand="1" w:val="04A0"/>
            </w:tblPr>
            <w:tblGrid>
              <w:gridCol w:w="5116"/>
              <w:gridCol w:w="2878"/>
            </w:tblGrid>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 mensuel hors charges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710 €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Vacance locative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Recettes locatives brutes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8 094 €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 de copropriété</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800 €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Taxe foncière</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850 €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Assurance PNO</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150 €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Entretien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gestion locative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 (0,0 %)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comptable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CFE (due à partir de la 2e année)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charges hors crédit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2 500 €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Hausse annuelle des charges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2,0 %</w:t>
                  </w:r>
                </w:p>
              </w:tc>
            </w:tr>
          </w:tbl>
          <w:p/>
        </w:tc>
        <w:tc>
          <w:tcPr>
            <w:tcW w:type="dxa" w:w="6576"/>
          </w:tcPr>
          <w:p>
            <w:pPr>
              <w:spacing w:after="0"/>
              <w:jc w:val="center"/>
            </w:pPr>
            <w:r>
              <w:drawing>
                <wp:inline xmlns:a="http://schemas.openxmlformats.org/drawingml/2006/main" xmlns:pic="http://schemas.openxmlformats.org/drawingml/2006/picture">
                  <wp:extent cx="3996000" cy="2465177"/>
                  <wp:docPr id="14" name="Picture 1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996000" cy="2465177"/>
                          </a:xfrm>
                          <a:prstGeom prst="rect"/>
                        </pic:spPr>
                      </pic:pic>
                    </a:graphicData>
                  </a:graphic>
                </wp:inline>
              </w:drawing>
            </w:r>
          </w:p>
        </w:tc>
      </w:tr>
    </w:tbl>
    <w:p>
      <w:pPr>
        <w:sectPr>
          <w:footerReference w:type="default" r:id="rId2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5" name="Picture 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5" w:name="chapitre_05"/>
            <w:pPr>
              <w:spacing w:after="0" w:line="240" w:lineRule="auto"/>
            </w:pPr>
            <w:r>
              <w:drawing>
                <wp:inline xmlns:a="http://schemas.openxmlformats.org/drawingml/2006/main" xmlns:pic="http://schemas.openxmlformats.org/drawingml/2006/picture">
                  <wp:extent cx="223200" cy="223200"/>
                  <wp:docPr id="16" name="Picture 1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Où va le loyer chaque mois</w:t>
            </w:r>
            <w:bookmarkEnd w:id="5"/>
          </w:p>
          <w:p>
            <w:pPr>
              <w:spacing w:before="20" w:after="0" w:line="240" w:lineRule="auto"/>
            </w:pPr>
            <w:r>
              <w:rPr>
                <w:rFonts w:ascii="Public Sans" w:hAnsi="Public Sans"/>
                <w:b w:val="0"/>
                <w:i w:val="0"/>
                <w:color w:val="5B6672"/>
                <w:sz w:val="20"/>
              </w:rPr>
              <w:t>Du loyer encaissé au cash-flow net : charges, crédit et impôts, mois par mois.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Le loyer couvre toutes les dépenses du bien et dégage 46 € par mois.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LOYERS ENCAISSÉS / MOIS</w:t>
            </w:r>
          </w:p>
          <w:p>
            <w:pPr>
              <w:spacing w:before="40" w:after="0" w:line="240" w:lineRule="auto"/>
            </w:pPr>
            <w:r>
              <w:rPr>
                <w:rFonts w:ascii="Sora SemiBold" w:hAnsi="Sora SemiBold"/>
                <w:b w:val="0"/>
                <w:i w:val="0"/>
                <w:color w:val="1B3358"/>
                <w:sz w:val="34"/>
              </w:rPr>
              <w:t>674 €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 MOIS</w:t>
            </w:r>
          </w:p>
          <w:p>
            <w:pPr>
              <w:spacing w:before="40" w:after="0" w:line="240" w:lineRule="auto"/>
            </w:pPr>
            <w:r>
              <w:rPr>
                <w:rFonts w:ascii="Sora SemiBold" w:hAnsi="Sora SemiBold"/>
                <w:b w:val="0"/>
                <w:i w:val="0"/>
                <w:color w:val="2D6A4F"/>
                <w:sz w:val="34"/>
              </w:rPr>
              <w:t>46 €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EFFORT D'ÉPARGNE / MOIS</w:t>
            </w:r>
          </w:p>
          <w:p>
            <w:pPr>
              <w:spacing w:before="40" w:after="0" w:line="240" w:lineRule="auto"/>
            </w:pPr>
            <w:r>
              <w:rPr>
                <w:rFonts w:ascii="Sora SemiBold" w:hAnsi="Sora SemiBold"/>
                <w:b w:val="0"/>
                <w:i w:val="0"/>
                <w:color w:val="2D6A4F"/>
                <w:sz w:val="34"/>
              </w:rPr>
              <w:t>Aucun</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Loyers encaissés</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+674 €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-208 €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-420 €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Impôts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Cash-flow net mensuel</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w:t>
                  </w:r>
                </w:p>
              </w:tc>
            </w:tr>
          </w:tbl>
          <w:p/>
        </w:tc>
        <w:tc>
          <w:tcPr>
            <w:tcW w:type="dxa" w:w="6520"/>
          </w:tcPr>
          <w:p>
            <w:pPr>
              <w:spacing w:after="0"/>
              <w:jc w:val="center"/>
            </w:pPr>
            <w:r>
              <w:drawing>
                <wp:inline xmlns:a="http://schemas.openxmlformats.org/drawingml/2006/main" xmlns:pic="http://schemas.openxmlformats.org/drawingml/2006/picture">
                  <wp:extent cx="3960000" cy="3125913"/>
                  <wp:docPr id="17" name="Picture 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3960000" cy="3125913"/>
                          </a:xfrm>
                          <a:prstGeom prst="rect"/>
                        </pic:spPr>
                      </pic:pic>
                    </a:graphicData>
                  </a:graphic>
                </wp:inline>
              </w:drawing>
            </w:r>
          </w:p>
        </w:tc>
      </w:tr>
    </w:tbl>
    <w:p>
      <w:pPr>
        <w:spacing w:before="120"/>
      </w:pPr>
      <w:r>
        <w:rPr>
          <w:i/>
          <w:color w:val="969EA8"/>
          <w:sz w:val="18"/>
        </w:rPr>
        <w:t>Moyenne mensuelle de la première année, régime LMNP au réel. Les charges comprennent copropriété, taxe foncière, assurances, entretien et frais de gestion.</w:t>
      </w:r>
    </w:p>
    <w:p>
      <w:pPr>
        <w:sectPr>
          <w:footerReference w:type="default" r:id="rId29"/>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6" w:name="chapitre_06"/>
            <w:pPr>
              <w:spacing w:after="0" w:line="240" w:lineRule="auto"/>
            </w:pPr>
            <w:r>
              <w:drawing>
                <wp:inline xmlns:a="http://schemas.openxmlformats.org/drawingml/2006/main" xmlns:pic="http://schemas.openxmlformats.org/drawingml/2006/picture">
                  <wp:extent cx="223200" cy="2232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Évolution du patrimoine</w:t>
            </w:r>
            <w:bookmarkEnd w:id="6"/>
          </w:p>
          <w:p>
            <w:pPr>
              <w:spacing w:before="20" w:after="0" w:line="240" w:lineRule="auto"/>
            </w:pPr>
            <w:r>
              <w:rPr>
                <w:rFonts w:ascii="Public Sans" w:hAnsi="Public Sans"/>
                <w:b w:val="0"/>
                <w:i w:val="0"/>
                <w:color w:val="5B6672"/>
                <w:sz w:val="20"/>
              </w:rPr>
              <w:t>Comment le patrimoine se construit au fil du remboursement du crédit.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En 20 ans, l'opération enrichit l'investisseur de 46 082 € (revente nette, impôts et apport déduits).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 — ANNÉE 20</w:t>
            </w:r>
          </w:p>
          <w:p>
            <w:pPr>
              <w:spacing w:before="40" w:after="0" w:line="240" w:lineRule="auto"/>
            </w:pPr>
            <w:r>
              <w:rPr>
                <w:rFonts w:ascii="Sora SemiBold" w:hAnsi="Sora SemiBold"/>
                <w:b w:val="0"/>
                <w:i w:val="0"/>
                <w:color w:val="2D6A4F"/>
                <w:sz w:val="34"/>
              </w:rPr>
              <w:t>55 288 €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ENRICHISSEMENT NET APRÈS REVENTE</w:t>
            </w:r>
          </w:p>
          <w:p>
            <w:pPr>
              <w:spacing w:before="40" w:after="0" w:line="240" w:lineRule="auto"/>
            </w:pPr>
            <w:r>
              <w:rPr>
                <w:rFonts w:ascii="Sora SemiBold" w:hAnsi="Sora SemiBold"/>
                <w:b w:val="0"/>
                <w:i w:val="0"/>
                <w:color w:val="2D6A4F"/>
                <w:sz w:val="34"/>
              </w:rPr>
              <w:t>46 082 €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VALEUR ESTIMÉE DU BIEN — ANNÉE 20</w:t>
            </w:r>
          </w:p>
          <w:p>
            <w:pPr>
              <w:spacing w:before="40" w:after="0" w:line="240" w:lineRule="auto"/>
            </w:pPr>
            <w:r>
              <w:rPr>
                <w:rFonts w:ascii="Sora SemiBold" w:hAnsi="Sora SemiBold"/>
                <w:b w:val="0"/>
                <w:i w:val="0"/>
                <w:color w:val="1B3358"/>
                <w:sz w:val="34"/>
              </w:rPr>
              <w:t>92 734 €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-25 654 €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-12 393 €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6 790 €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15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29 209 €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20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55 288 €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Enrichissement net après revente (20 ans)</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46 082 €</w:t>
                  </w:r>
                </w:p>
              </w:tc>
            </w:tr>
          </w:tbl>
          <w:p/>
        </w:tc>
        <w:tc>
          <w:tcPr>
            <w:tcW w:type="dxa" w:w="6520"/>
          </w:tcPr>
          <w:p>
            <w:pPr>
              <w:spacing w:after="0"/>
              <w:jc w:val="center"/>
            </w:pPr>
            <w:r>
              <w:drawing>
                <wp:inline xmlns:a="http://schemas.openxmlformats.org/drawingml/2006/main" xmlns:pic="http://schemas.openxmlformats.org/drawingml/2006/picture">
                  <wp:extent cx="3960000" cy="3139557"/>
                  <wp:docPr id="20" name="Picture 2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3960000" cy="3139557"/>
                          </a:xfrm>
                          <a:prstGeom prst="rect"/>
                        </pic:spPr>
                      </pic:pic>
                    </a:graphicData>
                  </a:graphic>
                </wp:inline>
              </w:drawing>
            </w:r>
          </w:p>
        </w:tc>
      </w:tr>
    </w:tbl>
    <w:p>
      <w:pPr>
        <w:spacing w:before="120"/>
      </w:pPr>
      <w:r>
        <w:rPr>
          <w:i/>
          <w:color w:val="969EA8"/>
          <w:sz w:val="18"/>
        </w:rPr>
        <w:t>Patrimoine net = valeur du bien − capital restant dû + cash-flows cumulés − apport, avant impôt de revente. L'enrichissement net après revente tient compte de l'impôt sur la plus-value.</w:t>
      </w:r>
    </w:p>
    <w:p>
      <w:pPr>
        <w:sectPr>
          <w:footerReference w:type="default" r:id="rId33"/>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1" name="Picture 2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7" w:name="chapitre_07"/>
            <w:pPr>
              <w:spacing w:after="0" w:line="240" w:lineRule="auto"/>
            </w:pPr>
            <w:r>
              <w:drawing>
                <wp:inline xmlns:a="http://schemas.openxmlformats.org/drawingml/2006/main" xmlns:pic="http://schemas.openxmlformats.org/drawingml/2006/picture">
                  <wp:extent cx="223200" cy="223200"/>
                  <wp:docPr id="22" name="Picture 2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Plan de financement</w:t>
            </w:r>
            <w:bookmarkEnd w:id="7"/>
          </w:p>
          <w:p>
            <w:pPr>
              <w:spacing w:before="20" w:after="0" w:line="240" w:lineRule="auto"/>
            </w:pPr>
            <w:r>
              <w:rPr>
                <w:rFonts w:ascii="Public Sans" w:hAnsi="Public Sans"/>
                <w:b w:val="0"/>
                <w:i w:val="0"/>
                <w:color w:val="5B6672"/>
                <w:sz w:val="20"/>
              </w:rPr>
              <w:t>Comment l'opération est financée : apport, crédit et mensualités.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Apport de 25 000 € (24 % du coût total) et crédit de 80 000 € sur 25 ans à 3,50 %.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APPORT PERSONNEL</w:t>
            </w:r>
          </w:p>
          <w:p>
            <w:pPr>
              <w:spacing w:before="40" w:after="0" w:line="240" w:lineRule="auto"/>
            </w:pPr>
            <w:r>
              <w:rPr>
                <w:rFonts w:ascii="Sora SemiBold" w:hAnsi="Sora SemiBold"/>
                <w:b w:val="0"/>
                <w:i w:val="0"/>
                <w:color w:val="1B3358"/>
                <w:sz w:val="34"/>
              </w:rPr>
              <w:t>25 000 €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MONTANT EMPRUNTÉ</w:t>
            </w:r>
          </w:p>
          <w:p>
            <w:pPr>
              <w:spacing w:before="40" w:after="0" w:line="240" w:lineRule="auto"/>
            </w:pPr>
            <w:r>
              <w:rPr>
                <w:rFonts w:ascii="Sora SemiBold" w:hAnsi="Sora SemiBold"/>
                <w:b w:val="0"/>
                <w:i w:val="0"/>
                <w:color w:val="1B3358"/>
                <w:sz w:val="34"/>
              </w:rPr>
              <w:t>80 000 €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DU CRÉDIT</w:t>
            </w:r>
          </w:p>
          <w:p>
            <w:pPr>
              <w:spacing w:before="40" w:after="0" w:line="240" w:lineRule="auto"/>
            </w:pPr>
            <w:r>
              <w:rPr>
                <w:rFonts w:ascii="Sora SemiBold" w:hAnsi="Sora SemiBold"/>
                <w:b w:val="0"/>
                <w:i w:val="0"/>
                <w:color w:val="1B3358"/>
                <w:sz w:val="34"/>
              </w:rPr>
              <w:t>400 €/mois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d'acquisition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Apport personnel</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emprunté</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80 000 €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Taux du crédit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Durée du 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25 ans</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Taux d'assurance emprunteur</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0,30 %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 du crédit (hors assurance)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400 €/mois</w:t>
                  </w:r>
                </w:p>
              </w:tc>
            </w:tr>
          </w:tbl>
          <w:p/>
        </w:tc>
        <w:tc>
          <w:tcPr>
            <w:tcW w:type="dxa" w:w="6520"/>
          </w:tcPr>
          <w:p>
            <w:pPr>
              <w:spacing w:after="0"/>
              <w:jc w:val="center"/>
            </w:pPr>
            <w:r>
              <w:drawing>
                <wp:inline xmlns:a="http://schemas.openxmlformats.org/drawingml/2006/main" xmlns:pic="http://schemas.openxmlformats.org/drawingml/2006/picture">
                  <wp:extent cx="2708681" cy="3743999"/>
                  <wp:docPr id="23" name="Picture 2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708681" cy="3743999"/>
                          </a:xfrm>
                          <a:prstGeom prst="rect"/>
                        </pic:spPr>
                      </pic:pic>
                    </a:graphicData>
                  </a:graphic>
                </wp:inline>
              </w:drawing>
            </w:r>
          </w:p>
        </w:tc>
      </w:tr>
    </w:tbl>
    <w:p>
      <w:pPr>
        <w:sectPr>
          <w:footerReference w:type="default" r:id="rId3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4" name="Picture 2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8" w:name="chapitre_08"/>
            <w:pPr>
              <w:spacing w:after="0" w:line="240" w:lineRule="auto"/>
            </w:pPr>
            <w:r>
              <w:drawing>
                <wp:inline xmlns:a="http://schemas.openxmlformats.org/drawingml/2006/main" xmlns:pic="http://schemas.openxmlformats.org/drawingml/2006/picture">
                  <wp:extent cx="223200" cy="223200"/>
                  <wp:docPr id="25" name="Picture 2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Profil de l'emprunteur</w:t>
            </w:r>
            <w:bookmarkEnd w:id="8"/>
          </w:p>
          <w:p>
            <w:pPr>
              <w:spacing w:before="20" w:after="0" w:line="240" w:lineRule="auto"/>
            </w:pPr>
            <w:r>
              <w:rPr>
                <w:rFonts w:ascii="Public Sans" w:hAnsi="Public Sans"/>
                <w:b w:val="0"/>
                <w:i w:val="0"/>
                <w:color w:val="5B6672"/>
                <w:sz w:val="20"/>
              </w:rPr>
              <w:t>Revenus, engagements et patrimoine du foyer pris en compte par la banque.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Revenus retenus par la banque : 4 500 € par mois ; patrimoine net déclaré : 158 000 €.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REVENUS MENSUELS RETENUS</w:t>
            </w:r>
          </w:p>
          <w:p>
            <w:pPr>
              <w:spacing w:before="40" w:after="0" w:line="240" w:lineRule="auto"/>
            </w:pPr>
            <w:r>
              <w:rPr>
                <w:rFonts w:ascii="Sora SemiBold" w:hAnsi="Sora SemiBold"/>
                <w:b w:val="0"/>
                <w:i w:val="0"/>
                <w:color w:val="1B3358"/>
                <w:sz w:val="34"/>
              </w:rPr>
              <w:t>4 500 €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CRÉDITS EN COURS / MOIS</w:t>
            </w:r>
          </w:p>
          <w:p>
            <w:pPr>
              <w:spacing w:before="40" w:after="0" w:line="240" w:lineRule="auto"/>
            </w:pPr>
            <w:r>
              <w:rPr>
                <w:rFonts w:ascii="Sora SemiBold" w:hAnsi="Sora SemiBold"/>
                <w:b w:val="0"/>
                <w:i w:val="0"/>
                <w:color w:val="1B3358"/>
                <w:sz w:val="34"/>
              </w:rPr>
              <w:t>200 €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w:t>
            </w:r>
          </w:p>
          <w:p>
            <w:pPr>
              <w:spacing w:before="40" w:after="0" w:line="240" w:lineRule="auto"/>
            </w:pPr>
            <w:r>
              <w:rPr>
                <w:rFonts w:ascii="Sora SemiBold" w:hAnsi="Sora SemiBold"/>
                <w:b w:val="0"/>
                <w:i w:val="0"/>
                <w:color w:val="1B3358"/>
                <w:sz w:val="34"/>
              </w:rPr>
              <w:t>158 000 €</w:t>
            </w:r>
          </w:p>
        </w:tc>
      </w:tr>
    </w:tbl>
    <w:p>
      <w:pPr>
        <w:spacing w:before="0" w:after="0" w:line="20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36"/>
        <w:gridCol w:w="454"/>
        <w:gridCol w:w="8107"/>
      </w:tblGrid>
      <w:tr>
        <w:tc>
          <w:tcPr>
            <w:tcW w:type="dxa" w:w="6236"/>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Revenus et engagements</w:t>
            </w:r>
          </w:p>
          <w:tbl>
            <w:tblPr>
              <w:tblW w:type="auto" w:w="0"/>
              <w:tblLayout w:type="fixed"/>
              <w:tblLook w:firstColumn="1" w:firstRow="1" w:lastColumn="0" w:lastRow="0" w:noHBand="0" w:noVBand="1" w:val="04A0"/>
            </w:tblPr>
            <w:tblGrid>
              <w:gridCol w:w="3991"/>
              <w:gridCol w:w="2245"/>
            </w:tblGrid>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Emprunteur</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Camille Exemple (emprunteur fictif)</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Revenus nets mensuels du foyer</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4 500 €</w:t>
                  </w:r>
                </w:p>
              </w:tc>
            </w:tr>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Autres revenus mensuels</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0 €</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de crédits existants</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200 €</w:t>
                  </w:r>
                </w:p>
              </w:tc>
            </w:tr>
            <w:tr>
              <w:tc>
                <w:tcPr>
                  <w:tcW w:type="dxa" w:w="3991"/>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revenus mensuels retenus</w:t>
                  </w:r>
                </w:p>
              </w:tc>
              <w:tc>
                <w:tcPr>
                  <w:tcW w:type="dxa" w:w="2245"/>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4 500 €</w:t>
                  </w:r>
                </w:p>
              </w:tc>
            </w:tr>
          </w:tbl>
          <w:p/>
        </w:tc>
        <w:tc>
          <w:tcPr>
            <w:tcW w:type="dxa" w:w="454"/>
            <w:vAlign w:val="top"/>
            <w:tcMar>
              <w:top w:w="0" w:type="dxa"/>
              <w:bottom w:w="0" w:type="dxa"/>
              <w:left w:w="0" w:type="dxa"/>
              <w:right w:w="0" w:type="dxa"/>
            </w:tcMar>
          </w:tcPr>
          <w:p/>
        </w:tc>
        <w:tc>
          <w:tcPr>
            <w:tcW w:type="dxa" w:w="8107"/>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Patrimoine du foyer</w:t>
            </w:r>
          </w:p>
          <w:tbl>
            <w:tblPr>
              <w:tblW w:type="auto" w:w="0"/>
              <w:tblLayout w:type="fixed"/>
              <w:tblLook w:firstColumn="1" w:firstRow="1" w:lastColumn="0" w:lastRow="0" w:noHBand="0" w:noVBand="1" w:val="04A0"/>
            </w:tblPr>
            <w:tblGrid>
              <w:gridCol w:w="3405"/>
              <w:gridCol w:w="2270"/>
              <w:gridCol w:w="1216"/>
              <w:gridCol w:w="1216"/>
            </w:tblGrid>
            <w:tr>
              <w:trPr>
                <w:trHeight w:val="351" w:hRule="atLeast"/>
              </w:trPr>
              <w:tc>
                <w:tcPr>
                  <w:tcW w:type="dxa" w:w="3405"/>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Nature</w:t>
                  </w:r>
                </w:p>
              </w:tc>
              <w:tc>
                <w:tcPr>
                  <w:tcW w:type="dxa" w:w="2270"/>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Établissement / détail</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Valeur</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Reste dû</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Résidence principale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Saint-Étienne</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210 000 €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95 000 €</w:t>
                  </w:r>
                </w:p>
              </w:tc>
            </w:tr>
            <w:tr>
              <w:trPr>
                <w:trHeight w:val="351" w:hRule="atLeast"/>
              </w:trPr>
              <w:tc>
                <w:tcPr>
                  <w:tcW w:type="dxa" w:w="3405"/>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Comptes courants et livrets</w:t>
                  </w:r>
                </w:p>
              </w:tc>
              <w:tc>
                <w:tcPr>
                  <w:tcW w:type="dxa" w:w="2270"/>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Livret A, LDDS</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18 000 €</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Assurance-vie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25 000 €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Total</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253 000 €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95 000 €</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Patrimoine net (valeur − reste dû)</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B3358"/>
                      <w:sz w:val="19"/>
                    </w:rPr>
                    <w:t>158 000 €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p>
              </w:tc>
            </w:tr>
          </w:tbl>
          <w:p/>
          <w:p>
            <w:pPr>
              <w:spacing w:after="0" w:line="240" w:lineRule="auto" w:before="100"/>
            </w:pPr>
            <w:r>
              <w:rPr>
                <w:rFonts w:ascii="Public Sans" w:hAnsi="Public Sans"/>
                <w:b w:val="0"/>
                <w:i/>
                <w:color w:val="969EA8"/>
                <w:sz w:val="17"/>
              </w:rPr>
              <w:t>Déclaré par l'emprunteur : valeur estimée à ce jour ; pour les biens financés à crédit, capital restant dû. Le patrimoine rassure la banque sur la capacité à faire face à un imprévu.</w:t>
            </w:r>
          </w:p>
        </w:tc>
      </w:tr>
    </w:tbl>
    <w:p>
      <w:pPr>
        <w:sectPr>
          <w:footerReference w:type="default" r:id="rId4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6" name="Picture 2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9" w:name="chapitre_09"/>
            <w:pPr>
              <w:spacing w:after="0" w:line="240" w:lineRule="auto"/>
            </w:pPr>
            <w:r>
              <w:drawing>
                <wp:inline xmlns:a="http://schemas.openxmlformats.org/drawingml/2006/main" xmlns:pic="http://schemas.openxmlformats.org/drawingml/2006/picture">
                  <wp:extent cx="223200" cy="223200"/>
                  <wp:docPr id="27" name="Picture 2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Taux d'endettement</w:t>
            </w:r>
            <w:bookmarkEnd w:id="9"/>
          </w:p>
          <w:p>
            <w:pPr>
              <w:spacing w:before="20" w:after="0" w:line="240" w:lineRule="auto"/>
            </w:pPr>
            <w:r>
              <w:rPr>
                <w:rFonts w:ascii="Public Sans" w:hAnsi="Public Sans"/>
                <w:b w:val="0"/>
                <w:i w:val="0"/>
                <w:color w:val="5B6672"/>
                <w:sz w:val="20"/>
              </w:rPr>
              <w:t>Capacité d'emprunt du foyer au regard de la règle des 35 % du HCSF.</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Avec ce projet, le foyer est à 12,1 % d'endettement : 22,9 points sous le seuil de 35 %.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TAUX D'ENDETTEMENT</w:t>
            </w:r>
          </w:p>
          <w:p>
            <w:pPr>
              <w:spacing w:before="40" w:after="0" w:line="240" w:lineRule="auto"/>
            </w:pPr>
            <w:r>
              <w:rPr>
                <w:rFonts w:ascii="Sora SemiBold" w:hAnsi="Sora SemiBold"/>
                <w:b w:val="0"/>
                <w:i w:val="0"/>
                <w:color w:val="2D6A4F"/>
                <w:sz w:val="34"/>
              </w:rPr>
              <w:t>12,1 %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SEUIL HCSF</w:t>
            </w:r>
          </w:p>
          <w:p>
            <w:pPr>
              <w:spacing w:before="40" w:after="0" w:line="240" w:lineRule="auto"/>
            </w:pPr>
            <w:r>
              <w:rPr>
                <w:rFonts w:ascii="Sora SemiBold" w:hAnsi="Sora SemiBold"/>
                <w:b w:val="0"/>
                <w:i w:val="0"/>
                <w:color w:val="1B3358"/>
                <w:sz w:val="34"/>
              </w:rPr>
              <w:t>35 %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ENCORE SUPPORTABLE</w:t>
            </w:r>
          </w:p>
          <w:p>
            <w:pPr>
              <w:spacing w:before="40" w:after="0" w:line="240" w:lineRule="auto"/>
            </w:pPr>
            <w:r>
              <w:rPr>
                <w:rFonts w:ascii="Sora SemiBold" w:hAnsi="Sora SemiBold"/>
                <w:b w:val="0"/>
                <w:i w:val="0"/>
                <w:color w:val="2D6A4F"/>
                <w:sz w:val="34"/>
              </w:rPr>
              <w:t>1 140 €/mois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Mensualité du projet retenue (hors assurance)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Recettes locatives prévisionnelles retenues à 70 %</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472 €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Revenus considérés par la banque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4 972 €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totales (crédits existants + projet)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600 €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Taux d'endettement</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12,1 %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Seuil HCSF</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35 %</w:t>
                  </w:r>
                </w:p>
              </w:tc>
            </w:tr>
          </w:tbl>
          <w:p/>
        </w:tc>
        <w:tc>
          <w:tcPr>
            <w:tcW w:type="dxa" w:w="6520"/>
          </w:tcPr>
          <w:p>
            <w:pPr>
              <w:spacing w:after="0"/>
              <w:jc w:val="center"/>
            </w:pPr>
            <w:r>
              <w:drawing>
                <wp:inline xmlns:a="http://schemas.openxmlformats.org/drawingml/2006/main" xmlns:pic="http://schemas.openxmlformats.org/drawingml/2006/picture">
                  <wp:extent cx="3960000" cy="700615"/>
                  <wp:docPr id="28" name="Picture 2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3960000" cy="700615"/>
                          </a:xfrm>
                          <a:prstGeom prst="rect"/>
                        </pic:spPr>
                      </pic:pic>
                    </a:graphicData>
                  </a:graphic>
                </wp:inline>
              </w:drawing>
            </w:r>
          </w:p>
        </w:tc>
      </w:tr>
    </w:tbl>
    <w:p>
      <w:pPr>
        <w:sectPr>
          <w:footerReference w:type="default" r:id="rId44"/>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9" name="Picture 2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0" w:name="chapitre_10"/>
            <w:pPr>
              <w:spacing w:after="0" w:line="240" w:lineRule="auto"/>
            </w:pPr>
            <w:r>
              <w:drawing>
                <wp:inline xmlns:a="http://schemas.openxmlformats.org/drawingml/2006/main" xmlns:pic="http://schemas.openxmlformats.org/drawingml/2006/picture">
                  <wp:extent cx="223200" cy="223200"/>
                  <wp:docPr id="30" name="Picture 3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Synthèse du projet</w:t>
            </w:r>
            <w:bookmarkEnd w:id="10"/>
          </w:p>
          <w:p>
            <w:pPr>
              <w:spacing w:before="20" w:after="0" w:line="240" w:lineRule="auto"/>
            </w:pPr>
            <w:r>
              <w:rPr>
                <w:rFonts w:ascii="Public Sans" w:hAnsi="Public Sans"/>
                <w:b w:val="0"/>
                <w:i w:val="0"/>
                <w:color w:val="5B6672"/>
                <w:sz w:val="20"/>
              </w:rPr>
              <w:t>Le bilan du projet : le verdict, puis les chiffres clés de chaque partie.</w:t>
            </w:r>
          </w:p>
        </w:tc>
      </w:tr>
    </w:tbl>
    <w:p>
      <w:pPr>
        <w:spacing w:before="0" w:after="0" w:line="280" w:lineRule="exact"/>
      </w:pPr>
    </w:p>
    <w:p>
      <w:pPr>
        <w:spacing w:after="200" w:line="240" w:lineRule="auto"/>
      </w:pPr>
      <w:r>
        <w:rPr>
          <w:rFonts w:ascii="Public Sans" w:hAnsi="Public Sans"/>
          <w:b w:val="0"/>
          <w:i w:val="0"/>
          <w:color w:val="1F2833"/>
          <w:sz w:val="25"/>
        </w:rPr>
        <w:t>Achat d'un appartement de 65 m² à Saint-Étienne (42000) pour 76 000 €, plus 8 000 € de travaux, financé à 76 % par un crédit sur 25 ans à 3,50 % et un apport de 25 000 €, loué 710 € par mois hors charges en meublé.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140" w:type="dxa"/>
              <w:bottom w:w="140" w:type="dxa"/>
              <w:left w:w="260" w:type="dxa"/>
              <w:right w:w="260" w:type="dxa"/>
            </w:tcMar>
          </w:tcPr>
          <w:p>
            <w:pPr>
              <w:spacing w:after="0" w:line="240" w:lineRule="auto"/>
            </w:pPr>
            <w:r>
              <w:rPr>
                <w:rFonts w:ascii="Sora SemiBold" w:hAnsi="Sora SemiBold"/>
                <w:b w:val="0"/>
                <w:i w:val="0"/>
                <w:color w:val="2D6A4F"/>
                <w:sz w:val="30"/>
              </w:rPr>
              <w:t>Autofinancé : +46 €/mois de cash-flow net</w:t>
            </w:r>
          </w:p>
          <w:p>
            <w:pPr>
              <w:spacing w:before="40" w:after="0" w:line="240" w:lineRule="auto"/>
            </w:pPr>
            <w:r>
              <w:rPr>
                <w:rFonts w:ascii="Public Sans" w:hAnsi="Public Sans"/>
                <w:b w:val="0"/>
                <w:i w:val="0"/>
                <w:color w:val="5B6672"/>
                <w:sz w:val="20"/>
              </w:rPr>
              <w:t>Enrichissement net estimé sur 20 ans : 46 082 € (cash-flows après impôts et revente nette, apport déduit).</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1" name="Picture 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bien</w:t>
            </w:r>
          </w:p>
          <w:p>
            <w:pPr>
              <w:tabs>
                <w:tab w:pos="6718" w:val="right"/>
              </w:tabs>
              <w:spacing w:after="0" w:line="240" w:lineRule="auto" w:before="60"/>
            </w:pPr>
            <w:r>
              <w:rPr>
                <w:rFonts w:ascii="Public Sans" w:hAnsi="Public Sans"/>
                <w:b w:val="0"/>
                <w:i w:val="0"/>
                <w:color w:val="5B6672"/>
                <w:sz w:val="20"/>
              </w:rPr>
              <w:t>Prix d'achat</w:t>
            </w:r>
            <w:r>
              <w:rPr>
                <w:rFonts w:ascii="Public Sans SemiBold" w:hAnsi="Public Sans SemiBold"/>
                <w:b w:val="0"/>
                <w:i w:val="0"/>
                <w:color w:val="1F2833"/>
                <w:sz w:val="23"/>
              </w:rPr>
              <w:tab/>
              <w:t>76 000 €</w:t>
            </w:r>
          </w:p>
          <w:p>
            <w:pPr>
              <w:tabs>
                <w:tab w:pos="6718" w:val="right"/>
              </w:tabs>
              <w:spacing w:after="0" w:line="240" w:lineRule="auto" w:before="60"/>
            </w:pPr>
            <w:r>
              <w:rPr>
                <w:rFonts w:ascii="Public Sans" w:hAnsi="Public Sans"/>
                <w:b w:val="0"/>
                <w:i w:val="0"/>
                <w:color w:val="5B6672"/>
                <w:sz w:val="20"/>
              </w:rPr>
              <w:t>Prix au m²</w:t>
            </w:r>
            <w:r>
              <w:rPr>
                <w:rFonts w:ascii="Public Sans SemiBold" w:hAnsi="Public Sans SemiBold"/>
                <w:b w:val="0"/>
                <w:i w:val="0"/>
                <w:color w:val="1F2833"/>
                <w:sz w:val="23"/>
              </w:rPr>
              <w:tab/>
              <w:t>1 169 €/m² (−4 % vs quartier)</w:t>
            </w:r>
          </w:p>
          <w:p>
            <w:pPr>
              <w:tabs>
                <w:tab w:pos="6718" w:val="right"/>
              </w:tabs>
              <w:spacing w:after="0" w:line="240" w:lineRule="auto" w:before="60"/>
            </w:pPr>
            <w:r>
              <w:rPr>
                <w:rFonts w:ascii="Public Sans" w:hAnsi="Public Sans"/>
                <w:b w:val="0"/>
                <w:i w:val="0"/>
                <w:color w:val="5B6672"/>
                <w:sz w:val="20"/>
              </w:rPr>
              <w:t>Coût total de l'opération</w:t>
            </w:r>
            <w:r>
              <w:rPr>
                <w:rFonts w:ascii="Public Sans SemiBold" w:hAnsi="Public Sans SemiBold"/>
                <w:b w:val="0"/>
                <w:i w:val="0"/>
                <w:color w:val="1F2833"/>
                <w:sz w:val="23"/>
              </w:rPr>
              <w:tab/>
              <w:t>105 000 €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2" name="Picture 3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La rentabilité</w:t>
            </w:r>
          </w:p>
          <w:p>
            <w:pPr>
              <w:tabs>
                <w:tab w:pos="6718" w:val="right"/>
              </w:tabs>
              <w:spacing w:after="0" w:line="240" w:lineRule="auto" w:before="60"/>
            </w:pPr>
            <w:r>
              <w:rPr>
                <w:rFonts w:ascii="Public Sans" w:hAnsi="Public Sans"/>
                <w:b w:val="0"/>
                <w:i w:val="0"/>
                <w:color w:val="5B6672"/>
                <w:sz w:val="20"/>
              </w:rPr>
              <w:t>Cash-flow net / mois</w:t>
            </w:r>
            <w:r>
              <w:rPr>
                <w:rFonts w:ascii="Public Sans SemiBold" w:hAnsi="Public Sans SemiBold"/>
                <w:b w:val="0"/>
                <w:i w:val="0"/>
                <w:color w:val="2D6A4F"/>
                <w:sz w:val="23"/>
              </w:rPr>
              <w:tab/>
              <w:t>46 €</w:t>
            </w:r>
          </w:p>
          <w:p>
            <w:pPr>
              <w:tabs>
                <w:tab w:pos="6718" w:val="right"/>
              </w:tabs>
              <w:spacing w:after="0" w:line="240" w:lineRule="auto" w:before="60"/>
            </w:pPr>
            <w:r>
              <w:rPr>
                <w:rFonts w:ascii="Public Sans" w:hAnsi="Public Sans"/>
                <w:b w:val="0"/>
                <w:i w:val="0"/>
                <w:color w:val="5B6672"/>
                <w:sz w:val="20"/>
              </w:rPr>
              <w:t>Rendement brut</w:t>
            </w:r>
            <w:r>
              <w:rPr>
                <w:rFonts w:ascii="Public Sans SemiBold" w:hAnsi="Public Sans SemiBold"/>
                <w:b w:val="0"/>
                <w:i w:val="0"/>
                <w:color w:val="1F2833"/>
                <w:sz w:val="23"/>
              </w:rPr>
              <w:tab/>
              <w:t>8,1 %</w:t>
            </w:r>
          </w:p>
          <w:p>
            <w:pPr>
              <w:tabs>
                <w:tab w:pos="6718" w:val="right"/>
              </w:tabs>
              <w:spacing w:after="0" w:line="240" w:lineRule="auto" w:before="60"/>
            </w:pPr>
            <w:r>
              <w:rPr>
                <w:rFonts w:ascii="Public Sans" w:hAnsi="Public Sans"/>
                <w:b w:val="0"/>
                <w:i w:val="0"/>
                <w:color w:val="5B6672"/>
                <w:sz w:val="20"/>
              </w:rPr>
              <w:t>Rendement net-net</w:t>
            </w:r>
            <w:r>
              <w:rPr>
                <w:rFonts w:ascii="Public Sans SemiBold" w:hAnsi="Public Sans SemiBold"/>
                <w:b w:val="0"/>
                <w:i w:val="0"/>
                <w:color w:val="1F2833"/>
                <w:sz w:val="23"/>
              </w:rPr>
              <w:tab/>
              <w:t>5,7 %</w:t>
            </w:r>
          </w:p>
        </w:tc>
      </w:tr>
    </w:tbl>
    <w:p>
      <w:pPr>
        <w:spacing w:before="0" w:after="0" w:line="18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3" name="Picture 3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financement</w:t>
            </w:r>
          </w:p>
          <w:p>
            <w:pPr>
              <w:tabs>
                <w:tab w:pos="6718" w:val="right"/>
              </w:tabs>
              <w:spacing w:after="0" w:line="240" w:lineRule="auto" w:before="60"/>
            </w:pPr>
            <w:r>
              <w:rPr>
                <w:rFonts w:ascii="Public Sans" w:hAnsi="Public Sans"/>
                <w:b w:val="0"/>
                <w:i w:val="0"/>
                <w:color w:val="5B6672"/>
                <w:sz w:val="20"/>
              </w:rPr>
              <w:t>Apport</w:t>
            </w:r>
            <w:r>
              <w:rPr>
                <w:rFonts w:ascii="Public Sans SemiBold" w:hAnsi="Public Sans SemiBold"/>
                <w:b w:val="0"/>
                <w:i w:val="0"/>
                <w:color w:val="1F2833"/>
                <w:sz w:val="23"/>
              </w:rPr>
              <w:tab/>
              <w:t>25 000 € (24 %)</w:t>
            </w:r>
          </w:p>
          <w:p>
            <w:pPr>
              <w:tabs>
                <w:tab w:pos="6718" w:val="right"/>
              </w:tabs>
              <w:spacing w:after="0" w:line="240" w:lineRule="auto" w:before="60"/>
            </w:pPr>
            <w:r>
              <w:rPr>
                <w:rFonts w:ascii="Public Sans" w:hAnsi="Public Sans"/>
                <w:b w:val="0"/>
                <w:i w:val="0"/>
                <w:color w:val="5B6672"/>
                <w:sz w:val="20"/>
              </w:rPr>
              <w:t>Crédit</w:t>
            </w:r>
            <w:r>
              <w:rPr>
                <w:rFonts w:ascii="Public Sans SemiBold" w:hAnsi="Public Sans SemiBold"/>
                <w:b w:val="0"/>
                <w:i w:val="0"/>
                <w:color w:val="1F2833"/>
                <w:sz w:val="23"/>
              </w:rPr>
              <w:tab/>
              <w:t>80 000 € · 25 ans à 3,50 %</w:t>
            </w:r>
          </w:p>
          <w:p>
            <w:pPr>
              <w:tabs>
                <w:tab w:pos="6718" w:val="right"/>
              </w:tabs>
              <w:spacing w:after="0" w:line="240" w:lineRule="auto" w:before="60"/>
            </w:pPr>
            <w:r>
              <w:rPr>
                <w:rFonts w:ascii="Public Sans" w:hAnsi="Public Sans"/>
                <w:b w:val="0"/>
                <w:i w:val="0"/>
                <w:color w:val="5B6672"/>
                <w:sz w:val="20"/>
              </w:rPr>
              <w:t>Taux d'endettement</w:t>
            </w:r>
            <w:r>
              <w:rPr>
                <w:rFonts w:ascii="Public Sans SemiBold" w:hAnsi="Public Sans SemiBold"/>
                <w:b w:val="0"/>
                <w:i w:val="0"/>
                <w:color w:val="2D6A4F"/>
                <w:sz w:val="23"/>
              </w:rPr>
              <w:tab/>
              <w:t>12,1 %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4" name="Picture 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Sur 20 ans</w:t>
            </w:r>
          </w:p>
          <w:p>
            <w:pPr>
              <w:tabs>
                <w:tab w:pos="6718" w:val="right"/>
              </w:tabs>
              <w:spacing w:after="0" w:line="240" w:lineRule="auto" w:before="60"/>
            </w:pPr>
            <w:r>
              <w:rPr>
                <w:rFonts w:ascii="Public Sans" w:hAnsi="Public Sans"/>
                <w:b w:val="0"/>
                <w:i w:val="0"/>
                <w:color w:val="5B6672"/>
                <w:sz w:val="20"/>
              </w:rPr>
              <w:t>Enrichissement net</w:t>
            </w:r>
            <w:r>
              <w:rPr>
                <w:rFonts w:ascii="Public Sans SemiBold" w:hAnsi="Public Sans SemiBold"/>
                <w:b w:val="0"/>
                <w:i w:val="0"/>
                <w:color w:val="2D6A4F"/>
                <w:sz w:val="23"/>
              </w:rPr>
              <w:tab/>
              <w:t>46 082 €</w:t>
            </w:r>
          </w:p>
          <w:p>
            <w:pPr>
              <w:tabs>
                <w:tab w:pos="6718" w:val="right"/>
              </w:tabs>
              <w:spacing w:after="0" w:line="240" w:lineRule="auto" w:before="60"/>
            </w:pPr>
            <w:r>
              <w:rPr>
                <w:rFonts w:ascii="Public Sans" w:hAnsi="Public Sans"/>
                <w:b w:val="0"/>
                <w:i w:val="0"/>
                <w:color w:val="5B6672"/>
                <w:sz w:val="20"/>
              </w:rPr>
              <w:t>Effort d'épargne / mois</w:t>
            </w:r>
            <w:r>
              <w:rPr>
                <w:rFonts w:ascii="Public Sans SemiBold" w:hAnsi="Public Sans SemiBold"/>
                <w:b w:val="0"/>
                <w:i w:val="0"/>
                <w:color w:val="1F2833"/>
                <w:sz w:val="23"/>
              </w:rPr>
              <w:tab/>
              <w:t>Aucun</w:t>
            </w:r>
          </w:p>
          <w:p>
            <w:pPr>
              <w:tabs>
                <w:tab w:pos="6718" w:val="right"/>
              </w:tabs>
              <w:spacing w:after="0" w:line="240" w:lineRule="auto" w:before="60"/>
            </w:pPr>
            <w:r>
              <w:rPr>
                <w:rFonts w:ascii="Public Sans" w:hAnsi="Public Sans"/>
                <w:b w:val="0"/>
                <w:i w:val="0"/>
                <w:color w:val="5B6672"/>
                <w:sz w:val="20"/>
              </w:rPr>
              <w:t>Régime fiscal le plus favorable</w:t>
            </w:r>
            <w:r>
              <w:rPr>
                <w:rFonts w:ascii="Public Sans SemiBold" w:hAnsi="Public Sans SemiBold"/>
                <w:b w:val="0"/>
                <w:i w:val="0"/>
                <w:color w:val="1F2833"/>
                <w:sz w:val="23"/>
              </w:rPr>
              <w:tab/>
              <w:t>LMNP au réel</w:t>
            </w:r>
          </w:p>
        </w:tc>
      </w:tr>
    </w:tbl>
    <w:p>
      <w:pPr>
        <w:spacing w:before="0" w:after="0" w:line="180" w:lineRule="exact"/>
      </w:pPr>
    </w:p>
    <w:p>
      <w:pPr>
        <w:sectPr>
          <w:footerReference w:type="default" r:id="rId4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5" name="Picture 3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1" w:name="chapitre_11"/>
            <w:pPr>
              <w:spacing w:after="0" w:line="240" w:lineRule="auto"/>
            </w:pPr>
            <w:r>
              <w:drawing>
                <wp:inline xmlns:a="http://schemas.openxmlformats.org/drawingml/2006/main" xmlns:pic="http://schemas.openxmlformats.org/drawingml/2006/picture">
                  <wp:extent cx="223200" cy="223200"/>
                  <wp:docPr id="36" name="Picture 3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Pièces à fournir à la banque</w:t>
            </w:r>
            <w:bookmarkEnd w:id="11"/>
          </w:p>
          <w:p>
            <w:pPr>
              <w:spacing w:before="20" w:after="0" w:line="240" w:lineRule="auto"/>
            </w:pPr>
            <w:r>
              <w:rPr>
                <w:rFonts w:ascii="Public Sans" w:hAnsi="Public Sans"/>
                <w:b w:val="0"/>
                <w:i w:val="0"/>
                <w:color w:val="5B6672"/>
                <w:sz w:val="20"/>
              </w:rPr>
              <w:t>Les documents à réunir pour que la banque ouvre l'étude de financement.</w:t>
            </w:r>
          </w:p>
        </w:tc>
      </w:tr>
    </w:tbl>
    <w:p>
      <w:pPr>
        <w:spacing w:before="0" w:after="0" w:line="280" w:lineRule="exact"/>
      </w:pPr>
    </w:p>
    <w:tbl>
      <w:tblPr>
        <w:tblW w:type="auto" w:w="0"/>
        <w:tblLayout w:type="fixed"/>
        <w:tblLook w:firstColumn="1" w:firstRow="1" w:lastColumn="0" w:lastRow="0" w:noHBand="0" w:noVBand="1" w:val="04A0"/>
      </w:tblPr>
      <w:tblGrid>
        <w:gridCol w:w="624"/>
        <w:gridCol w:w="5669"/>
        <w:gridCol w:w="8504"/>
      </w:tblGrid>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IDENTITÉ ET DOMICILE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Pièce d'identité</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Carte d'identité ou passeport en cours de validité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Justificatif de domicile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Facture d'énergie, quittance de loyer ou avis de taxe foncière récent</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REVENUS ET SITUATION PROFESSIONNELLE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bulletins de salaire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Ainsi que celui de décembre de l'année précédente (cumul annuel)</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Contrat de travail</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Ou, à défaut, attestation de l'employeur</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2 derniers avis d'imposition</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Toutes les pages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COMPTES BANCAIRES</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relevés de compte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Tous les comptes courants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LE BIEN</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Compromis de vente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Si déjà signé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DPE (diagnostic de performance énergétique)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Fourni par le vendeur ou l'agence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Devis des travaux</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Travaux prévus au plan de financement : 8 000 €</w:t>
            </w:r>
          </w:p>
        </w:tc>
      </w:tr>
    </w:tbl>
    <w:p>
      <w:pPr>
        <w:spacing w:before="120"/>
      </w:pPr>
      <w:r>
        <w:rPr>
          <w:i/>
          <w:color w:val="969EA8"/>
          <w:sz w:val="18"/>
        </w:rPr>
        <w:t>Pièces à fournir pour chaque emprunteur. Les cases se cochent d'un clic dans Word. La banque peut demander des justificatifs complémentaires selon la situation (épargne constituant l'apport, crédits en cours, revenus locatifs existants…).</w:t>
      </w:r>
    </w:p>
    <w:p>
      <w:pPr>
        <w:sectPr>
          <w:footerReference w:type="default" r:id="rId5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7" name="Picture 3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2" w:name="chapitre_12"/>
            <w:pPr>
              <w:spacing w:after="0" w:line="240" w:lineRule="auto"/>
            </w:pPr>
            <w:r>
              <w:drawing>
                <wp:inline xmlns:a="http://schemas.openxmlformats.org/drawingml/2006/main" xmlns:pic="http://schemas.openxmlformats.org/drawingml/2006/picture">
                  <wp:extent cx="223200" cy="223200"/>
                  <wp:docPr id="38" name="Picture 3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Mentions et méthodologie</w:t>
            </w:r>
            <w:bookmarkEnd w:id="12"/>
          </w:p>
          <w:p>
            <w:pPr>
              <w:spacing w:before="20" w:after="0" w:line="240" w:lineRule="auto"/>
            </w:pPr>
            <w:r>
              <w:rPr>
                <w:rFonts w:ascii="Public Sans" w:hAnsi="Public Sans"/>
                <w:b w:val="0"/>
                <w:i w:val="0"/>
                <w:color w:val="5B6672"/>
                <w:sz w:val="20"/>
              </w:rPr>
              <w:t>Hypothèses de calcul et limites de l'estimation.</w:t>
            </w:r>
          </w:p>
        </w:tc>
      </w:tr>
    </w:tbl>
    <w:p>
      <w:pPr>
        <w:spacing w:before="0" w:after="0" w:line="280" w:lineRule="exact"/>
      </w:pPr>
    </w:p>
    <w:p>
      <w:r>
        <w:t>Ce document est une estimation générée automatiquement à partir des hypothèses saisies par l'utilisateur (prix, loyers ou tarifs de location, charges, taux, durée...).</w:t>
      </w:r>
    </w:p>
    <w:p>
      <w:r>
        <w:t>Credaura produit des calculs à partir des données saisies. Ce n'est ni un conseil en investissement, en financement ou en fiscalité, ni une offre de prêt. Credaura n'est ni un établissement de crédit, ni un intermédiaire en opérations de banque et en services de paiement (IOBSP, article L. 519-1 du Code monétaire et financier) : il ne propose aucun crédit et ne met en relation avec aucun établissement. La banque reste seule décisionnaire.</w:t>
      </w:r>
    </w:p>
    <w:p>
      <w:r>
        <w:t>Le barème de l'impôt sur le revenu, les taux de prélèvements sociaux et les règles d'amortissement appliqués correspondent à la législation en vigueur au moment de la génération du document et sont susceptibles d'évoluer.</w:t>
      </w:r>
    </w:p>
    <w:p>
      <w:r>
        <w:rPr>
          <w:i/>
        </w:rPr>
        <w:t>Ces éléments doivent être vérifiés et validés par un professionnel (notaire, expert-comptable, courtier en crédit) avant toute décision d'investissement ou constitution d'un dossier de financement définitif.</w:t>
      </w:r>
    </w:p>
    <w:sectPr w:rsidR="00FC693F" w:rsidRPr="0006063C" w:rsidSect="00034616">
      <w:footerReference w:type="default" r:id="rId58"/>
      <w:pgSz w:w="16838" w:h="11906" w:orient="landscape"/>
      <w:pgMar w:top="1020" w:right="1020" w:bottom="1020" w:left="1020" w:header="72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ra">
    <w:charset w:val="00"/>
    <w:family w:val="swiss"/>
    <w:pitch w:val="variable"/>
    <w:embedRegular r:id="rId1" w:fontKey="{DB63C6FA-75DA-4F76-A0EE-A336EF626589}"/>
  </w:font>
  <w:font w:name="Sora SemiBold">
    <w:charset w:val="00"/>
    <w:family w:val="swiss"/>
    <w:pitch w:val="variable"/>
    <w:embedRegular r:id="rId2" w:fontKey="{6C2BC977-D377-4B80-AAED-D4B03E0FF615}"/>
  </w:font>
  <w:font w:name="Public Sans">
    <w:charset w:val="00"/>
    <w:family w:val="swiss"/>
    <w:pitch w:val="variable"/>
    <w:embedRegular r:id="rId3" w:fontKey="{356F256B-A1E5-4427-A89B-7C51CFA47C82}"/>
    <w:embedItalic r:id="rId4" w:fontKey="{301190BA-A227-4553-B82D-13BC3DE7AD17}"/>
  </w:font>
  <w:font w:name="Public Sans SemiBold">
    <w:charset w:val="00"/>
    <w:family w:val="swiss"/>
    <w:pitch w:val="variable"/>
    <w:embedRegular r:id="rId5" w:fontKey="{036C29D0-7EB1-4C6E-9ACA-01182582CFED}"/>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7" w:val="right"/>
      </w:tabs>
      <w:spacing w:after="0" w:line="240" w:lineRule="auto"/>
    </w:pPr>
    <w:r>
      <w:rPr>
        <w:rFonts w:ascii="Public Sans" w:hAnsi="Public Sans"/>
        <w:b w:val="0"/>
        <w:i/>
        <w:color w:val="969EA8"/>
        <w:sz w:val="16"/>
      </w:rPr>
      <w:t>Établi avec Credaura — estimation pédagogique,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7" w:val="right"/>
      </w:tabs>
      <w:spacing w:after="0" w:line="240" w:lineRule="auto"/>
      <w:pBdr>
        <w:bottom w:val="single" w:sz="6" w:space="4" w:color="A8823B"/>
      </w:pBdr>
    </w:pPr>
    <w:r>
      <w:rPr>
        <w:rFonts w:ascii="Public Sans SemiBold" w:hAnsi="Public Sans SemiBold"/>
        <w:b w:val="0"/>
        <w:i w:val="0"/>
        <w:color w:val="1B3358"/>
        <w:sz w:val="16"/>
      </w:rPr>
      <w:t>CREDAURA  ·  DOSSIER DE FINANCEMENT IMMOBILIER</w:t>
    </w:r>
    <w:r>
      <w:rPr>
        <w:rFonts w:ascii="Public Sans" w:hAnsi="Public Sans"/>
        <w:b w:val="0"/>
        <w:i w:val="0"/>
        <w:color w:val="969EA8"/>
        <w:sz w:val="16"/>
      </w:rPr>
      <w:tab/>
      <w:t>12 Rue Michelet 42000 Saint-Étienne — Location longue durée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footer" Target="footer3.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footer" Target="footer4.xm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footer" Target="footer5.xml"/><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footer" Target="footer6.xml"/><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footer" Target="footer7.xm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footer" Target="footer8.xml"/><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footer" Target="footer9.xml"/><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footer" Target="footer10.xml"/><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footer" Target="footer11.xml"/><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footer" Target="footer12.xml"/><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footer" Target="footer13.xml"/><Relationship Id="rId59" Type="http://schemas.openxmlformats.org/officeDocument/2006/relationships/image" Target="media/image41.png"/><Relationship Id="rId60" Type="http://schemas.openxmlformats.org/officeDocument/2006/relationships/image" Target="media/image4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13.png"/></Relationships>
</file>

<file path=word/_rels/footer6.xml.rels><?xml version='1.0' encoding='UTF-8' standalone='yes'?>
<Relationships xmlns="http://schemas.openxmlformats.org/package/2006/relationships"><Relationship Id="rId1" Type="http://schemas.openxmlformats.org/officeDocument/2006/relationships/image" Target="media/image13.png"/></Relationships>
</file>

<file path=word/_rels/footer7.xml.rels><?xml version='1.0' encoding='UTF-8' standalone='yes'?>
<Relationships xmlns="http://schemas.openxmlformats.org/package/2006/relationships"><Relationship Id="rId1" Type="http://schemas.openxmlformats.org/officeDocument/2006/relationships/image" Target="media/image13.png"/></Relationships>
</file>

<file path=word/_rels/footer8.xml.rels><?xml version='1.0' encoding='UTF-8' standalone='yes'?>
<Relationships xmlns="http://schemas.openxmlformats.org/package/2006/relationships"><Relationship Id="rId1" Type="http://schemas.openxmlformats.org/officeDocument/2006/relationships/image" Target="media/image23.png"/></Relationships>
</file>

<file path=word/_rels/footer9.xml.rels><?xml version='1.0' encoding='UTF-8' standalone='yes'?>
<Relationships xmlns="http://schemas.openxmlformats.org/package/2006/relationships"><Relationship Id="rId1" Type="http://schemas.openxmlformats.org/officeDocument/2006/relationships/image" Target="media/image23.png"/></Relationships>
</file>

<file path=word/_rels/footer10.xml.rels><?xml version='1.0' encoding='UTF-8' standalone='yes'?>
<Relationships xmlns="http://schemas.openxmlformats.org/package/2006/relationships"><Relationship Id="rId1" Type="http://schemas.openxmlformats.org/officeDocument/2006/relationships/image" Target="media/image23.png"/></Relationships>
</file>

<file path=word/_rels/footer11.xml.rels><?xml version='1.0' encoding='UTF-8' standalone='yes'?>
<Relationships xmlns="http://schemas.openxmlformats.org/package/2006/relationships"><Relationship Id="rId1" Type="http://schemas.openxmlformats.org/officeDocument/2006/relationships/image" Target="media/image32.png"/></Relationships>
</file>

<file path=word/_rels/footer12.xml.rels><?xml version='1.0' encoding='UTF-8' standalone='yes'?>
<Relationships xmlns="http://schemas.openxmlformats.org/package/2006/relationships"><Relationship Id="rId1" Type="http://schemas.openxmlformats.org/officeDocument/2006/relationships/image" Target="media/image32.png"/></Relationships>
</file>

<file path=word/_rels/footer13.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