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60" w:after="60"/>
      </w:pPr>
      <w:r>
        <w:rPr>
          <w:rFonts w:ascii="Arial" w:hAnsi="Arial" w:cs="Arial"/>
          <w:b/>
          <w:sz w:val="19"/>
          <w:szCs w:val="19"/>
        </w:rPr>
        <w:t xml:space="preserve">UNIVERSIDAD MARIANO GÁLVEZ DE GUATEMALA · PROYECTO DE ASEGURAMIENTO DE SOFTWARE</w:t>
      </w:r>
    </w:p>
    <w:p>
      <w:pPr>
        <w:jc w:val="center"/>
        <w:spacing w:before="60" w:after="60"/>
      </w:pPr>
      <w:r>
        <w:rPr>
          <w:rFonts w:ascii="Arial" w:hAnsi="Arial" w:cs="Arial"/>
          <w:b/>
          <w:sz w:val="28"/>
          <w:szCs w:val="28"/>
        </w:rPr>
        <w:t xml:space="preserve">Casos de Prueba — Formato de Proceso de Pruebas</w:t>
      </w:r>
    </w:p>
    <w:p>
      <w:pPr>
        <w:jc w:val="center"/>
        <w:spacing w:before="60" w:after="60"/>
      </w:pPr>
      <w:r>
        <w:rPr>
          <w:rFonts w:ascii="Arial" w:hAnsi="Arial" w:cs="Arial"/>
          <w:sz w:val="20"/>
          <w:szCs w:val="20"/>
        </w:rPr>
        <w:t xml:space="preserve">Sistema de Gestión de Inventario y Precios — Tienda Bugambilias (POS Web)</w:t>
      </w:r>
    </w:p>
    <w:p>
      <w:pPr>
        <w:jc w:val="center"/>
        <w:spacing w:before="60" w:after="60"/>
      </w:pPr>
      <w:r>
        <w:rPr>
          <w:rFonts w:ascii="Arial" w:hAnsi="Arial" w:cs="Arial"/>
          <w:sz w:val="18"/>
          <w:szCs w:val="18"/>
        </w:rPr>
        <w:t xml:space="preserve">Desarrollador: Santos David Toj Álvarez · Herramienta: Jest (API REST) y React Testing Library (interfaz)</w:t>
      </w:r>
    </w:p>
    <w:p>
      <w:pPr>
        <w:shd w:val="clear" w:color="auto" w:fill="2B5797"/>
        <w:jc w:val="left"/>
        <w:spacing w:before="60" w:after="60"/>
      </w:pPr>
      <w:r>
        <w:rPr>
          <w:rFonts w:ascii="Arial" w:hAnsi="Arial" w:cs="Arial"/>
          <w:b/>
          <w:color w:val="FFFFFF"/>
          <w:sz w:val="23"/>
          <w:szCs w:val="23"/>
        </w:rPr>
        <w:t xml:space="preserve">A. Pruebas Funcionales (Requisitos RF1–RF8)</w:t>
      </w:r>
    </w:p>
    <w:tbl>
      <w:tblPr>
        <w:tblW w:w="14750" w:type="dxa"/>
        <w:tblBorders>
          <w:top w:val="single" w:sz="4" w:space="0" w:color="6F7D94"/>
          <w:left w:val="single" w:sz="4" w:space="0" w:color="6F7D94"/>
          <w:bottom w:val="single" w:sz="4" w:space="0" w:color="6F7D94"/>
          <w:right w:val="single" w:sz="4" w:space="0" w:color="6F7D94"/>
          <w:insideH w:val="single" w:sz="4" w:space="0" w:color="6F7D94"/>
          <w:insideV w:val="single" w:sz="4" w:space="0" w:color="6F7D94"/>
        </w:tblBorders>
        <w:tblLayout w:type="fixed"/>
      </w:tblPr>
      <w:tblGrid>
        <w:gridCol w:w="1350"/>
        <w:gridCol w:w="2600"/>
        <w:gridCol w:w="2200"/>
        <w:gridCol w:w="3950"/>
        <w:gridCol w:w="3000"/>
        <w:gridCol w:w="1650"/>
      </w:tblGrid>
      <w:tr>
        <w:trPr>
          <w:tblHeader/>
        </w:trPr>
        <w:tc>
          <w:tcPr>
            <w:tcW w:w="135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ID CASO</w:t>
            </w:r>
          </w:p>
        </w:tc>
        <w:tc>
          <w:tcPr>
            <w:tcW w:w="260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DESCRIPCIÓN / ESCENARIO</w:t>
            </w:r>
          </w:p>
        </w:tc>
        <w:tc>
          <w:tcPr>
            <w:tcW w:w="220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CONDICIÓN PREVIA</w:t>
            </w:r>
          </w:p>
        </w:tc>
        <w:tc>
          <w:tcPr>
            <w:tcW w:w="395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PASOS DE EJECUCIÓN</w:t>
            </w:r>
          </w:p>
        </w:tc>
        <w:tc>
          <w:tcPr>
            <w:tcW w:w="300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w="165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TIPOS DE PRUEBA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CP-LOGIN-001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Inicio de sesión exitoso con credenciales correctas.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El usuario está registrado y activo en la base de datos.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Ir a la página de login.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Ingresar correo válido.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3. Ingresar contraseña válida.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4. Clic en «Entrar» (POST /api/auth/login).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200 OK; se crea la sesión con el rol del usuario y se muestra el panel principal.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1A7F37"/>
                <w:sz w:val="17"/>
                <w:szCs w:val="17"/>
              </w:rPr>
              <w:t xml:space="preserve">Positiva (Ruta ideal)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CP-LOGIN-002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Fallo por contraseña incorrecta.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El usuario está registrado en el sistema.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Ir a login.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Ingresar correo válido.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3. Ingresar contraseña errónea.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4. Clic en «Entrar».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401 «Credenciales inválidas»; no permite el acceso.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B02A37"/>
                <w:sz w:val="17"/>
                <w:szCs w:val="17"/>
              </w:rPr>
              <w:t xml:space="preserve">Negativa (Error)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CP-LOGIN-003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Validación de campos vacíos.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Estar en la pantalla de login.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Dejar correo y contraseña en blanco.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Clic en «Entrar».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422 «Correo y contraseña son obligatorios»; resalta los campos requeridos.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8A6D00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CP-PROD-001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Registro exitoso de un nuevo producto.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Sesión con rol administrador; el código no existe.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Iniciar sesión como admin.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POST /api/productos con los datos.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3. Buscar el producto en el listado.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201 «Producto creado.»; aparece en el listado con su precio (Q8.50) y stock (40).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1A7F37"/>
                <w:sz w:val="17"/>
                <w:szCs w:val="17"/>
              </w:rPr>
              <w:t xml:space="preserve">Positiva (Ruta ideal)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CP-PROD-002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Actualización del precio de un producto.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El producto existe; sesión de administrador.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Crear producto con precio Q10.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PUT /api/productos/{id} con precio Q12.50.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3. Consultar el producto.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200 OK; al consultar, el precio es Q12.50.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1A7F37"/>
                <w:sz w:val="17"/>
                <w:szCs w:val="17"/>
              </w:rPr>
              <w:t xml:space="preserve">Positiva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CP-PROD-003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Eliminación de un producto del catálogo.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El producto existe y está activo.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Crear un producto.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DELETE /api/productos/{id}.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3. Buscarlo en el listado.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200 «Producto eliminado (baja lógica).»; ya no aparece en el listado.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1A7F37"/>
                <w:sz w:val="17"/>
                <w:szCs w:val="17"/>
              </w:rPr>
              <w:t xml:space="preserve">Positiva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CP-PROD-004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Registro con campos obligatorios vacíos o inválidos.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Sesión de administrador.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POST /api/productos con código/nombre vacío.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POST con precio negativo o no numérico.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3. POST con código duplicado.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422 con el mensaje de validación (ramas 1–3) y 409 por código duplicado; no se guarda nada.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8A6D00"/>
                <w:sz w:val="17"/>
                <w:szCs w:val="17"/>
              </w:rPr>
              <w:t xml:space="preserve">Validación / Negativa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CP-PROD-005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Permisos: el cajero no crea productos ni ve costos.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Sesión con rol cajero.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Iniciar sesión como cajero.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POST /api/productos.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3. GET /api/productos y revisar campos.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403 «Acceso denegado»; el listado no incluye precio_compra ni ganancia.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B02A37"/>
                <w:sz w:val="17"/>
                <w:szCs w:val="17"/>
              </w:rPr>
              <w:t xml:space="preserve">Negativa (Seguridad)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CP-GAN-001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Cálculo correcto de la ganancia individual.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Sesión de administrador.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Crear producto con compra Q10 y venta Q15.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Consultar el producto.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Ganancia Q5.00 y margen 33.3 %.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1A7F37"/>
                <w:sz w:val="17"/>
                <w:szCs w:val="17"/>
              </w:rPr>
              <w:t xml:space="preserve">Positiva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CP-GAN-003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Ganancia negativa (compra mayor a venta).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Sesión de administrador.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Crear producto con compra Q20 y venta Q18.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Consultar el producto.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Ganancia −Q2.00 y margen −11.1 %; aviso «Se vende sin ganancia».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B02A37"/>
                <w:sz w:val="17"/>
                <w:szCs w:val="17"/>
              </w:rPr>
              <w:t xml:space="preserve">Negativa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CP-GAN-002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Reporte: identificación del producto más rentable.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Existen varios productos con ganancias distintas.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Crear A (Q10→Q40) y B (Q10→Q11).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Registrar ventas de 2 unidades c/u.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3. Consultar el reporte de rentabilidad.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A genera Q60 y B Q2; A aparece antes que B (del más al menos rentable).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1A7F37"/>
                <w:sz w:val="17"/>
                <w:szCs w:val="17"/>
              </w:rPr>
              <w:t xml:space="preserve">Positiva</w:t>
            </w:r>
          </w:p>
        </w:tc>
      </w:tr>
    </w:tbl>
    <w:p>
      <w:pPr>
        <w:jc w:val="left"/>
        <w:spacing w:before="60" w:after="60"/>
      </w:pPr>
      <w:r>
        <w:rPr>
          <w:rFonts w:ascii="Arial" w:hAnsi="Arial" w:cs="Arial"/>
          <w:sz w:val="12"/>
          <w:szCs w:val="12"/>
        </w:rPr>
        <w:t xml:space="preserve"/>
      </w:r>
    </w:p>
    <w:p>
      <w:pPr>
        <w:shd w:val="clear" w:color="auto" w:fill="2B5797"/>
        <w:jc w:val="left"/>
        <w:spacing w:before="60" w:after="60"/>
      </w:pPr>
      <w:r>
        <w:rPr>
          <w:rFonts w:ascii="Arial" w:hAnsi="Arial" w:cs="Arial"/>
          <w:b/>
          <w:color w:val="FFFFFF"/>
          <w:sz w:val="23"/>
          <w:szCs w:val="23"/>
        </w:rPr>
        <w:t xml:space="preserve">B. Pruebas No Funcionales (Requisitos RNF1–RNF5)</w:t>
      </w:r>
    </w:p>
    <w:tbl>
      <w:tblPr>
        <w:tblW w:w="14750" w:type="dxa"/>
        <w:tblBorders>
          <w:top w:val="single" w:sz="4" w:space="0" w:color="6F7D94"/>
          <w:left w:val="single" w:sz="4" w:space="0" w:color="6F7D94"/>
          <w:bottom w:val="single" w:sz="4" w:space="0" w:color="6F7D94"/>
          <w:right w:val="single" w:sz="4" w:space="0" w:color="6F7D94"/>
          <w:insideH w:val="single" w:sz="4" w:space="0" w:color="6F7D94"/>
          <w:insideV w:val="single" w:sz="4" w:space="0" w:color="6F7D94"/>
        </w:tblBorders>
        <w:tblLayout w:type="fixed"/>
      </w:tblPr>
      <w:tblGrid>
        <w:gridCol w:w="1350"/>
        <w:gridCol w:w="2600"/>
        <w:gridCol w:w="2200"/>
        <w:gridCol w:w="3950"/>
        <w:gridCol w:w="3000"/>
        <w:gridCol w:w="1650"/>
      </w:tblGrid>
      <w:tr>
        <w:trPr>
          <w:tblHeader/>
        </w:trPr>
        <w:tc>
          <w:tcPr>
            <w:tcW w:w="135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ID CASO</w:t>
            </w:r>
          </w:p>
        </w:tc>
        <w:tc>
          <w:tcPr>
            <w:tcW w:w="260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DESCRIPCIÓN / ESCENARIO</w:t>
            </w:r>
          </w:p>
        </w:tc>
        <w:tc>
          <w:tcPr>
            <w:tcW w:w="220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CONDICIÓN PREVIA</w:t>
            </w:r>
          </w:p>
        </w:tc>
        <w:tc>
          <w:tcPr>
            <w:tcW w:w="395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PASOS DE EJECUCIÓN</w:t>
            </w:r>
          </w:p>
        </w:tc>
        <w:tc>
          <w:tcPr>
            <w:tcW w:w="300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w="1650" w:type="dxa"/>
            <w:shd w:val="clear" w:color="auto" w:fill="3A5F8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FFFFFF"/>
                <w:sz w:val="17"/>
                <w:szCs w:val="17"/>
              </w:rPr>
              <w:t xml:space="preserve">TIPOS DE PRUEBA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CP-RNF-001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Interfaz sencilla e intuitiva (RNF1).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Aplicación desplegada; pantalla de productos.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Abrir la pantalla de productos.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Escribir el precio de compra y de venta.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3. Observar la vista previa.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Se muestra la ganancia y el margen en vivo, con mensajes claros (p. ej. «Se vende sin ganancia»).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2B5797"/>
                <w:sz w:val="17"/>
                <w:szCs w:val="17"/>
              </w:rPr>
              <w:t xml:space="preserve">No funcional (Usabilidad)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CP-RNF-002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Accesible desde computadora y dispositivo móvil (RNF2).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Aplicación desplegada.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Abrir en navegador de escritorio.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Abrir en vista móvil (diseño responsivo).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La interfaz se adapta y es usable en ambos tamaños de pantalla.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2B5797"/>
                <w:sz w:val="17"/>
                <w:szCs w:val="17"/>
              </w:rPr>
              <w:t xml:space="preserve">No funcional (Compatibilidad)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CP-RNF-003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Respuesta rápida en las consultas (RNF3).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Aplicación y base con datos de ejemplo.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Consultar el listado de productos (GET /api/productos).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Medir el tiempo de respuesta.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La consulta de stock y precios responde en pocos segundos (&lt; 2 s).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2B5797"/>
                <w:sz w:val="17"/>
                <w:szCs w:val="17"/>
              </w:rPr>
              <w:t xml:space="preserve">No funcional (Rendimiento)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CP-RNF-004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Seguridad e integridad de la información (RNF4).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Usuarios admin y cajero en la base de datos.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Iniciar sesión (se regenera el ID de sesión).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Intentar ver costos como cajero.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3. Enviar datos inválidos a la API.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El cajero no accede a costos/ganancia; las entradas se validan; la sesión está protegida contra fijación.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2B5797"/>
                <w:sz w:val="17"/>
                <w:szCs w:val="17"/>
              </w:rPr>
              <w:t xml:space="preserve">No funcional (Seguridad)</w:t>
            </w:r>
          </w:p>
        </w:tc>
      </w:tr>
      <w:tr>
        <w:tc>
          <w:tcPr>
            <w:tcW w:w="13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CP-RNF-005</w:t>
            </w:r>
          </w:p>
        </w:tc>
        <w:tc>
          <w:tcPr>
            <w:tcW w:w="26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Funciona con la conexión disponible en el local (RNF5).</w:t>
            </w:r>
          </w:p>
        </w:tc>
        <w:tc>
          <w:tcPr>
            <w:tcW w:w="22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Docker Compose levantado en la red local.</w:t>
            </w:r>
          </w:p>
        </w:tc>
        <w:tc>
          <w:tcPr>
            <w:tcW w:w="39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1. Levantar el sistema en localhost:8091.</w:t>
            </w:r>
            <w:r>
              <w:br/>
            </w:r>
            <w:r>
              <w:rPr>
                <w:rFonts w:ascii="Arial" w:hAnsi="Arial" w:cs="Arial"/>
                <w:sz w:val="17"/>
                <w:szCs w:val="17"/>
              </w:rPr>
              <w:t xml:space="preserve">2. Operar el sistema en la red local del negocio.</w:t>
            </w:r>
          </w:p>
        </w:tc>
        <w:tc>
          <w:tcPr>
            <w:tcW w:w="300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 xml:space="preserve">El sistema funciona correctamente sin depender de una conexión a internet externa constante.</w:t>
            </w:r>
          </w:p>
        </w:tc>
        <w:tc>
          <w:tcPr>
            <w:tcW w:w="1650" w:type="dxa"/>
            <w:vAlign w:val="top"/>
          </w:tcPr>
          <w:p>
            <w:pPr>
              <w:spacing w:after="20"/>
            </w:pPr>
            <w:r>
              <w:rPr>
                <w:rFonts w:ascii="Arial" w:hAnsi="Arial" w:cs="Arial"/>
                <w:b/>
                <w:color w:val="2B5797"/>
                <w:sz w:val="17"/>
                <w:szCs w:val="17"/>
              </w:rPr>
              <w:t xml:space="preserve">No funcional (Disponibilidad)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8"/>
        <w:szCs w:val="18"/>
        <w:lang w:val="es-GT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