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0" w:after="80"/>
        <w:jc w:val="center"/>
      </w:pPr>
      <w:r>
        <w:rPr>
          <w:b/>
          <w:sz w:val="28"/>
        </w:rPr>
        <w:t>UNIVERSIDAD MARIANO GÁLVEZ DE GUATEMALA</w:t>
      </w:r>
    </w:p>
    <w:p>
      <w:pPr>
        <w:spacing w:before="0" w:after="80"/>
        <w:jc w:val="center"/>
      </w:pPr>
      <w:r>
        <w:rPr>
          <w:b/>
          <w:sz w:val="22"/>
        </w:rPr>
        <w:t>FACULTAD DE INGENIERÍA EN SISTEMAS DE INFORMACIÓN Y</w:t>
      </w:r>
    </w:p>
    <w:p>
      <w:pPr>
        <w:spacing w:before="0" w:after="80"/>
        <w:jc w:val="center"/>
      </w:pPr>
      <w:r>
        <w:rPr>
          <w:b/>
          <w:sz w:val="22"/>
        </w:rPr>
        <w:t>CIENCIAS DE LA COMPUTACIÓN</w:t>
      </w:r>
    </w:p>
    <w:p>
      <w:pPr>
        <w:spacing w:before="0" w:after="80"/>
        <w:jc w:val="center"/>
      </w:pPr>
      <w:r>
        <w:rPr>
          <w:b/>
          <w:sz w:val="24"/>
        </w:rPr>
        <w:t>PROYECTO DE ASEGURAMIENTO DE SOFTWARE</w:t>
      </w:r>
    </w:p>
    <w:p>
      <w:pPr>
        <w:spacing w:before="0" w:after="1200"/>
      </w:pPr>
    </w:p>
    <w:p>
      <w:pPr>
        <w:spacing w:before="0" w:after="80"/>
        <w:jc w:val="center"/>
      </w:pPr>
      <w:r>
        <w:rPr>
          <w:b/>
          <w:color w:val="1F3A8A"/>
          <w:sz w:val="32"/>
        </w:rPr>
        <w:t>SISTEMA DE GESTIÓN DE INVENTARIO Y PRECIOS</w:t>
      </w:r>
    </w:p>
    <w:p>
      <w:pPr>
        <w:spacing w:before="0" w:after="600"/>
        <w:jc w:val="center"/>
      </w:pPr>
      <w:r>
        <w:rPr>
          <w:b/>
          <w:sz w:val="26"/>
        </w:rPr>
        <w:t>TIENDA BUGAMBILIAS (TIENDA FAMILIAR)</w:t>
      </w:r>
    </w:p>
    <w:p>
      <w:pPr>
        <w:spacing w:before="0" w:after="80"/>
        <w:jc w:val="center"/>
      </w:pPr>
      <w:r>
        <w:rPr>
          <w:b/>
          <w:sz w:val="28"/>
        </w:rPr>
        <w:t>Plan de pruebas y Formato de Caso de Prueba Estándar</w:t>
      </w:r>
    </w:p>
    <w:p>
      <w:pPr>
        <w:spacing w:before="0" w:after="80"/>
        <w:jc w:val="center"/>
      </w:pPr>
      <w:r>
        <w:rPr>
          <w:i/>
          <w:sz w:val="22"/>
        </w:rPr>
        <w:t>Módulo 2: Gestión de Productos · Módulo 4: Cálculo de Ganancias</w:t>
      </w:r>
    </w:p>
    <w:p>
      <w:pPr>
        <w:spacing w:before="0" w:after="1800"/>
        <w:jc w:val="center"/>
      </w:pPr>
      <w:r>
        <w:rPr>
          <w:i/>
          <w:sz w:val="22"/>
        </w:rPr>
        <w:t>Herramienta: Jest · Pruebas de caja negra, caja blanca y caja gris</w:t>
      </w:r>
    </w:p>
    <w:p>
      <w:pPr>
        <w:spacing w:before="0" w:after="80"/>
        <w:jc w:val="center"/>
      </w:pPr>
      <w:r>
        <w:rPr>
          <w:b/>
          <w:sz w:val="22"/>
        </w:rPr>
        <w:t>NOMBRE: SANTOS DAVID TOJ ÁLVAREZ</w:t>
      </w:r>
    </w:p>
    <w:p>
      <w:pPr>
        <w:spacing w:before="0" w:after="120"/>
        <w:jc w:val="center"/>
      </w:pPr>
      <w:r>
        <w:rPr>
          <w:b/>
          <w:sz w:val="22"/>
        </w:rPr>
        <w:t>GUATEMALA, SEPTIEMBRE DE 2026</w:t>
      </w:r>
    </w:p>
    <w:p>
      <w:r>
        <w:br w:type="page"/>
      </w:r>
    </w:p>
    <w:p>
      <w:pPr>
        <w:spacing w:before="280" w:after="120"/>
      </w:pPr>
      <w:r>
        <w:rPr>
          <w:b/>
          <w:color w:val="1F3A8A"/>
          <w:sz w:val="30"/>
        </w:rPr>
        <w:t>1. Plan de pruebas</w:t>
      </w:r>
    </w:p>
    <w:p>
      <w:pPr>
        <w:spacing w:before="200" w:after="120"/>
      </w:pPr>
      <w:r>
        <w:rPr>
          <w:b/>
          <w:color w:val="1F3A8A"/>
          <w:sz w:val="25"/>
        </w:rPr>
        <w:t>1.1 Objetivo</w:t>
      </w:r>
    </w:p>
    <w:p>
      <w:pPr>
        <w:spacing w:before="0" w:after="120"/>
      </w:pPr>
      <w:r>
        <w:t>Verificar que los módulos de Gestión de Productos y Cálculo de Ganancias del sistema de la Tienda Bugambilias cumplen los requerimientos del dueño (RF1, RF2, RF3, RF5, RF7 y RF8 del documento «Objetivos del proyecto»), ejecutando los casos de prueba planificados con una herramienta automatizada y registrando el resultado de cada uno en el Formato de Caso de Prueba Estándar.</w:t>
      </w:r>
    </w:p>
    <w:p>
      <w:pPr>
        <w:spacing w:before="200" w:after="120"/>
      </w:pPr>
      <w:r>
        <w:rPr>
          <w:b/>
          <w:color w:val="1F3A8A"/>
          <w:sz w:val="25"/>
        </w:rPr>
        <w:t>1.2 Alcance</w:t>
      </w:r>
    </w:p>
    <w:p>
      <w:pPr>
        <w:spacing w:after="60"/>
        <w:ind w:left="454" w:hanging="255"/>
      </w:pPr>
      <w:r>
        <w:t xml:space="preserve">•  </w:t>
      </w:r>
      <w:r>
        <w:rPr>
          <w:b/>
        </w:rPr>
        <w:t xml:space="preserve">Módulo 2 · Gestión de Productos (CRUD): </w:t>
      </w:r>
      <w:r>
        <w:t>crear, actualizar y eliminar productos con nombre, precio de compra, precio de venta y stock; validación de datos y permisos por rol.</w:t>
      </w:r>
    </w:p>
    <w:p>
      <w:pPr>
        <w:spacing w:after="60"/>
        <w:ind w:left="454" w:hanging="255"/>
      </w:pPr>
      <w:r>
        <w:t xml:space="preserve">•  </w:t>
      </w:r>
      <w:r>
        <w:rPr>
          <w:b/>
        </w:rPr>
        <w:t xml:space="preserve">Módulo 4 · Cálculo de Ganancias: </w:t>
      </w:r>
      <w:r>
        <w:t>ganancia por unidad (venta − compra), margen, ganancia negativa y reporte de productos más y menos rentables.</w:t>
      </w:r>
    </w:p>
    <w:p>
      <w:pPr>
        <w:spacing w:after="60"/>
        <w:ind w:left="454" w:hanging="255"/>
      </w:pPr>
      <w:r>
        <w:t xml:space="preserve">•  </w:t>
      </w:r>
      <w:r>
        <w:rPr>
          <w:b/>
        </w:rPr>
        <w:t xml:space="preserve">Módulo 1 · Autenticación: </w:t>
      </w:r>
      <w:r>
        <w:t>ya documentado en «Formato_Casos_Prueba_POS_Web» (CP-LOGIN-001 a CP-REG-002); se vuelve a ejecutar como regresión.</w:t>
      </w:r>
    </w:p>
    <w:p>
      <w:pPr>
        <w:spacing w:after="60"/>
        <w:ind w:left="454" w:hanging="255"/>
      </w:pPr>
      <w:r>
        <w:t xml:space="preserve">•  </w:t>
      </w:r>
      <w:r>
        <w:rPr>
          <w:b/>
        </w:rPr>
        <w:t xml:space="preserve">Fuera de alcance: </w:t>
      </w:r>
      <w:r>
        <w:t>facturación electrónica, integración con proveedores y reportes contables (según el documento de objetivos).</w:t>
      </w:r>
    </w:p>
    <w:p>
      <w:pPr>
        <w:spacing w:before="200" w:after="120"/>
      </w:pPr>
      <w:r>
        <w:rPr>
          <w:b/>
          <w:color w:val="1F3A8A"/>
          <w:sz w:val="25"/>
        </w:rPr>
        <w:t>1.3 Herramienta y enfoque</w:t>
      </w:r>
    </w:p>
    <w:p>
      <w:pPr>
        <w:spacing w:after="60"/>
        <w:ind w:left="454" w:hanging="255"/>
      </w:pPr>
      <w:r>
        <w:t xml:space="preserve">•  </w:t>
      </w:r>
      <w:r>
        <w:rPr>
          <w:b/>
        </w:rPr>
        <w:t xml:space="preserve">Jest 29 (Node.js 20): </w:t>
      </w:r>
      <w:r>
        <w:t>ejecuta los casos contra la API REST real del sistema (PHP 8.3 + MySQL 8), carpeta pruebas/ del repositorio.</w:t>
      </w:r>
    </w:p>
    <w:p>
      <w:pPr>
        <w:spacing w:after="60"/>
        <w:ind w:left="454" w:hanging="255"/>
      </w:pPr>
      <w:r>
        <w:t xml:space="preserve">•  </w:t>
      </w:r>
      <w:r>
        <w:rPr>
          <w:b/>
        </w:rPr>
        <w:t xml:space="preserve">Jest + React Testing Library: </w:t>
      </w:r>
      <w:r>
        <w:t>pruebas del prototipo de interfaz (carpeta frontend/), con la API simulada; aplican la prueba ágil sobre el prototipo.</w:t>
      </w:r>
    </w:p>
    <w:p>
      <w:pPr>
        <w:spacing w:after="60"/>
        <w:ind w:left="454" w:hanging="255"/>
      </w:pPr>
      <w:r>
        <w:t xml:space="preserve">•  </w:t>
      </w:r>
      <w:r>
        <w:rPr>
          <w:b/>
        </w:rPr>
        <w:t xml:space="preserve">Automatización: </w:t>
      </w:r>
      <w:r>
        <w:t>cada caso es repetible (usa códigos de producto únicos por corrida) y se ejecuta con un solo comando: npm test.</w:t>
      </w:r>
    </w:p>
    <w:p>
      <w:pPr>
        <w:spacing w:before="200" w:after="120"/>
      </w:pPr>
      <w:r>
        <w:rPr>
          <w:b/>
          <w:color w:val="1F3A8A"/>
          <w:sz w:val="25"/>
        </w:rPr>
        <w:t>1.4 Tipos de prueba aplicados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280"/>
        <w:gridCol w:w="3280"/>
        <w:gridCol w:w="3280"/>
      </w:tblGrid>
      <w:tr>
        <w:tc>
          <w:tcPr>
            <w:tcW w:type="dxa" w:w="1474"/>
            <w:shd w:val="clear" w:color="auto" w:fill="EDEDED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3515"/>
            <w:shd w:val="clear" w:color="auto" w:fill="EDEDED"/>
          </w:tcPr>
          <w:p>
            <w:r>
              <w:rPr>
                <w:b/>
                <w:sz w:val="18"/>
              </w:rPr>
              <w:t>En qué consiste</w:t>
            </w:r>
          </w:p>
        </w:tc>
        <w:tc>
          <w:tcPr>
            <w:tcW w:type="dxa" w:w="4535"/>
            <w:shd w:val="clear" w:color="auto" w:fill="EDEDED"/>
          </w:tcPr>
          <w:p>
            <w:r>
              <w:rPr>
                <w:b/>
                <w:sz w:val="18"/>
              </w:rPr>
              <w:t>Cómo se aplica en este proyecto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Caja negra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Se prueba contra el requerimiento: se dan entradas y se revisan las salidas, sin mirar el código.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CP-PROD-001, 002, 003 y CP-GAN-002: se crea, edita, elimina y vende como lo haría el usuario, y se revisa la respuesta de la API.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Caja blanca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Los casos se diseñan leyendo el código, para recorrer sus caminos, ramas y fórmulas.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CP-PROD-004: un dato de prueba por cada rama de validación de api_productos_create(). CP-GAN-001 y 003: se verifican las fórmulas de producto_json() con valores exactos.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Caja gris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Se conoce parte del diseño interno (base de datos, roles, contrato de la API) pero se prueba desde fuera.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CP-PROD-005: el cajero no recibe precio_compra. CP-GAN-004: la venta guarda el costo del momento (costo_unitario) y la ganancia histórica no cambia.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color w:val="1F3A8A"/>
          <w:sz w:val="25"/>
        </w:rPr>
        <w:t>1.5 Entorno de pruebas</w:t>
      </w:r>
    </w:p>
    <w:p>
      <w:pPr>
        <w:spacing w:after="60"/>
        <w:ind w:left="454" w:hanging="255"/>
      </w:pPr>
      <w:r>
        <w:t xml:space="preserve">•  </w:t>
      </w:r>
      <w:r>
        <w:t>Aplicación levantada con Docker Compose: servicio web (PHP 8.3 + Apache) en http://localhost:8091 y MySQL 8 (base pos_tienda).</w:t>
      </w:r>
    </w:p>
    <w:p>
      <w:pPr>
        <w:spacing w:after="60"/>
        <w:ind w:left="454" w:hanging="255"/>
      </w:pPr>
      <w:r>
        <w:t xml:space="preserve">•  </w:t>
      </w:r>
      <w:r>
        <w:t>Datos iniciales: database/pos_tienda.sql (22 productos, 7 categorías, 6 ventas de ejemplo).</w:t>
      </w:r>
    </w:p>
    <w:p>
      <w:pPr>
        <w:spacing w:after="60"/>
        <w:ind w:left="454" w:hanging="255"/>
      </w:pPr>
      <w:r>
        <w:t xml:space="preserve">•  </w:t>
      </w:r>
      <w:r>
        <w:t>Usuarios de prueba: admin@tienda.com / admin123 (administrador) y cajero@tienda.com / cajero123 (cajero).</w:t>
      </w:r>
    </w:p>
    <w:p>
      <w:pPr>
        <w:spacing w:after="60"/>
        <w:ind w:left="454" w:hanging="255"/>
      </w:pPr>
      <w:r>
        <w:t xml:space="preserve">•  </w:t>
      </w:r>
      <w:r>
        <w:t>Comando de ejecución: cd pruebas &amp;&amp; npm install &amp;&amp; npm test.</w:t>
      </w:r>
    </w:p>
    <w:p>
      <w:pPr>
        <w:spacing w:before="200" w:after="120"/>
      </w:pPr>
      <w:r>
        <w:rPr>
          <w:b/>
          <w:color w:val="1F3A8A"/>
          <w:sz w:val="25"/>
        </w:rPr>
        <w:t>1.6 Criterios de aceptación</w:t>
      </w:r>
    </w:p>
    <w:p>
      <w:pPr>
        <w:spacing w:after="60"/>
        <w:ind w:left="454" w:hanging="255"/>
      </w:pPr>
      <w:r>
        <w:t xml:space="preserve">•  </w:t>
      </w:r>
      <w:r>
        <w:t>Un caso se aprueba cuando el resultado real coincide con el esperado (código HTTP, mensaje y datos).</w:t>
      </w:r>
    </w:p>
    <w:p>
      <w:pPr>
        <w:spacing w:after="60"/>
        <w:ind w:left="454" w:hanging="255"/>
      </w:pPr>
      <w:r>
        <w:t xml:space="preserve">•  </w:t>
      </w:r>
      <w:r>
        <w:t>El módulo se acepta si el 100 % de sus casos quedan aprobados y no hay defectos críticos abiertos.</w:t>
      </w:r>
    </w:p>
    <w:p>
      <w:pPr>
        <w:spacing w:after="60"/>
        <w:ind w:left="454" w:hanging="255"/>
      </w:pPr>
      <w:r>
        <w:t xml:space="preserve">•  </w:t>
      </w:r>
      <w:r>
        <w:t>Ante un fallo se registra el defecto, se corrige y se vuelve a ejecutar la suite completa (regresión).</w:t>
      </w:r>
    </w:p>
    <w:p>
      <w:pPr>
        <w:spacing w:before="200" w:after="120"/>
      </w:pPr>
      <w:r>
        <w:rPr>
          <w:b/>
          <w:color w:val="1F3A8A"/>
          <w:sz w:val="25"/>
        </w:rPr>
        <w:t>1.7 Cronograma y responsable</w:t>
      </w:r>
    </w:p>
    <w:p>
      <w:pPr>
        <w:spacing w:before="0" w:after="120"/>
      </w:pPr>
      <w:r>
        <w:t>Según el Diagrama de Gantt del proyecto, la ejecución de casos corresponde a la semana de integración. Fecha de ejecución registrada en este documento: 25 de septiembre de 2026. Responsable: Santos David Toj Álvarez.</w:t>
      </w:r>
    </w:p>
    <w:p>
      <w:pPr>
        <w:spacing w:before="200" w:after="120"/>
      </w:pPr>
      <w:r>
        <w:rPr>
          <w:b/>
          <w:color w:val="1F3A8A"/>
          <w:sz w:val="25"/>
        </w:rPr>
        <w:t>1.8 Matriz de casos planificados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474"/>
            <w:shd w:val="clear" w:color="auto" w:fill="EDEDED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247"/>
            <w:shd w:val="clear" w:color="auto" w:fill="EDEDED"/>
          </w:tcPr>
          <w:p>
            <w:r>
              <w:rPr>
                <w:b/>
                <w:sz w:val="18"/>
              </w:rPr>
              <w:t>Módulo</w:t>
            </w:r>
          </w:p>
        </w:tc>
        <w:tc>
          <w:tcPr>
            <w:tcW w:type="dxa" w:w="4309"/>
            <w:shd w:val="clear" w:color="auto" w:fill="EDEDED"/>
          </w:tcPr>
          <w:p>
            <w:r>
              <w:rPr>
                <w:b/>
                <w:sz w:val="18"/>
              </w:rPr>
              <w:t>Escenario</w:t>
            </w:r>
          </w:p>
        </w:tc>
        <w:tc>
          <w:tcPr>
            <w:tcW w:type="dxa" w:w="1134"/>
            <w:shd w:val="clear" w:color="auto" w:fill="EDEDED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1361"/>
            <w:shd w:val="clear" w:color="auto" w:fill="EDEDED"/>
          </w:tcPr>
          <w:p>
            <w:r>
              <w:rPr>
                <w:b/>
                <w:sz w:val="18"/>
              </w:rPr>
              <w:t>Caja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CP-PROD-001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Productos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Registro exitoso de un nuevo producto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Positiva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negra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CP-PROD-002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Productos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Actualización del precio de un producto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Positiva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negra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CP-PROD-003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Productos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Eliminación de un producto del catálogo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Positiva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negra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CP-PROD-004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Productos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Campos obligatorios vacíos o inválidos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Negativa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blanca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CP-PROD-005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Productos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Permisos: el cajero no crea productos ni ve costos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Negativa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gris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CP-GAN-001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Ganancias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Cálculo de la ganancia individual (Q10 → Q15)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Positiva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blanca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CP-GAN-002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Ganancias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Producto más rentable en el reporte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Positiva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negra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CP-GAN-003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Ganancias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Precio de compra mayor al de venta (Q20 → Q18)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Negativa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blanca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CP-GAN-004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Ganancias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La ganancia de ventas pasadas no cambia al editar el costo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Positiva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gris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80"/>
        <w:jc w:val="center"/>
      </w:pPr>
      <w:r>
        <w:rPr>
          <w:b/>
          <w:sz w:val="30"/>
        </w:rPr>
        <w:t>2. Formato de Caso de Prueba Estándar</w:t>
      </w:r>
    </w:p>
    <w:p>
      <w:pPr>
        <w:spacing w:before="0" w:after="240"/>
        <w:jc w:val="center"/>
      </w:pPr>
      <w:r>
        <w:rPr>
          <w:i/>
        </w:rPr>
        <w:t>Proyecto: Sistema POS Web — Tienda Bugambilias (pos_tienda) · Herramienta: Jest</w:t>
      </w:r>
    </w:p>
    <w:p>
      <w:pPr>
        <w:spacing w:before="0" w:after="120"/>
      </w:pPr>
      <w:r>
        <w:t>Se aplica el formato estándar (ID, escenario, pasos, requisitos previos, datos de prueba, resultado esperado, resultado real y estado) a cada caso planificado. El resultado real es el obtenido al ejecutar la suite de Jest sobre el sistema en funcionamiento; la misma ejecución se muestra en el video.</w:t>
      </w:r>
    </w:p>
    <w:p>
      <w:pPr>
        <w:spacing w:before="200" w:after="120"/>
      </w:pPr>
      <w:r>
        <w:rPr>
          <w:b/>
          <w:color w:val="1F3A8A"/>
          <w:sz w:val="25"/>
        </w:rPr>
        <w:t>Módulo 2: Gestión de Productos (CRUD) — archivo pruebas/productos.test.js</w:t>
      </w:r>
    </w:p>
    <w:p>
      <w:pPr>
        <w:spacing w:before="0" w:after="120"/>
      </w:pPr>
      <w:r>
        <w:rPr>
          <w:b/>
          <w:sz w:val="24"/>
        </w:rPr>
        <w:t>Caso 1: CP-PROD-001 — Caja negra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CP-PROD-001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Registro exitoso de un nuevo producto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Iniciar sesión como administrador</w:t>
              <w:br/>
            </w:r>
            <w:r>
              <w:t>2. Enviar POST /api/productos con los datos del producto</w:t>
              <w:br/>
            </w:r>
            <w:r>
              <w:t>3. Buscar el producto por su código en el listado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Sesión activa con rol administrador; el código del producto no existe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código: ARZ-(único) · nombre: Arroz Integral 1 lb · precio de compra: Q6.00 · precio de venta: Q8.50 · stock: 40 · categoría: Granos Básicos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201 Created con el mensaje «Producto creado.»; el producto aparece en el listado con sus datos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201 «Producto creado.»; el listado lo muestra con precio Q8.50 y stock 40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sz w:val="24"/>
        </w:rPr>
        <w:t>Caso 2: CP-PROD-002 — Caja negra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CP-PROD-002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Actualización del precio de un producto existente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Crear un producto con precio de venta Q10.00</w:t>
              <w:br/>
            </w:r>
            <w:r>
              <w:t>2. Enviar PUT /api/productos/{id} con el nuevo precio</w:t>
              <w:br/>
            </w:r>
            <w:r>
              <w:t>3. Consultar el producto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El producto existe en el catálogo; sesión de administrador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precio de venta anterior: Q10.00 · precio nuevo: Q12.50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200 OK; al consultar el producto su precio es Q12.50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200 «Producto actualizado.»; el detalle devuelve precio 12.5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sz w:val="24"/>
        </w:rPr>
        <w:t>Caso 3: CP-PROD-003 — Caja negra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CP-PROD-003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Eliminación de un producto del catálogo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Crear un producto</w:t>
              <w:br/>
            </w:r>
            <w:r>
              <w:t>2. Enviar DELETE /api/productos/{id}</w:t>
              <w:br/>
            </w:r>
            <w:r>
              <w:t>3. Buscarlo en el listado</w:t>
              <w:br/>
            </w:r>
            <w:r>
              <w:t>4. Intentar venderlo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El producto existe y está activo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código: ELI-(único)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200 OK; el producto ya no aparece en el listado y no se puede vender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200 «Producto eliminado (baja logica).»; listado vacío; la venta responde 422 «Producto … no existe»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sz w:val="24"/>
        </w:rPr>
        <w:t>Caso 4: CP-PROD-004 — Caja blanca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CP-PROD-004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Intento de registrar un producto con campos obligatorios vacíos o inválidos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Leer api_productos_create() en app/controllers/productos.php e identificar sus 4 ramas de rechazo</w:t>
              <w:br/>
            </w:r>
            <w:r>
              <w:t>2. Enviar un POST por cada rama</w:t>
              <w:br/>
            </w:r>
            <w:r>
              <w:t>3. Verificar el código, el mensaje y que no se guardó nada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Sesión de administrador; formulario/endpoint de nuevo producto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Rama 1: código vacío / nombre con solo espacios</w:t>
              <w:br/>
            </w:r>
            <w:r>
              <w:t>Rama 2: sin precio de compra / precio de venta vacío</w:t>
              <w:br/>
            </w:r>
            <w:r>
              <w:t>Rama 3: precio de compra −1 / precio de venta «diez»</w:t>
              <w:br/>
            </w:r>
            <w:r>
              <w:t>Rama 4: código ya registrado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Ramas 1–3: 422 con el mensaje de validación de cada rama, sin guardar el producto</w:t>
              <w:br/>
            </w:r>
            <w:r>
              <w:t>Rama 4: 409 «Ya existe un producto con ese codigo»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Rama 1: 422 «Codigo y nombre son obligatorios.»</w:t>
              <w:br/>
            </w:r>
            <w:r>
              <w:t>Rama 2: 422 «El precio de compra y el precio de venta son obligatorios.»</w:t>
              <w:br/>
            </w:r>
            <w:r>
              <w:t>Rama 3: 422 «El precio de … debe ser un numero mayor o igual a 0.»</w:t>
              <w:br/>
            </w:r>
            <w:r>
              <w:t>Rama 4: 409 «Ya existe un producto con ese codigo.»</w:t>
              <w:br/>
            </w:r>
            <w:r>
              <w:t>En ningún caso quedó guardado (7 de 7 verificaciones)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sz w:val="24"/>
        </w:rPr>
        <w:t>Caso 5: CP-PROD-005 — Caja gris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CP-PROD-005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Un cajero intenta crear un producto y consulta el catálogo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Iniciar sesión como cajero</w:t>
              <w:br/>
            </w:r>
            <w:r>
              <w:t>2. Enviar POST /api/productos</w:t>
              <w:br/>
            </w:r>
            <w:r>
              <w:t>3. Consultar GET /api/productos y revisar los campos de cada producto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Sesión activa con rol cajero; se sabe que producto_json() filtra el costo por rol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usuario: cajero@tienda.com · producto: código CAJ-(único), compra Q1, venta Q2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403 al crear; el listado no incluye precio_compra ni ganancia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403 «Acceso denegado. Se requiere rol de administrador.»; ningún producto trae precio_compra ni ganancia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1F3A8A"/>
          <w:sz w:val="25"/>
        </w:rPr>
        <w:t>Módulo 4: Cálculo de Ganancias — archivo pruebas/ganancias.test.js</w:t>
      </w:r>
    </w:p>
    <w:p>
      <w:pPr>
        <w:spacing w:before="0" w:after="120"/>
      </w:pPr>
      <w:r>
        <w:rPr>
          <w:b/>
          <w:sz w:val="24"/>
        </w:rPr>
        <w:t>Caso 6: CP-GAN-001 — Caja blanca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CP-GAN-001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Cálculo correcto de la ganancia individual de un producto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Registrar un producto con precio de compra Q10 y de venta Q15</w:t>
              <w:br/>
            </w:r>
            <w:r>
              <w:t>2. Consultar el producto</w:t>
              <w:br/>
            </w:r>
            <w:r>
              <w:t>3. Comparar con la fórmula de producto_json(): ganancia = venta − compra; margen = ganancia / venta × 100 (1 decimal)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Sesión de administrador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precio de compra: Q10.00 · precio de venta: Q15.00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ganancia Q5.00 y margen 33.3 %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ganancia 5 y margen 33.3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sz w:val="24"/>
        </w:rPr>
        <w:t>Caso 7: CP-GAN-002 — Caja negra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CP-GAN-002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Visualización del producto más rentable del negocio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Registrar dos productos: A (Q10 → Q40) y B (Q10 → Q11)</w:t>
              <w:br/>
            </w:r>
            <w:r>
              <w:t>2. Vender 2 unidades de cada uno</w:t>
              <w:br/>
            </w:r>
            <w:r>
              <w:t>3. Consultar el reporte de rentabilidad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Existen varios productos con ganancias distintas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Producto A: gana Q30 por unidad · Producto B: gana Q1 por unidad · 2 unidades de cada uno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A genera Q60 y B Q2; A aparece antes que B en el reporte (del más al menos rentable)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A: ganancia generada Q60 · B: Q2 · A aparece antes que B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sz w:val="24"/>
        </w:rPr>
        <w:t>Caso 8: CP-GAN-003 — Caja blanca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CP-GAN-003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Cálculo de ganancia cuando el precio de compra es mayor al de venta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Registrar un producto con compra Q20 y venta Q18</w:t>
              <w:br/>
            </w:r>
            <w:r>
              <w:t>2. Consultar el producto</w:t>
              <w:br/>
            </w:r>
            <w:r>
              <w:t>3. Verificar el signo y el redondeo del margen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Sesión de administrador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precio de compra: Q20.00 · precio de venta: Q18.00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ganancia −Q2.00 y margen −11.1 %; en la interfaz se marca en rojo con el aviso «Se vende sin ganancia»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ganancia −2 y margen −11.1 (la interfaz muestra el aviso, verificado en las pruebas del prototipo)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sz w:val="24"/>
        </w:rPr>
        <w:t>Caso 9: CP-GAN-004 — Caja gris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CP-GAN-004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Cambiar el precio de compra no altera la ganancia de ventas pasadas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Registrar un producto (compra Q5, venta Q9) y vender 3 unidades</w:t>
              <w:br/>
            </w:r>
            <w:r>
              <w:t>2. Consultar la ganancia generada</w:t>
              <w:br/>
            </w:r>
            <w:r>
              <w:t>3. Cambiar el precio de compra a Q8</w:t>
              <w:br/>
            </w:r>
            <w:r>
              <w:t>4. Consultar de nuevo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Se sabe que cada línea de venta guarda costo_unitario en la base de datos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compra Q5 → Q8 · venta Q9 · 3 unidades vendidas antes del cambio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Ganancia generada Q12 antes y después del cambio; la ganancia unitaria actual pasa a Q1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Antes: Q12 · Después: Q12 · Ganancia unitaria actual: Q1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20"/>
      </w:pPr>
      <w:r>
        <w:rPr>
          <w:b/>
          <w:color w:val="1F3A8A"/>
          <w:sz w:val="30"/>
        </w:rPr>
        <w:t>3. Resumen de la ejecución</w:t>
      </w:r>
    </w:p>
    <w:p>
      <w:pPr>
        <w:spacing w:before="0" w:after="120"/>
      </w:pPr>
      <w:r>
        <w:t>Ejecución del 25/09/2026 con Jest sobre la API real (npm test en la carpeta pruebas/):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3175"/>
            <w:shd w:val="clear" w:color="auto" w:fill="EDEDED"/>
          </w:tcPr>
          <w:p>
            <w:r>
              <w:rPr>
                <w:b/>
                <w:sz w:val="18"/>
              </w:rPr>
              <w:t>Módulo</w:t>
            </w:r>
          </w:p>
        </w:tc>
        <w:tc>
          <w:tcPr>
            <w:tcW w:type="dxa" w:w="907"/>
            <w:shd w:val="clear" w:color="auto" w:fill="EDEDED"/>
          </w:tcPr>
          <w:p>
            <w:r>
              <w:rPr>
                <w:b/>
                <w:sz w:val="18"/>
              </w:rPr>
              <w:t>Casos</w:t>
            </w:r>
          </w:p>
        </w:tc>
        <w:tc>
          <w:tcPr>
            <w:tcW w:type="dxa" w:w="1474"/>
            <w:shd w:val="clear" w:color="auto" w:fill="EDEDED"/>
          </w:tcPr>
          <w:p>
            <w:r>
              <w:rPr>
                <w:b/>
                <w:sz w:val="18"/>
              </w:rPr>
              <w:t>Verificaciones</w:t>
            </w:r>
          </w:p>
        </w:tc>
        <w:tc>
          <w:tcPr>
            <w:tcW w:type="dxa" w:w="1701"/>
            <w:shd w:val="clear" w:color="auto" w:fill="EDEDED"/>
          </w:tcPr>
          <w:p>
            <w:r>
              <w:rPr>
                <w:b/>
                <w:sz w:val="18"/>
              </w:rPr>
              <w:t>Aprobados</w:t>
            </w:r>
          </w:p>
        </w:tc>
        <w:tc>
          <w:tcPr>
            <w:tcW w:type="dxa" w:w="2268"/>
            <w:shd w:val="clear" w:color="auto" w:fill="EDEDED"/>
          </w:tcPr>
          <w:p>
            <w:r>
              <w:rPr>
                <w:b/>
                <w:sz w:val="18"/>
              </w:rPr>
              <w:t>Tipos de caja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Módulo 2 · Gestión de Productos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 / 11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Negra, blanca y gris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Módulo 4 · Cálculo de Ganancias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 / 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Negra, blanca y gris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Módulo 1 · Autenticación (regresión)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 / 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Negra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 / 20 (100 %)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spacing w:before="0" w:after="120"/>
      </w:pPr>
      <w:r>
        <w:t>Pruebas del prototipo de interfaz (frontend/, npm test): 46 de 46 aprobadas. Incluyen, desde la pantalla, la vista previa de la ganancia al escribir los precios, el aviso «Se vende sin ganancia» y que el cajero no ve costos ni ganancias.</w:t>
      </w:r>
    </w:p>
    <w:p>
      <w:pPr>
        <w:spacing w:before="200" w:after="120"/>
      </w:pPr>
      <w:r>
        <w:rPr>
          <w:b/>
          <w:color w:val="1F3A8A"/>
          <w:sz w:val="25"/>
        </w:rPr>
        <w:t>Defecto encontrado y corregido durante la preparación</w:t>
      </w:r>
    </w:p>
    <w:p>
      <w:pPr>
        <w:spacing w:before="0" w:after="120"/>
      </w:pPr>
      <w:r>
        <w:t>Al automatizar las pruebas se detectó que el sistema no permitía registrar el precio de compra ni calcular la ganancia (RF1, RF5 y RF7). Se agregó el precio de compra, el cálculo de ganancia y margen, el reporte de rentabilidad y la restricción por rol; después se ejecutó la suite completa y todos los casos quedaron aprobados.</w:t>
      </w:r>
    </w:p>
    <w:p>
      <w:pPr>
        <w:spacing w:before="200" w:after="120"/>
      </w:pPr>
      <w:r>
        <w:rPr>
          <w:b/>
          <w:color w:val="1F3A8A"/>
          <w:sz w:val="25"/>
        </w:rPr>
        <w:t>Conclusión</w:t>
      </w:r>
    </w:p>
    <w:p>
      <w:pPr>
        <w:spacing w:before="0" w:after="120"/>
      </w:pPr>
      <w:r>
        <w:t>Los módulos de Gestión de Productos y Cálculo de Ganancias cumplen los criterios de aceptación: 100 % de casos aprobados, combinando pruebas de caja negra (requerimientos), caja blanca (ramas y fórmulas del código) y caja gris (diseño de datos y roles).</w:t>
      </w:r>
    </w:p>
    <w:sectPr w:rsidR="0032169B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533409"/>
    <w:multiLevelType w:val="hybridMultilevel"/>
    <w:tmpl w:val="255A4F96"/>
    <w:lvl w:ilvl="0" w:tplc="87C87A94">
      <w:start w:val="1"/>
      <w:numFmt w:val="bullet"/>
      <w:lvlText w:val="●"/>
      <w:lvlJc w:val="left"/>
      <w:pPr>
        <w:ind w:left="720" w:hanging="360"/>
      </w:pPr>
    </w:lvl>
    <w:lvl w:ilvl="1" w:tplc="1368F9E0">
      <w:start w:val="1"/>
      <w:numFmt w:val="bullet"/>
      <w:lvlText w:val="○"/>
      <w:lvlJc w:val="left"/>
      <w:pPr>
        <w:ind w:left="1440" w:hanging="360"/>
      </w:pPr>
    </w:lvl>
    <w:lvl w:ilvl="2" w:tplc="A01E21DC">
      <w:start w:val="1"/>
      <w:numFmt w:val="bullet"/>
      <w:lvlText w:val="■"/>
      <w:lvlJc w:val="left"/>
      <w:pPr>
        <w:ind w:left="2160" w:hanging="360"/>
      </w:pPr>
    </w:lvl>
    <w:lvl w:ilvl="3" w:tplc="712E834E">
      <w:start w:val="1"/>
      <w:numFmt w:val="bullet"/>
      <w:lvlText w:val="●"/>
      <w:lvlJc w:val="left"/>
      <w:pPr>
        <w:ind w:left="2880" w:hanging="360"/>
      </w:pPr>
    </w:lvl>
    <w:lvl w:ilvl="4" w:tplc="DCB0FBEE">
      <w:start w:val="1"/>
      <w:numFmt w:val="bullet"/>
      <w:lvlText w:val="○"/>
      <w:lvlJc w:val="left"/>
      <w:pPr>
        <w:ind w:left="3600" w:hanging="360"/>
      </w:pPr>
    </w:lvl>
    <w:lvl w:ilvl="5" w:tplc="7BCCD338">
      <w:start w:val="1"/>
      <w:numFmt w:val="bullet"/>
      <w:lvlText w:val="■"/>
      <w:lvlJc w:val="left"/>
      <w:pPr>
        <w:ind w:left="4320" w:hanging="360"/>
      </w:pPr>
    </w:lvl>
    <w:lvl w:ilvl="6" w:tplc="9628E54A">
      <w:start w:val="1"/>
      <w:numFmt w:val="bullet"/>
      <w:lvlText w:val="●"/>
      <w:lvlJc w:val="left"/>
      <w:pPr>
        <w:ind w:left="5040" w:hanging="360"/>
      </w:pPr>
    </w:lvl>
    <w:lvl w:ilvl="7" w:tplc="D4C050F6">
      <w:start w:val="1"/>
      <w:numFmt w:val="bullet"/>
      <w:lvlText w:val="●"/>
      <w:lvlJc w:val="left"/>
      <w:pPr>
        <w:ind w:left="5760" w:hanging="360"/>
      </w:pPr>
    </w:lvl>
    <w:lvl w:ilvl="8" w:tplc="84120EFE">
      <w:start w:val="1"/>
      <w:numFmt w:val="bullet"/>
      <w:lvlText w:val="●"/>
      <w:lvlJc w:val="left"/>
      <w:pPr>
        <w:ind w:left="6480" w:hanging="360"/>
      </w:pPr>
    </w:lvl>
  </w:abstractNum>
  <w:num w:numId="1" w16cid:durableId="599920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C91"/>
    <w:rsid w:val="0032169B"/>
    <w:rsid w:val="00497C91"/>
    <w:rsid w:val="00725E25"/>
    <w:rsid w:val="00BC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D839CCE"/>
  <w15:docId w15:val="{740316C3-5A71-254A-85AB-D83CEF10E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</cp:lastModifiedBy>
  <cp:revision>2</cp:revision>
  <dcterms:created xsi:type="dcterms:W3CDTF">2026-09-12T14:05:00Z</dcterms:created>
  <dcterms:modified xsi:type="dcterms:W3CDTF">2026-09-19T20:56:00Z</dcterms:modified>
</cp:coreProperties>
</file>