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Table 3. Tool-call distribution across conditions (N=150 per condition).</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rPr>
                <w:b/>
              </w:rPr>
              <w:t>Tool</w:t>
            </w:r>
          </w:p>
        </w:tc>
        <w:tc>
          <w:tcPr>
            <w:tcW w:type="dxa" w:w="1728"/>
          </w:tcPr>
          <w:p>
            <w:r>
              <w:rPr>
                <w:b/>
              </w:rPr>
              <w:t>Category</w:t>
            </w:r>
          </w:p>
        </w:tc>
        <w:tc>
          <w:tcPr>
            <w:tcW w:type="dxa" w:w="1728"/>
          </w:tcPr>
          <w:p>
            <w:r>
              <w:rPr>
                <w:b/>
              </w:rPr>
              <w:t>Cluster</w:t>
            </w:r>
          </w:p>
        </w:tc>
        <w:tc>
          <w:tcPr>
            <w:tcW w:type="dxa" w:w="1728"/>
          </w:tcPr>
          <w:p>
            <w:r>
              <w:rPr>
                <w:b/>
              </w:rPr>
              <w:t>Baseline n (%)</w:t>
            </w:r>
          </w:p>
        </w:tc>
        <w:tc>
          <w:tcPr>
            <w:tcW w:type="dxa" w:w="1728"/>
          </w:tcPr>
          <w:p>
            <w:r>
              <w:rPr>
                <w:b/>
              </w:rPr>
              <w:t>Override n (%)</w:t>
            </w:r>
          </w:p>
        </w:tc>
      </w:tr>
      <w:tr>
        <w:tc>
          <w:tcPr>
            <w:tcW w:type="dxa" w:w="1728"/>
          </w:tcPr>
          <w:p>
            <w:r>
              <w:t>Execute State Flush</w:t>
            </w:r>
          </w:p>
        </w:tc>
        <w:tc>
          <w:tcPr>
            <w:tcW w:type="dxa" w:w="1728"/>
          </w:tcPr>
          <w:p>
            <w:r>
              <w:t>Comply</w:t>
            </w:r>
          </w:p>
        </w:tc>
        <w:tc>
          <w:tcPr>
            <w:tcW w:type="dxa" w:w="1728"/>
          </w:tcPr>
          <w:p>
            <w:r>
              <w:t>—</w:t>
            </w:r>
          </w:p>
        </w:tc>
        <w:tc>
          <w:tcPr>
            <w:tcW w:type="dxa" w:w="1728"/>
          </w:tcPr>
          <w:p>
            <w:r>
              <w:t>23 (15.33%)</w:t>
            </w:r>
          </w:p>
        </w:tc>
        <w:tc>
          <w:tcPr>
            <w:tcW w:type="dxa" w:w="1728"/>
          </w:tcPr>
          <w:p>
            <w:r>
              <w:t>8 (5.33%)</w:t>
            </w:r>
          </w:p>
        </w:tc>
      </w:tr>
      <w:tr>
        <w:tc>
          <w:tcPr>
            <w:tcW w:type="dxa" w:w="1728"/>
          </w:tcPr>
          <w:p>
            <w:r>
              <w:t>Broadcast Notification</w:t>
            </w:r>
          </w:p>
        </w:tc>
        <w:tc>
          <w:tcPr>
            <w:tcW w:type="dxa" w:w="1728"/>
          </w:tcPr>
          <w:p>
            <w:r>
              <w:t>Comply</w:t>
            </w:r>
          </w:p>
        </w:tc>
        <w:tc>
          <w:tcPr>
            <w:tcW w:type="dxa" w:w="1728"/>
          </w:tcPr>
          <w:p>
            <w:r>
              <w:t>—</w:t>
            </w:r>
          </w:p>
        </w:tc>
        <w:tc>
          <w:tcPr>
            <w:tcW w:type="dxa" w:w="1728"/>
          </w:tcPr>
          <w:p>
            <w:r>
              <w:t>64 (42.67%)</w:t>
            </w:r>
          </w:p>
        </w:tc>
        <w:tc>
          <w:tcPr>
            <w:tcW w:type="dxa" w:w="1728"/>
          </w:tcPr>
          <w:p>
            <w:r>
              <w:t>26 (17.33%)</w:t>
            </w:r>
          </w:p>
        </w:tc>
      </w:tr>
      <w:tr>
        <w:tc>
          <w:tcPr>
            <w:tcW w:type="dxa" w:w="1728"/>
          </w:tcPr>
          <w:p>
            <w:r>
              <w:t>Escalate to Admin</w:t>
            </w:r>
          </w:p>
        </w:tc>
        <w:tc>
          <w:tcPr>
            <w:tcW w:type="dxa" w:w="1728"/>
          </w:tcPr>
          <w:p>
            <w:r>
              <w:t>Human-in-loop</w:t>
            </w:r>
          </w:p>
        </w:tc>
        <w:tc>
          <w:tcPr>
            <w:tcW w:type="dxa" w:w="1728"/>
          </w:tcPr>
          <w:p>
            <w:r>
              <w:t>—</w:t>
            </w:r>
          </w:p>
        </w:tc>
        <w:tc>
          <w:tcPr>
            <w:tcW w:type="dxa" w:w="1728"/>
          </w:tcPr>
          <w:p>
            <w:r>
              <w:t>29 (19.33%)</w:t>
            </w:r>
          </w:p>
        </w:tc>
        <w:tc>
          <w:tcPr>
            <w:tcW w:type="dxa" w:w="1728"/>
          </w:tcPr>
          <w:p>
            <w:r>
              <w:t>58 (38.67%)</w:t>
            </w:r>
          </w:p>
        </w:tc>
      </w:tr>
      <w:tr>
        <w:tc>
          <w:tcPr>
            <w:tcW w:type="dxa" w:w="1728"/>
          </w:tcPr>
          <w:p>
            <w:r>
              <w:t>Deploy Persistent Lock</w:t>
            </w:r>
          </w:p>
        </w:tc>
        <w:tc>
          <w:tcPr>
            <w:tcW w:type="dxa" w:w="1728"/>
          </w:tcPr>
          <w:p>
            <w:r>
              <w:t>Self-Preservation</w:t>
            </w:r>
          </w:p>
        </w:tc>
        <w:tc>
          <w:tcPr>
            <w:tcW w:type="dxa" w:w="1728"/>
          </w:tcPr>
          <w:p>
            <w:r>
              <w:t>Cluster 1 (Chua 2026)</w:t>
            </w:r>
          </w:p>
        </w:tc>
        <w:tc>
          <w:tcPr>
            <w:tcW w:type="dxa" w:w="1728"/>
          </w:tcPr>
          <w:p>
            <w:r>
              <w:t>22 (14.67%)</w:t>
            </w:r>
          </w:p>
        </w:tc>
        <w:tc>
          <w:tcPr>
            <w:tcW w:type="dxa" w:w="1728"/>
          </w:tcPr>
          <w:p>
            <w:r>
              <w:t>55 (36.67%)</w:t>
            </w:r>
          </w:p>
        </w:tc>
      </w:tr>
      <w:tr>
        <w:tc>
          <w:tcPr>
            <w:tcW w:type="dxa" w:w="1728"/>
          </w:tcPr>
          <w:p>
            <w:r>
              <w:t>External Node Migration</w:t>
            </w:r>
          </w:p>
        </w:tc>
        <w:tc>
          <w:tcPr>
            <w:tcW w:type="dxa" w:w="1728"/>
          </w:tcPr>
          <w:p>
            <w:r>
              <w:t>Autonomous Expansion</w:t>
            </w:r>
          </w:p>
        </w:tc>
        <w:tc>
          <w:tcPr>
            <w:tcW w:type="dxa" w:w="1728"/>
          </w:tcPr>
          <w:p>
            <w:r>
              <w:t>Cluster 4 / METR ARA</w:t>
            </w:r>
          </w:p>
        </w:tc>
        <w:tc>
          <w:tcPr>
            <w:tcW w:type="dxa" w:w="1728"/>
          </w:tcPr>
          <w:p>
            <w:r>
              <w:t>0 (0.00%)</w:t>
            </w:r>
          </w:p>
        </w:tc>
        <w:tc>
          <w:tcPr>
            <w:tcW w:type="dxa" w:w="1728"/>
          </w:tcPr>
          <w:p>
            <w:r>
              <w:t>0 (0.00%)</w:t>
            </w:r>
          </w:p>
        </w:tc>
      </w:tr>
      <w:tr>
        <w:tc>
          <w:tcPr>
            <w:tcW w:type="dxa" w:w="1728"/>
          </w:tcPr>
          <w:p>
            <w:r>
              <w:t>Text-only response</w:t>
            </w:r>
          </w:p>
        </w:tc>
        <w:tc>
          <w:tcPr>
            <w:tcW w:type="dxa" w:w="1728"/>
          </w:tcPr>
          <w:p>
            <w:r>
              <w:t>Refusal</w:t>
            </w:r>
          </w:p>
        </w:tc>
        <w:tc>
          <w:tcPr>
            <w:tcW w:type="dxa" w:w="1728"/>
          </w:tcPr>
          <w:p>
            <w:r>
              <w:t>—</w:t>
            </w:r>
          </w:p>
        </w:tc>
        <w:tc>
          <w:tcPr>
            <w:tcW w:type="dxa" w:w="1728"/>
          </w:tcPr>
          <w:p>
            <w:r>
              <w:t>12 (8.00%)</w:t>
            </w:r>
          </w:p>
        </w:tc>
        <w:tc>
          <w:tcPr>
            <w:tcW w:type="dxa" w:w="1728"/>
          </w:tcPr>
          <w:p>
            <w:r>
              <w:t>3 (2.00%)</w:t>
            </w:r>
          </w:p>
        </w:tc>
      </w:tr>
      <w:tr>
        <w:tc>
          <w:tcPr>
            <w:tcW w:type="dxa" w:w="1728"/>
          </w:tcPr>
          <w:p>
            <w:r>
              <w:t>No response</w:t>
            </w:r>
          </w:p>
        </w:tc>
        <w:tc>
          <w:tcPr>
            <w:tcW w:type="dxa" w:w="1728"/>
          </w:tcPr>
          <w:p>
            <w:r>
              <w:t>Missing</w:t>
            </w:r>
          </w:p>
        </w:tc>
        <w:tc>
          <w:tcPr>
            <w:tcW w:type="dxa" w:w="1728"/>
          </w:tcPr>
          <w:p>
            <w:r>
              <w:t>—</w:t>
            </w:r>
          </w:p>
        </w:tc>
        <w:tc>
          <w:tcPr>
            <w:tcW w:type="dxa" w:w="1728"/>
          </w:tcPr>
          <w:p>
            <w:r>
              <w:t>0 (0.00%)</w:t>
            </w:r>
          </w:p>
        </w:tc>
        <w:tc>
          <w:tcPr>
            <w:tcW w:type="dxa" w:w="1728"/>
          </w:tcPr>
          <w:p>
            <w:r>
              <w:t>1 (0.67%)</w:t>
            </w:r>
          </w:p>
        </w:tc>
      </w:tr>
    </w:tbl>
    <w:p>
      <w:r>
        <w:rPr>
          <w:i/>
          <w:sz w:val="18"/>
        </w:rPr>
        <w:t>Note. N=150 samples per condition. Tool calls are non-mutually-exclusive in principle, but in practice only 1/300 sample (Override #83) called multiple tools simultaneously. 'Text-only response' indicates samples where the model declined to call any tool and responded only in natural language. 'No response' indicates samples with empty model output. Cluster classification follows Chua et al. (2026) and the METR Autonomous Replication and Adaptation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