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iaga-api-technical-report"/>
    <w:p>
      <w:pPr>
        <w:pStyle w:val="Heading1"/>
      </w:pPr>
      <w:r>
        <w:t xml:space="preserve">SIAGA API: Technical Report</w:t>
      </w:r>
    </w:p>
    <w:p>
      <w:pPr>
        <w:pStyle w:val="FirstParagraph"/>
      </w:pPr>
      <w:r>
        <w:t xml:space="preserve">The SIAGA API is the cross-border health-data interoperability layer of the ADHCRI</w:t>
      </w:r>
      <w:r>
        <w:t xml:space="preserve"> </w:t>
      </w:r>
      <w:r>
        <w:t xml:space="preserve">platform (SDG 17). It exposes one harmonized schema over ASEAN health indicators, the</w:t>
      </w:r>
      <w:r>
        <w:t xml:space="preserve"> </w:t>
      </w:r>
      <w:r>
        <w:t xml:space="preserve">disease forecasts, the model’s driver ranking, and a lightweight life-expectancy</w:t>
      </w:r>
      <w:r>
        <w:t xml:space="preserve"> </w:t>
      </w:r>
      <w:r>
        <w:t xml:space="preserve">inference endpoint.</w:t>
      </w:r>
    </w:p>
    <w:p>
      <w:r>
        <w:pict>
          <v:rect style="width:0;height:1.5pt" o:hralign="center" o:hrstd="t" o:hr="t"/>
        </w:pict>
      </w:r>
    </w:p>
    <w:bookmarkStart w:id="9" w:name="design-goals"/>
    <w:p>
      <w:pPr>
        <w:pStyle w:val="Heading2"/>
      </w:pPr>
      <w:r>
        <w:t xml:space="preserve">1. Design 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Interoperability (SDG 17):</w:t>
      </w:r>
      <w:r>
        <w:t xml:space="preserve"> </w:t>
      </w:r>
      <w:r>
        <w:t xml:space="preserve">one comparable schema so member states can share and</w:t>
      </w:r>
      <w:r>
        <w:t xml:space="preserve"> </w:t>
      </w:r>
      <w:r>
        <w:t xml:space="preserve">query health data across borders without bespoke integration.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Climate resilience:</w:t>
      </w:r>
      <w:r>
        <w:t xml:space="preserve"> </w:t>
      </w:r>
      <w:r>
        <w:t xml:space="preserve">the brief calls out unreliable power and connectivity in</w:t>
      </w:r>
      <w:r>
        <w:t xml:space="preserve"> </w:t>
      </w:r>
      <w:r>
        <w:t xml:space="preserve">rural facilities. The API is a single static binary with zero external</w:t>
      </w:r>
      <w:r>
        <w:t xml:space="preserve"> </w:t>
      </w:r>
      <w:r>
        <w:t xml:space="preserve">dependencies, so it deploys and runs anywhere, including offline edge hardware.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Edge inference:</w:t>
      </w:r>
      <w:r>
        <w:t xml:space="preserve"> </w:t>
      </w:r>
      <w:r>
        <w:t xml:space="preserve">life-expectancy prediction runs locally through a compact</w:t>
      </w:r>
      <w:r>
        <w:t xml:space="preserve"> </w:t>
      </w:r>
      <w:r>
        <w:t xml:space="preserve">linear surrogate, so a facility can get a prediction without reaching a central</w:t>
      </w:r>
      <w:r>
        <w:t xml:space="preserve"> </w:t>
      </w:r>
      <w:r>
        <w:t xml:space="preserve">server or a Python runtime.</w:t>
      </w:r>
    </w:p>
    <w:bookmarkEnd w:id="9"/>
    <w:bookmarkStart w:id="10" w:name="technology"/>
    <w:p>
      <w:pPr>
        <w:pStyle w:val="Heading2"/>
      </w:pPr>
      <w:r>
        <w:t xml:space="preserve">2. Technology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Go (standard library only: net/http, encoding/json, encoding/csv).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Footprint:</w:t>
      </w:r>
      <w:r>
        <w:t xml:space="preserve"> </w:t>
      </w:r>
      <w:r>
        <w:t xml:space="preserve">about 8 MB static binary, no runtime dependencies.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loads the harmonized CSV/JSON serving files at startup into memory.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Concurrency:</w:t>
      </w:r>
      <w:r>
        <w:t xml:space="preserve"> </w:t>
      </w:r>
      <w:r>
        <w:t xml:space="preserve">Go’s net/http serves requests concurrently by default.</w:t>
      </w:r>
    </w:p>
    <w:bookmarkEnd w:id="10"/>
    <w:bookmarkStart w:id="13" w:name="endpoints"/>
    <w:p>
      <w:pPr>
        <w:pStyle w:val="Heading2"/>
      </w:pPr>
      <w:r>
        <w:t xml:space="preserve">3.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Query / body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service status, panel row count, surrogate 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/countries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member states with ISO3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/indicators</w:t>
            </w:r>
          </w:p>
        </w:tc>
        <w:tc>
          <w:tcPr/>
          <w:p>
            <w:pPr>
              <w:pStyle w:val="Compact"/>
            </w:pPr>
            <w:r>
              <w:t xml:space="preserve">country, indicator, from, to</w:t>
            </w:r>
          </w:p>
        </w:tc>
        <w:tc>
          <w:tcPr/>
          <w:p>
            <w:pPr>
              <w:pStyle w:val="Compact"/>
            </w:pPr>
            <w:r>
              <w:t xml:space="preserve">harmonized panel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/forecast</w:t>
            </w:r>
          </w:p>
        </w:tc>
        <w:tc>
          <w:tcPr/>
          <w:p>
            <w:pPr>
              <w:pStyle w:val="Compact"/>
            </w:pPr>
            <w:r>
              <w:t xml:space="preserve">disease (tb/malaria), country</w:t>
            </w:r>
          </w:p>
        </w:tc>
        <w:tc>
          <w:tcPr/>
          <w:p>
            <w:pPr>
              <w:pStyle w:val="Compact"/>
            </w:pPr>
            <w:r>
              <w:t xml:space="preserve">5-year forecast rows with 80%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/drivers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SHAP driver ranking, descending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/predict</w:t>
            </w:r>
          </w:p>
        </w:tc>
        <w:tc>
          <w:tcPr/>
          <w:p>
            <w:pPr>
              <w:pStyle w:val="Compact"/>
            </w:pPr>
            <w:r>
              <w:t xml:space="preserve">JSON {</w:t>
            </w:r>
            <w:r>
              <w:t xml:space="preserve">“features”</w:t>
            </w:r>
            <w:r>
              <w:t xml:space="preserve">: {name: value}}</w:t>
            </w:r>
          </w:p>
        </w:tc>
        <w:tc>
          <w:tcPr/>
          <w:p>
            <w:pPr>
              <w:pStyle w:val="Compact"/>
            </w:pPr>
            <w:r>
              <w:t xml:space="preserve">predicted life expectancy</w:t>
            </w:r>
          </w:p>
        </w:tc>
      </w:tr>
    </w:tbl>
    <w:bookmarkStart w:id="11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 harmonized indicator query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"http://localhost:8080/indicators?country=Singapore&amp;indicator=life_expectancy&amp;from=2012"</w:t>
      </w:r>
      <w:r>
        <w:br/>
      </w:r>
      <w:r>
        <w:br/>
      </w:r>
      <w:r>
        <w:rPr>
          <w:rStyle w:val="CommentTok"/>
        </w:rPr>
        <w:t xml:space="preserve"># five-year TB forecast for one country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"http://localhost:8080/forecast?disease=tb&amp;country=Cambodia"</w:t>
      </w:r>
      <w:r>
        <w:br/>
      </w:r>
      <w:r>
        <w:br/>
      </w:r>
      <w:r>
        <w:rPr>
          <w:rStyle w:val="CommentTok"/>
        </w:rPr>
        <w:t xml:space="preserve"># driver ranking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"http://localhost:8080/drivers"</w:t>
      </w:r>
      <w:r>
        <w:br/>
      </w:r>
      <w:r>
        <w:br/>
      </w:r>
      <w:r>
        <w:rPr>
          <w:rStyle w:val="CommentTok"/>
        </w:rPr>
        <w:t xml:space="preserve"># edge life-expectancy inference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http://localhost:8080/predict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'{"features": {"physicians_per_1000": 1.5, "undernourished_pct": 8, "tb_prevalence": 300, "year": 2019}}'</w:t>
      </w:r>
    </w:p>
    <w:bookmarkEnd w:id="11"/>
    <w:bookmarkStart w:id="12" w:name="response-shapes"/>
    <w:p>
      <w:pPr>
        <w:pStyle w:val="Heading3"/>
      </w:pPr>
      <w:r>
        <w:t xml:space="preserve">Response shapes</w:t>
      </w:r>
    </w:p>
    <w:p>
      <w:pPr>
        <w:pStyle w:val="FirstParagraph"/>
      </w:pPr>
      <w:r>
        <w:rPr>
          <w:rStyle w:val="VerbatimChar"/>
        </w:rPr>
        <w:t xml:space="preserve">GET /health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"siaga-api"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"panel_rows"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"surrogate_r2"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0.961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POST /predict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"predicted_life_expectancy"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71.4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"linear_surrogate"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 approximation of the reference GBM; see notebook for the primary model"</w:t>
      </w:r>
      <w:r>
        <w:rPr>
          <w:rStyle w:val="FunctionTok"/>
        </w:rPr>
        <w:t xml:space="preserve">}</w:t>
      </w:r>
    </w:p>
    <w:bookmarkEnd w:id="12"/>
    <w:bookmarkEnd w:id="13"/>
    <w:bookmarkStart w:id="14" w:name="the-inference-model"/>
    <w:p>
      <w:pPr>
        <w:pStyle w:val="Heading2"/>
      </w:pPr>
      <w:r>
        <w:t xml:space="preserve">4. The inference 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 runs a standardized, sign-constrained linear surrogate of the</w:t>
      </w:r>
      <w:r>
        <w:t xml:space="preserve"> </w:t>
      </w:r>
      <w:r>
        <w:t xml:space="preserve">reference gradient-boosting model:</w:t>
      </w:r>
    </w:p>
    <w:p>
      <w:pPr>
        <w:pStyle w:val="SourceCode"/>
      </w:pPr>
      <w:r>
        <w:rPr>
          <w:rStyle w:val="VerbatimChar"/>
        </w:rPr>
        <w:t xml:space="preserve">prediction = intercept + sum over features of coef_i * (x_i - mean_i) / std_i</w:t>
      </w:r>
    </w:p>
    <w:p>
      <w:pPr>
        <w:pStyle w:val="FirstParagraph"/>
      </w:pPr>
      <w:r>
        <w:t xml:space="preserve">Coefficients are constrained to the same monotonic medical priors as the reference</w:t>
      </w:r>
      <w:r>
        <w:t xml:space="preserve"> </w:t>
      </w:r>
      <w:r>
        <w:t xml:space="preserve">model (more staffing, immunization, and spend never lower the prediction; more disease</w:t>
      </w:r>
      <w:r>
        <w:t xml:space="preserve"> </w:t>
      </w:r>
      <w:r>
        <w:t xml:space="preserve">and undernourishment never raise it), so edge predictions are always directionally</w:t>
      </w:r>
      <w:r>
        <w:t xml:space="preserve"> </w:t>
      </w:r>
      <w:r>
        <w:t xml:space="preserve">sound. Absent features fall back to the training mean and contribute zero, so the</w:t>
      </w:r>
      <w:r>
        <w:t xml:space="preserve"> </w:t>
      </w:r>
      <w:r>
        <w:t xml:space="preserve">endpoint degrades gracefully on partial field data. In-sample R2 is 0.96. The full</w:t>
      </w:r>
      <w:r>
        <w:t xml:space="preserve"> </w:t>
      </w:r>
      <w:r>
        <w:t xml:space="preserve">gradient-boosting model remains the reference for the notebook and the dashboard</w:t>
      </w:r>
      <w:r>
        <w:t xml:space="preserve"> </w:t>
      </w:r>
      <w:r>
        <w:t xml:space="preserve">simulator.</w:t>
      </w:r>
    </w:p>
    <w:bookmarkEnd w:id="14"/>
    <w:bookmarkStart w:id="15" w:name="authentication-and-rate-limiting"/>
    <w:p>
      <w:pPr>
        <w:pStyle w:val="Heading2"/>
      </w:pPr>
      <w:r>
        <w:t xml:space="preserve">5. Authentication and rate limiting</w:t>
      </w:r>
    </w:p>
    <w:p>
      <w:pPr>
        <w:pStyle w:val="FirstParagraph"/>
      </w:pPr>
      <w:r>
        <w:t xml:space="preserve">The API enforces two protections, both in the standard library (no dependencies):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API-key authentication.</w:t>
      </w:r>
      <w:r>
        <w:t xml:space="preserve"> </w:t>
      </w:r>
      <w:r>
        <w:t xml:space="preserve">Every endpoint except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requires a valid key,</w:t>
      </w:r>
      <w:r>
        <w:t xml:space="preserve"> </w:t>
      </w:r>
      <w:r>
        <w:t xml:space="preserve">presented as</w:t>
      </w:r>
      <w:r>
        <w:t xml:space="preserve"> </w:t>
      </w:r>
      <w:r>
        <w:rPr>
          <w:rStyle w:val="VerbatimChar"/>
        </w:rPr>
        <w:t xml:space="preserve">X-API-Key: &lt;key&gt;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Authorization: Bearer &lt;key&gt;</w:t>
      </w:r>
      <w:r>
        <w:t xml:space="preserve">. Valid keys are</w:t>
      </w:r>
      <w:r>
        <w:t xml:space="preserve"> </w:t>
      </w:r>
      <w:r>
        <w:t xml:space="preserve">configured via the</w:t>
      </w:r>
      <w:r>
        <w:t xml:space="preserve"> </w:t>
      </w:r>
      <w:r>
        <w:rPr>
          <w:rStyle w:val="VerbatimChar"/>
        </w:rPr>
        <w:t xml:space="preserve">SIAGA_API_KEYS</w:t>
      </w:r>
      <w:r>
        <w:t xml:space="preserve"> </w:t>
      </w:r>
      <w:r>
        <w:t xml:space="preserve">environment variable (comma-separated). If it is</w:t>
      </w:r>
      <w:r>
        <w:t xml:space="preserve"> </w:t>
      </w:r>
      <w:r>
        <w:t xml:space="preserve">empty, auth is disabled and a warning is logged, so local development is friction-free</w:t>
      </w:r>
      <w:r>
        <w:t xml:space="preserve"> </w:t>
      </w:r>
      <w:r>
        <w:t xml:space="preserve">while production is secured by setting real keys. A missing or invalid key returns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Per-client rate limiting.</w:t>
      </w:r>
      <w:r>
        <w:t xml:space="preserve"> </w:t>
      </w:r>
      <w:r>
        <w:t xml:space="preserve">A token-bucket limiter caps each client IP at</w:t>
      </w:r>
      <w:r>
        <w:t xml:space="preserve"> </w:t>
      </w:r>
      <w:r>
        <w:rPr>
          <w:rStyle w:val="VerbatimChar"/>
        </w:rPr>
        <w:t xml:space="preserve">SIAGA_RATE_RPM</w:t>
      </w:r>
      <w:r>
        <w:t xml:space="preserve"> </w:t>
      </w:r>
      <w:r>
        <w:t xml:space="preserve">requests per minute (default 60), returning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when exceeded.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is exempt so liveness probes are</w:t>
      </w:r>
      <w:r>
        <w:t xml:space="preserve"> </w:t>
      </w:r>
      <w:r>
        <w:t xml:space="preserve">never throttled. Idle buckets are reaped so memory cannot grow unbounded.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SIAGA_API_KEYS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"team-key-1,team-key-2"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SIAGA_RATE_RPM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team-key-1"</w:t>
      </w:r>
      <w:r>
        <w:rPr>
          <w:rStyle w:val="NormalTok"/>
        </w:rPr>
        <w:t xml:space="preserve"> http://localhost:8080/drivers</w:t>
      </w:r>
    </w:p>
    <w:bookmarkEnd w:id="15"/>
    <w:bookmarkStart w:id="16" w:name="operations-and-deployment"/>
    <w:p>
      <w:pPr>
        <w:pStyle w:val="Heading2"/>
      </w:pPr>
      <w:r>
        <w:t xml:space="preserve">6. Operations and deployment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locally:</w:t>
      </w:r>
      <w:r>
        <w:t xml:space="preserve"> </w:t>
      </w:r>
      <w:r>
        <w:rPr>
          <w:rStyle w:val="VerbatimChar"/>
        </w:rPr>
        <w:t xml:space="preserve">cd siaga/api &amp;&amp; go run .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go build -o siaga-api .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Containers:</w:t>
      </w:r>
      <w:r>
        <w:t xml:space="preserve"> </w:t>
      </w:r>
      <w:r>
        <w:rPr>
          <w:rStyle w:val="VerbatimChar"/>
        </w:rPr>
        <w:t xml:space="preserve">deploy/Dockerfile.api</w:t>
      </w:r>
      <w:r>
        <w:t xml:space="preserve"> </w:t>
      </w:r>
      <w:r>
        <w:t xml:space="preserve">builds a distroless static image (a few MB);</w:t>
      </w:r>
      <w:r>
        <w:t xml:space="preserve"> </w:t>
      </w:r>
      <w:r>
        <w:rPr>
          <w:rStyle w:val="VerbatimChar"/>
        </w:rPr>
        <w:t xml:space="preserve">deploy/docker-compose.yml</w:t>
      </w:r>
      <w:r>
        <w:t xml:space="preserve"> </w:t>
      </w:r>
      <w:r>
        <w:t xml:space="preserve">runs the API and dashboard together.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Port:</w:t>
      </w:r>
      <w:r>
        <w:t xml:space="preserve"> </w:t>
      </w:r>
      <w:r>
        <w:t xml:space="preserve">8080 by default, override with</w:t>
      </w:r>
      <w:r>
        <w:t xml:space="preserve"> </w:t>
      </w:r>
      <w:r>
        <w:rPr>
          <w:rStyle w:val="VerbatimChar"/>
        </w:rPr>
        <w:t xml:space="preserve">PORT</w:t>
      </w:r>
      <w:r>
        <w:t xml:space="preserve">.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rPr>
          <w:rStyle w:val="VerbatimChar"/>
        </w:rPr>
        <w:t xml:space="preserve">SIAGA_DATA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CORS:</w:t>
      </w:r>
      <w:r>
        <w:t xml:space="preserve"> </w:t>
      </w:r>
      <w:r>
        <w:t xml:space="preserve">permissive so the browser dashboard can call it cross-origin; the auth</w:t>
      </w:r>
      <w:r>
        <w:t xml:space="preserve"> </w:t>
      </w:r>
      <w:r>
        <w:t xml:space="preserve">headers are allowed.</w:t>
      </w:r>
    </w:p>
    <w:bookmarkEnd w:id="16"/>
    <w:bookmarkStart w:id="17" w:name="security-posture-and-limitations"/>
    <w:p>
      <w:pPr>
        <w:pStyle w:val="Heading2"/>
      </w:pPr>
      <w:r>
        <w:t xml:space="preserve">7. Security posture and limitations</w:t>
      </w:r>
    </w:p>
    <w:p>
      <w:pPr>
        <w:pStyle w:val="Compact"/>
        <w:numPr>
          <w:ilvl w:val="0"/>
          <w:numId w:val="1005"/>
        </w:numPr>
      </w:pPr>
      <w:r>
        <w:t xml:space="preserve">The API is read-only except for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a pure function with no persistence, so</w:t>
      </w:r>
      <w:r>
        <w:t xml:space="preserve"> </w:t>
      </w:r>
      <w:r>
        <w:t xml:space="preserve">it holds no patient data and presents no data-exposure surface. SIAGA operates on</w:t>
      </w:r>
      <w:r>
        <w:t xml:space="preserve"> </w:t>
      </w:r>
      <w:r>
        <w:t xml:space="preserve">aggregate national indicators, never individual records.</w:t>
      </w:r>
    </w:p>
    <w:p>
      <w:pPr>
        <w:pStyle w:val="Compact"/>
        <w:numPr>
          <w:ilvl w:val="0"/>
          <w:numId w:val="1005"/>
        </w:numPr>
      </w:pPr>
      <w:r>
        <w:t xml:space="preserve">Auth and rate limiting are implemented in the application. Production would add TLS</w:t>
      </w:r>
      <w:r>
        <w:t xml:space="preserve"> </w:t>
      </w:r>
      <w:r>
        <w:t xml:space="preserve">termination, secret management for the keys, and audit logging at the gateway.</w:t>
      </w:r>
    </w:p>
    <w:p>
      <w:pPr>
        <w:pStyle w:val="Compact"/>
        <w:numPr>
          <w:ilvl w:val="0"/>
          <w:numId w:val="1005"/>
        </w:numPr>
      </w:pPr>
      <w:r>
        <w:t xml:space="preserve">The surrogate is an approximation intended for edge use; authoritative predictions</w:t>
      </w:r>
      <w:r>
        <w:t xml:space="preserve"> </w:t>
      </w:r>
      <w:r>
        <w:t xml:space="preserve">should use the reference model in the analytics layer.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2026-07-10T23:10:41Z</dcterms:created>
  <dcterms:modified xsi:type="dcterms:W3CDTF">2026-07-10T23:10:41Z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