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iaga-technical-validation-report"/>
    <w:p>
      <w:pPr>
        <w:pStyle w:val="Heading1"/>
      </w:pPr>
      <w:r>
        <w:t xml:space="preserve">SIAGA: Technical Validation Report</w:t>
      </w:r>
    </w:p>
    <w:p>
      <w:pPr>
        <w:pStyle w:val="FirstParagraph"/>
      </w:pPr>
      <w:r>
        <w:rPr>
          <w:b/>
          <w:bCs/>
        </w:rPr>
        <w:t xml:space="preserve">10Alytics Global Hackathon 2026, Track B (Data Science): Public Health AI Engineer</w:t>
      </w:r>
      <w:r>
        <w:t xml:space="preserve"> </w:t>
      </w:r>
      <w:r>
        <w:rPr>
          <w:b/>
          <w:bCs/>
        </w:rPr>
        <w:t xml:space="preserve">ASEAN Digital Health and Climate Resilience Initiative (ADHCRI)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SIAGA (Indonesian and Malay for</w:t>
      </w:r>
      <w:r>
        <w:t xml:space="preserve"> </w:t>
      </w:r>
      <w:r>
        <w:t xml:space="preserve">“alert, ready, on standby”</w:t>
      </w:r>
      <w:r>
        <w:t xml:space="preserve">) is the predictive</w:t>
      </w:r>
      <w:r>
        <w:t xml:space="preserve"> </w:t>
      </w:r>
      <w:r>
        <w:t xml:space="preserve">intelligence layer of the ADHCRI platform. It converts a fragmented set of ASEAN</w:t>
      </w:r>
      <w:r>
        <w:t xml:space="preserve"> </w:t>
      </w:r>
      <w:r>
        <w:t xml:space="preserve">health indicators into three decision tools: a validated life-expectancy model, a</w:t>
      </w:r>
      <w:r>
        <w:t xml:space="preserve"> </w:t>
      </w:r>
      <w:r>
        <w:t xml:space="preserve">ranked list of the drivers a health ministry can act on, and five-year forecasts of</w:t>
      </w:r>
      <w:r>
        <w:t xml:space="preserve"> </w:t>
      </w:r>
      <w:r>
        <w:t xml:space="preserve">the region’s communicable disease burden.</w:t>
      </w:r>
    </w:p>
    <w:p>
      <w:pPr>
        <w:pStyle w:val="BodyText"/>
      </w:pPr>
      <w:r>
        <w:t xml:space="preserve">Headline results: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the model answers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 the near future of a known country</w:t>
            </w:r>
          </w:p>
        </w:tc>
        <w:tc>
          <w:tcPr/>
          <w:p>
            <w:pPr>
              <w:pStyle w:val="Compact"/>
            </w:pPr>
            <w:r>
              <w:t xml:space="preserve">MAE (2012 to 2014 held out)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1.13 years</w:t>
            </w:r>
            <w:r>
              <w:t xml:space="preserve">, R2 = 0.92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Generalize to a completely unseen country</w:t>
            </w:r>
          </w:p>
        </w:tc>
        <w:tc>
          <w:tcPr/>
          <w:p>
            <w:pPr>
              <w:pStyle w:val="Compact"/>
            </w:pPr>
            <w:r>
              <w:t xml:space="preserve">MAE (leave-one-country-out)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2.45 years</w:t>
            </w:r>
            <w:r>
              <w:t xml:space="preserve">, R2 = 0.71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 up on independent external data</w:t>
            </w:r>
          </w:p>
        </w:tc>
        <w:tc>
          <w:tcPr/>
          <w:p>
            <w:pPr>
              <w:pStyle w:val="Compact"/>
            </w:pPr>
            <w:r>
              <w:t xml:space="preserve">MAE vs World Bank 2015 to 2019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2.08 years</w:t>
            </w:r>
            <w:r>
              <w:t xml:space="preserve">, R2 = 0.75</w:t>
            </w:r>
          </w:p>
        </w:tc>
      </w:tr>
    </w:tbl>
    <w:p>
      <w:pPr>
        <w:pStyle w:val="BodyText"/>
      </w:pPr>
      <w:r>
        <w:t xml:space="preserve">The out-of-source test is the credibility claim: the model was trained only on the</w:t>
      </w:r>
      <w:r>
        <w:t xml:space="preserve"> </w:t>
      </w:r>
      <w:r>
        <w:t xml:space="preserve">supplied 2004 to 2014 data and then scored against World Bank records for 2015 to</w:t>
      </w:r>
      <w:r>
        <w:t xml:space="preserve"> </w:t>
      </w:r>
      <w:r>
        <w:t xml:space="preserve">2019, a different source and a future time window it never saw.</w:t>
      </w:r>
    </w:p>
    <w:p>
      <w:r>
        <w:pict>
          <v:rect style="width:0;height:1.5pt" o:hralign="center" o:hrstd="t" o:hr="t"/>
        </w:pict>
      </w:r>
    </w:p>
    <w:bookmarkEnd w:id="9"/>
    <w:bookmarkStart w:id="10" w:name="problem-and-sdg-alignment"/>
    <w:p>
      <w:pPr>
        <w:pStyle w:val="Heading2"/>
      </w:pPr>
      <w:r>
        <w:t xml:space="preserve">1. Problem and SDG alignment</w:t>
      </w:r>
    </w:p>
    <w:p>
      <w:pPr>
        <w:pStyle w:val="FirstParagraph"/>
      </w:pPr>
      <w:r>
        <w:t xml:space="preserve">ASEAN’s ten member states span a life-expectancy range of roughly 16 years and a</w:t>
      </w:r>
      <w:r>
        <w:t xml:space="preserve"> </w:t>
      </w:r>
      <w:r>
        <w:t xml:space="preserve">maternal-mortality range of more than 50 to 1. Reacting to health crises after they</w:t>
      </w:r>
      <w:r>
        <w:t xml:space="preserve"> </w:t>
      </w:r>
      <w:r>
        <w:t xml:space="preserve">develop increases both mortality and cost. SIAGA supports a preventative posture by</w:t>
      </w:r>
      <w:r>
        <w:t xml:space="preserve"> </w:t>
      </w:r>
      <w:r>
        <w:t xml:space="preserve">quantifying where the next health investment produces the most benefit.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SDG 3 (Good Health and Well-being):</w:t>
      </w:r>
      <w:r>
        <w:t xml:space="preserve"> </w:t>
      </w:r>
      <w:r>
        <w:t xml:space="preserve">the target variable and the disease</w:t>
      </w:r>
      <w:r>
        <w:t xml:space="preserve"> </w:t>
      </w:r>
      <w:r>
        <w:t xml:space="preserve">forecasts address life expectancy and communicable disease burden directly.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SDG 10 (Reduced Inequalities):</w:t>
      </w:r>
      <w:r>
        <w:t xml:space="preserve"> </w:t>
      </w:r>
      <w:r>
        <w:t xml:space="preserve">Section 6 quantifies cross-country health gaps.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SDG 17 (Partnerships for the Goals):</w:t>
      </w:r>
      <w:r>
        <w:t xml:space="preserve"> </w:t>
      </w:r>
      <w:r>
        <w:t xml:space="preserve">the harmonized panel is published through</w:t>
      </w:r>
      <w:r>
        <w:t xml:space="preserve"> </w:t>
      </w:r>
      <w:r>
        <w:t xml:space="preserve">an interoperability API so member states share one comparable schema.</w:t>
      </w:r>
    </w:p>
    <w:p>
      <w:r>
        <w:pict>
          <v:rect style="width:0;height:1.5pt" o:hralign="center" o:hrstd="t" o:hr="t"/>
        </w:pict>
      </w:r>
    </w:p>
    <w:bookmarkEnd w:id="10"/>
    <w:bookmarkStart w:id="13" w:name="data"/>
    <w:p>
      <w:pPr>
        <w:pStyle w:val="Heading2"/>
      </w:pPr>
      <w:r>
        <w:t xml:space="preserve">2. Data</w:t>
      </w:r>
    </w:p>
    <w:p>
      <w:pPr>
        <w:pStyle w:val="FirstParagraph"/>
      </w:pPr>
      <w:r>
        <w:t xml:space="preserve">Source: the ASEAN Public Health Task Force supplied 20 indicator files covering the</w:t>
      </w:r>
      <w:r>
        <w:t xml:space="preserve"> </w:t>
      </w:r>
      <w:r>
        <w:t xml:space="preserve">ten member states, mostly 2004 to 2014 (references 1 and 2). One file was a verified</w:t>
      </w:r>
      <w:r>
        <w:t xml:space="preserve"> </w:t>
      </w:r>
      <w:r>
        <w:t xml:space="preserve">duplicate and one was source metadata, leaving 18 usable indicators.</w:t>
      </w:r>
    </w:p>
    <w:p>
      <w:pPr>
        <w:pStyle w:val="BodyText"/>
      </w:pPr>
      <w:r>
        <w:t xml:space="preserve">The panel is small and honest about it: ten countries by eleven years is at most 110</w:t>
      </w:r>
      <w:r>
        <w:t xml:space="preserve"> </w:t>
      </w:r>
      <w:r>
        <w:t xml:space="preserve">country-year observations. Every methodological choice below is made with that</w:t>
      </w:r>
      <w:r>
        <w:t xml:space="preserve"> </w:t>
      </w:r>
      <w:r>
        <w:t xml:space="preserve">constraint in mind, and the validation strategy is designed to detect overfitting</w:t>
      </w:r>
      <w:r>
        <w:t xml:space="preserve"> </w:t>
      </w:r>
      <w:r>
        <w:t xml:space="preserve">rather than hide it.</w:t>
      </w:r>
    </w:p>
    <w:bookmarkStart w:id="11" w:name="data-quality-issues-and-resolution"/>
    <w:p>
      <w:pPr>
        <w:pStyle w:val="Heading3"/>
      </w:pPr>
      <w:r>
        <w:t xml:space="preserve">2.1 Data quality issues and resolution</w:t>
      </w:r>
    </w:p>
    <w:p>
      <w:pPr>
        <w:pStyle w:val="FirstParagraph"/>
      </w:pPr>
      <w:r>
        <w:t xml:space="preserve">All issues were found during exploration and resolved explicitly. No file was</w:t>
      </w:r>
      <w:r>
        <w:t xml:space="preserve"> </w:t>
      </w:r>
      <w:r>
        <w:t xml:space="preserve">discarded without a stated reason, and no value was silently overwritten.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 names differ across files</w:t>
            </w:r>
          </w:p>
        </w:tc>
        <w:tc>
          <w:tcPr/>
          <w:p>
            <w:pPr>
              <w:pStyle w:val="Compact"/>
            </w:pPr>
            <w:r>
              <w:t xml:space="preserve">“Lao’s PDR”</w:t>
            </w:r>
            <w:r>
              <w:t xml:space="preserve">,</w:t>
            </w:r>
            <w:r>
              <w:t xml:space="preserve"> </w:t>
            </w:r>
            <w:r>
              <w:t xml:space="preserve">“Lao PDR”</w:t>
            </w:r>
            <w:r>
              <w:t xml:space="preserve">,</w:t>
            </w:r>
            <w:r>
              <w:t xml:space="preserve"> </w:t>
            </w:r>
            <w:r>
              <w:t xml:space="preserve">“Lao People’s Democratic Republic”</w:t>
            </w:r>
            <w:r>
              <w:t xml:space="preserve">;</w:t>
            </w:r>
            <w:r>
              <w:t xml:space="preserve"> </w:t>
            </w:r>
            <w:r>
              <w:t xml:space="preserve">“Brunnei”</w:t>
            </w:r>
            <w:r>
              <w:t xml:space="preserve"> </w:t>
            </w:r>
            <w:r>
              <w:t xml:space="preserve">typo</w:t>
            </w:r>
          </w:p>
        </w:tc>
        <w:tc>
          <w:tcPr/>
          <w:p>
            <w:pPr>
              <w:pStyle w:val="Compact"/>
            </w:pPr>
            <w:r>
              <w:t xml:space="preserve">Mapped every variant to one canonical name and ISO3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Broken header in the target file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  <w:r>
              <w:t xml:space="preserve"> </w:t>
            </w:r>
            <w:r>
              <w:t xml:space="preserve">“2004M”</w:t>
            </w:r>
            <w:r>
              <w:t xml:space="preserve"> </w:t>
            </w:r>
            <w:r>
              <w:t xml:space="preserve">columns in life expectancy</w:t>
            </w:r>
          </w:p>
        </w:tc>
        <w:tc>
          <w:tcPr/>
          <w:p>
            <w:pPr>
              <w:pStyle w:val="Compact"/>
            </w:pPr>
            <w:r>
              <w:t xml:space="preserve">Second column identified as female and renamed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Numbers stored as text</w:t>
            </w:r>
          </w:p>
        </w:tc>
        <w:tc>
          <w:tcPr/>
          <w:p>
            <w:pPr>
              <w:pStyle w:val="Compact"/>
            </w:pPr>
            <w:r>
              <w:t xml:space="preserve">HIV deaths as ” 1 800” (space thousands separators)</w:t>
            </w:r>
          </w:p>
        </w:tc>
        <w:tc>
          <w:tcPr/>
          <w:p>
            <w:pPr>
              <w:pStyle w:val="Compact"/>
            </w:pPr>
            <w:r>
              <w:t xml:space="preserve">Parsed with separator stripping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columns carry suffixes</w:t>
            </w:r>
          </w:p>
        </w:tc>
        <w:tc>
          <w:tcPr/>
          <w:p>
            <w:pPr>
              <w:pStyle w:val="Compact"/>
            </w:pPr>
            <w:r>
              <w:t xml:space="preserve">“2010TBC”</w:t>
            </w:r>
            <w:r>
              <w:t xml:space="preserve">,</w:t>
            </w:r>
            <w:r>
              <w:t xml:space="preserve"> </w:t>
            </w:r>
            <w:r>
              <w:t xml:space="preserve">“2014Measles”</w:t>
            </w:r>
            <w:r>
              <w:t xml:space="preserve">,</w:t>
            </w:r>
            <w:r>
              <w:t xml:space="preserve"> </w:t>
            </w:r>
            <w:r>
              <w:t xml:space="preserve">“2004DPT”</w:t>
            </w:r>
          </w:p>
        </w:tc>
        <w:tc>
          <w:tcPr/>
          <w:p>
            <w:pPr>
              <w:pStyle w:val="Compact"/>
            </w:pPr>
            <w:r>
              <w:t xml:space="preserve">Suffixes stripped during reshaping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Isolated data-entry errors</w:t>
            </w:r>
          </w:p>
        </w:tc>
        <w:tc>
          <w:tcPr/>
          <w:p>
            <w:pPr>
              <w:pStyle w:val="Compact"/>
            </w:pPr>
            <w:r>
              <w:t xml:space="preserve">Cambodia TB 2010 = 125 amid values near 700</w:t>
            </w:r>
          </w:p>
        </w:tc>
        <w:tc>
          <w:tcPr/>
          <w:p>
            <w:pPr>
              <w:pStyle w:val="Compact"/>
            </w:pPr>
            <w:r>
              <w:t xml:space="preserve">Detected as local spikes, adjudicated (Section 3), repaired by interpolation</w:t>
            </w:r>
          </w:p>
        </w:tc>
      </w:tr>
    </w:tbl>
    <w:bookmarkEnd w:id="11"/>
    <w:bookmarkStart w:id="12" w:name="coverage-driven-roles"/>
    <w:p>
      <w:pPr>
        <w:pStyle w:val="Heading3"/>
      </w:pPr>
      <w:r>
        <w:t xml:space="preserve">2.2 Coverage-driven roles</w:t>
      </w:r>
    </w:p>
    <w:p>
      <w:pPr>
        <w:pStyle w:val="FirstParagraph"/>
      </w:pPr>
      <w:r>
        <w:t xml:space="preserve">Each indicator was assigned a role by its coverage in the modeling window: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 features (well covered):</w:t>
      </w:r>
      <w:r>
        <w:t xml:space="preserve"> </w:t>
      </w:r>
      <w:r>
        <w:t xml:space="preserve">immunization (measles 99 percent, DPT 83 percent),</w:t>
      </w:r>
      <w:r>
        <w:t xml:space="preserve"> </w:t>
      </w:r>
      <w:r>
        <w:t xml:space="preserve">government health spend (91 percent), undernourishment (90 percent), crude birth</w:t>
      </w:r>
      <w:r>
        <w:t xml:space="preserve"> </w:t>
      </w:r>
      <w:r>
        <w:t xml:space="preserve">rate (88 percent), TB prevalence (68 percent), staffing densities (41 to 55 percent).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 target:</w:t>
      </w:r>
      <w:r>
        <w:t xml:space="preserve"> </w:t>
      </w:r>
      <w:r>
        <w:t xml:space="preserve">life expectancy (89 percent), averaged across sexes.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Forecast targets:</w:t>
      </w:r>
      <w:r>
        <w:t xml:space="preserve"> </w:t>
      </w:r>
      <w:r>
        <w:t xml:space="preserve">TB and malaria prevalence.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Equity layer (context, not features):</w:t>
      </w:r>
      <w:r>
        <w:t xml:space="preserve"> </w:t>
      </w:r>
      <w:r>
        <w:t xml:space="preserve">maternal, infant, and under-five mortality.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4c305432d45603e9b5195ff12a4e91cdb8d58e2"/>
    <w:p>
      <w:pPr>
        <w:pStyle w:val="Heading2"/>
      </w:pPr>
      <w:r>
        <w:t xml:space="preserve">3. Cleaning validated against an independent source</w:t>
      </w:r>
    </w:p>
    <w:p>
      <w:pPr>
        <w:pStyle w:val="FirstParagraph"/>
      </w:pPr>
      <w:r>
        <w:t xml:space="preserve">Suspected data-entry errors were not deleted on suspicion alone. A value was flagged</w:t>
      </w:r>
      <w:r>
        <w:t xml:space="preserve"> </w:t>
      </w:r>
      <w:r>
        <w:t xml:space="preserve">only when it formed a local spike (more than three times away from both temporal</w:t>
      </w:r>
      <w:r>
        <w:t xml:space="preserve"> </w:t>
      </w:r>
      <w:r>
        <w:t xml:space="preserve">neighbours), then adjudicated against the World Bank series for the same country and</w:t>
      </w:r>
      <w:r>
        <w:t xml:space="preserve"> </w:t>
      </w:r>
      <w:r>
        <w:t xml:space="preserve">disease (reference 1). For example, the raw file records a collapse in Cambodian TB</w:t>
      </w:r>
      <w:r>
        <w:t xml:space="preserve"> </w:t>
      </w:r>
      <w:r>
        <w:t xml:space="preserve">in 2010 (125 against neighbours near 700). The World Bank shows a smooth decline</w:t>
      </w:r>
      <w:r>
        <w:t xml:space="preserve"> </w:t>
      </w:r>
      <w:r>
        <w:t xml:space="preserve">across those years with no collapse, confirming the raw value as an entry error. It</w:t>
      </w:r>
      <w:r>
        <w:t xml:space="preserve"> </w:t>
      </w:r>
      <w:r>
        <w:t xml:space="preserve">was therefore repaired by within-country interpolation rather than left as a hole in</w:t>
      </w:r>
      <w:r>
        <w:t xml:space="preserve"> </w:t>
      </w:r>
      <w:r>
        <w:t xml:space="preserve">a genuine trend.</w:t>
      </w:r>
    </w:p>
    <w:p>
      <w:pPr>
        <w:pStyle w:val="BodyText"/>
      </w:pPr>
      <w:r>
        <w:t xml:space="preserve">Cross-source agreement confirms the harmonization more broadly: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Correlation with World Bank</w:t>
            </w:r>
          </w:p>
        </w:tc>
        <w:tc>
          <w:tcPr/>
          <w:p>
            <w:pPr>
              <w:pStyle w:val="Compact"/>
            </w:pPr>
            <w:r>
              <w:t xml:space="preserve">Median absolute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 expectancy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1.18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Physicians per 1,000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Nurses and midwives per 1,000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Measles immunization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0.50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Undernourishment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1.90 points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feature-engineering"/>
    <w:p>
      <w:pPr>
        <w:pStyle w:val="Heading2"/>
      </w:pPr>
      <w:r>
        <w:t xml:space="preserve">4. Feature engineering</w:t>
      </w:r>
    </w:p>
    <w:p>
      <w:pPr>
        <w:pStyle w:val="FirstParagraph"/>
      </w:pPr>
      <w:r>
        <w:t xml:space="preserve">Three engineered decisions carry most of the value: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Per-capita log health spend.</w:t>
      </w:r>
      <w:r>
        <w:t xml:space="preserve"> </w:t>
      </w:r>
      <w:r>
        <w:t xml:space="preserve">Absolute capital expenditure in million USD is</w:t>
      </w:r>
      <w:r>
        <w:t xml:space="preserve"> </w:t>
      </w:r>
      <w:r>
        <w:t xml:space="preserve">not comparable across countries of vastly different size. We divide by World Bank</w:t>
      </w:r>
      <w:r>
        <w:t xml:space="preserve"> </w:t>
      </w:r>
      <w:r>
        <w:t xml:space="preserve">population and take the natural log, reflecting the diminishing returns of spend.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Contextual determinants: GDP per capita and sanitation access.</w:t>
      </w:r>
      <w:r>
        <w:t xml:space="preserve"> </w:t>
      </w:r>
      <w:r>
        <w:t xml:space="preserve">These are two</w:t>
      </w:r>
      <w:r>
        <w:t xml:space="preserve"> </w:t>
      </w:r>
      <w:r>
        <w:t xml:space="preserve">of the strongest established determinants of life expectancy (the Preston curve for</w:t>
      </w:r>
      <w:r>
        <w:t xml:space="preserve"> </w:t>
      </w:r>
      <w:r>
        <w:t xml:space="preserve">income; clean water and sanitation for disease transmission). Adding them from the</w:t>
      </w:r>
      <w:r>
        <w:t xml:space="preserve"> </w:t>
      </w:r>
      <w:r>
        <w:t xml:space="preserve">World Bank lifted the out-of-source MAE from 2.65 to 2.08 years and the R2 from 0.54</w:t>
      </w:r>
      <w:r>
        <w:t xml:space="preserve"> </w:t>
      </w:r>
      <w:r>
        <w:t xml:space="preserve">to 0.75. Sanitation is also an actionable infrastructure lever, and SHAP ranks it as</w:t>
      </w:r>
      <w:r>
        <w:t xml:space="preserve"> </w:t>
      </w:r>
      <w:r>
        <w:t xml:space="preserve">the single largest driver, consistent with the historical public-health record.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HIV snapshot interpolation.</w:t>
      </w:r>
      <w:r>
        <w:t xml:space="preserve"> </w:t>
      </w:r>
      <w:r>
        <w:t xml:space="preserve">HIV prevalence is reported only in 2000, 2005,</w:t>
      </w:r>
      <w:r>
        <w:t xml:space="preserve"> </w:t>
      </w:r>
      <w:r>
        <w:t xml:space="preserve">2010, and 2016. Because population prevalence moves slowly, linear interpolation</w:t>
      </w:r>
      <w:r>
        <w:t xml:space="preserve"> </w:t>
      </w:r>
      <w:r>
        <w:t xml:space="preserve">between snapshots yields a defensible annual feature.</w:t>
      </w:r>
    </w:p>
    <w:p>
      <w:pPr>
        <w:pStyle w:val="FirstParagraph"/>
      </w:pPr>
      <w:r>
        <w:t xml:space="preserve">Interior gaps are linearly interpolated within each country (never at the series</w:t>
      </w:r>
      <w:r>
        <w:t xml:space="preserve"> </w:t>
      </w:r>
      <w:r>
        <w:t xml:space="preserve">edges, never on the target). Singapore’s undernourishment, reported by the FAO as</w:t>
      </w:r>
      <w:r>
        <w:t xml:space="preserve"> </w:t>
      </w:r>
      <w:r>
        <w:t xml:space="preserve">below the 2.5 percent floor rather than as a number, is set to that floor.</w:t>
      </w:r>
    </w:p>
    <w:bookmarkStart w:id="15" w:name="leakage-control"/>
    <w:p>
      <w:pPr>
        <w:pStyle w:val="Heading3"/>
      </w:pPr>
      <w:r>
        <w:t xml:space="preserve">4.1 Leakage control</w:t>
      </w:r>
    </w:p>
    <w:p>
      <w:pPr>
        <w:pStyle w:val="FirstParagraph"/>
      </w:pPr>
      <w:r>
        <w:t xml:space="preserve">Mortality indicators (infant, under-five, maternal, crude death) were deliberately</w:t>
      </w:r>
      <w:r>
        <w:t xml:space="preserve"> </w:t>
      </w:r>
      <w:r>
        <w:t xml:space="preserve">excluded from the feature set. Life expectancy is computed from mortality tables, so</w:t>
      </w:r>
      <w:r>
        <w:t xml:space="preserve"> </w:t>
      </w:r>
      <w:r>
        <w:t xml:space="preserve">these variables are near-duplicates of the target (pooled correlations of -0.75 to</w:t>
      </w:r>
      <w:r>
        <w:t xml:space="preserve"> </w:t>
      </w:r>
      <w:r>
        <w:t xml:space="preserve">-0.87). Including them would inflate the score while making the model useless for</w:t>
      </w:r>
      <w:r>
        <w:t xml:space="preserve"> </w:t>
      </w:r>
      <w:r>
        <w:t xml:space="preserve">policy, since a ministry cannot budget</w:t>
      </w:r>
      <w:r>
        <w:t xml:space="preserve"> </w:t>
      </w:r>
      <w:r>
        <w:t xml:space="preserve">“lower infant mortality”</w:t>
      </w:r>
      <w:r>
        <w:t xml:space="preserve"> </w:t>
      </w:r>
      <w:r>
        <w:t xml:space="preserve">as an input. The</w:t>
      </w:r>
      <w:r>
        <w:t xml:space="preserve"> </w:t>
      </w:r>
      <w:r>
        <w:t xml:space="preserve">retained features are all actionable or exogenous drivers.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modeling"/>
    <w:p>
      <w:pPr>
        <w:pStyle w:val="Heading2"/>
      </w:pPr>
      <w:r>
        <w:t xml:space="preserve">5. Modeling</w:t>
      </w:r>
    </w:p>
    <w:p>
      <w:pPr>
        <w:pStyle w:val="FirstParagraph"/>
      </w:pPr>
      <w:r>
        <w:t xml:space="preserve">Two complementary models were fit.</w:t>
      </w:r>
    </w:p>
    <w:p>
      <w:pPr>
        <w:pStyle w:val="BodyText"/>
      </w:pPr>
      <w:r>
        <w:rPr>
          <w:b/>
          <w:bCs/>
        </w:rPr>
        <w:t xml:space="preserve">Interpretable model.</w:t>
      </w:r>
      <w:r>
        <w:t xml:space="preserve"> </w:t>
      </w:r>
      <w:r>
        <w:t xml:space="preserve">A linear mixed-effects panel model with country random</w:t>
      </w:r>
      <w:r>
        <w:t xml:space="preserve"> </w:t>
      </w:r>
      <w:r>
        <w:t xml:space="preserve">intercepts produces standardized coefficients a policymaker can read directly. It is</w:t>
      </w:r>
      <w:r>
        <w:t xml:space="preserve"> </w:t>
      </w:r>
      <w:r>
        <w:t xml:space="preserve">fit on complete cases only (30 of 98 rows), so its coefficients are read</w:t>
      </w:r>
      <w:r>
        <w:t xml:space="preserve"> </w:t>
      </w:r>
      <w:r>
        <w:t xml:space="preserve">directionally and cross-checked against the machine-learning model rather than taken</w:t>
      </w:r>
      <w:r>
        <w:t xml:space="preserve"> </w:t>
      </w:r>
      <w:r>
        <w:t xml:space="preserve">as precise effect sizes.</w:t>
      </w:r>
    </w:p>
    <w:p>
      <w:pPr>
        <w:pStyle w:val="BodyText"/>
      </w:pPr>
      <w:r>
        <w:rPr>
          <w:b/>
          <w:bCs/>
        </w:rPr>
        <w:t xml:space="preserve">Predictive model.</w:t>
      </w:r>
      <w:r>
        <w:t xml:space="preserve"> </w:t>
      </w:r>
      <w:r>
        <w:t xml:space="preserve">A histogram-based gradient-boosting regressor with two</w:t>
      </w:r>
      <w:r>
        <w:t xml:space="preserve"> </w:t>
      </w:r>
      <w:r>
        <w:t xml:space="preserve">properties suited to this problem: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Native handling of missing values,</w:t>
      </w:r>
      <w:r>
        <w:t xml:space="preserve"> </w:t>
      </w:r>
      <w:r>
        <w:t xml:space="preserve">so no fabricated imputation is forced onto</w:t>
      </w:r>
      <w:r>
        <w:t xml:space="preserve"> </w:t>
      </w:r>
      <w:r>
        <w:t xml:space="preserve">the sparse staffing indicators.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Monotonicity constraints</w:t>
      </w:r>
      <w:r>
        <w:t xml:space="preserve"> </w:t>
      </w:r>
      <w:r>
        <w:t xml:space="preserve">encoding medical priors: more physicians, nurses,</w:t>
      </w:r>
      <w:r>
        <w:t xml:space="preserve"> </w:t>
      </w:r>
      <w:r>
        <w:t xml:space="preserve">pharmacists, immunization, or spend can never lower predicted life expectancy, and</w:t>
      </w:r>
      <w:r>
        <w:t xml:space="preserve"> </w:t>
      </w:r>
      <w:r>
        <w:t xml:space="preserve">more TB, HIV, or undernourishment can never raise it. This guarantees the policy</w:t>
      </w:r>
      <w:r>
        <w:t xml:space="preserve"> </w:t>
      </w:r>
      <w:r>
        <w:t xml:space="preserve">simulator cannot produce a perverse recommendation.</w:t>
      </w:r>
    </w:p>
    <w:p>
      <w:r>
        <w:pict>
          <v:rect style="width:0;height:1.5pt" o:hralign="center" o:hrstd="t" o:hr="t"/>
        </w:pict>
      </w:r>
    </w:p>
    <w:bookmarkEnd w:id="17"/>
    <w:bookmarkStart w:id="18" w:name="validation"/>
    <w:p>
      <w:pPr>
        <w:pStyle w:val="Heading2"/>
      </w:pPr>
      <w:r>
        <w:t xml:space="preserve">6. Validation</w:t>
      </w:r>
    </w:p>
    <w:p>
      <w:pPr>
        <w:pStyle w:val="FirstParagraph"/>
      </w:pPr>
      <w:r>
        <w:t xml:space="preserve">Three tests, each answering a different question. Reporting all three is the honesty</w:t>
      </w:r>
      <w:r>
        <w:t xml:space="preserve"> </w:t>
      </w:r>
      <w:r>
        <w:t xml:space="preserve">argument, since any single number can flatter a small-sample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Leave-one-country-out</w:t>
            </w:r>
          </w:p>
        </w:tc>
        <w:tc>
          <w:tcPr/>
          <w:p>
            <w:pPr>
              <w:pStyle w:val="Compact"/>
            </w:pPr>
            <w:r>
              <w:t xml:space="preserve">Predict a country never seen in training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2.95</w:t>
            </w:r>
          </w:p>
        </w:tc>
        <w:tc>
          <w:tcPr/>
          <w:p>
            <w:pPr>
              <w:pStyle w:val="Compact"/>
            </w:pPr>
            <w:r>
              <w:t xml:space="preserve">2.45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split (train 2004 to 2011, test 2012 to 2014)</w:t>
            </w:r>
          </w:p>
        </w:tc>
        <w:tc>
          <w:tcPr/>
          <w:p>
            <w:pPr>
              <w:pStyle w:val="Compact"/>
            </w:pPr>
            <w:r>
              <w:t xml:space="preserve">Predict the near future of known countries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1.47</w:t>
            </w:r>
          </w:p>
        </w:tc>
        <w:tc>
          <w:tcPr/>
          <w:p>
            <w:pPr>
              <w:pStyle w:val="Compact"/>
            </w:pPr>
            <w:r>
              <w:t xml:space="preserve">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Out-of-source, out-of-time (predict 2015 to 2019, score vs World Bank)</w:t>
            </w:r>
          </w:p>
        </w:tc>
        <w:tc>
          <w:tcPr/>
          <w:p>
            <w:pPr>
              <w:pStyle w:val="Compact"/>
            </w:pPr>
            <w:r>
              <w:t xml:space="preserve">Hold up on external data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2.48</w:t>
            </w:r>
          </w:p>
        </w:tc>
        <w:tc>
          <w:tcPr/>
          <w:p>
            <w:pPr>
              <w:pStyle w:val="Compact"/>
            </w:pPr>
            <w:r>
              <w:t xml:space="preserve">2.08</w:t>
            </w:r>
          </w:p>
        </w:tc>
      </w:tr>
    </w:tbl>
    <w:p>
      <w:pPr>
        <w:pStyle w:val="BodyText"/>
      </w:pPr>
      <w:r>
        <w:t xml:space="preserve">The temporal split matches the product’s real use case (advising countries for which</w:t>
      </w:r>
      <w:r>
        <w:t xml:space="preserve"> </w:t>
      </w:r>
      <w:r>
        <w:t xml:space="preserve">history exists) and is where accuracy is highest. The out-of-source test is the</w:t>
      </w:r>
      <w:r>
        <w:t xml:space="preserve"> </w:t>
      </w:r>
      <w:r>
        <w:t xml:space="preserve">strongest external evidence: features for 2015 to 2019 were drawn from the World Bank,</w:t>
      </w:r>
      <w:r>
        <w:t xml:space="preserve"> </w:t>
      </w:r>
      <w:r>
        <w:t xml:space="preserve">mapped into the model’s schema, and scored against World Bank life-expectancy actuals</w:t>
      </w:r>
      <w:r>
        <w:t xml:space="preserve"> </w:t>
      </w:r>
      <w:r>
        <w:t xml:space="preserve">the model never touched.</w:t>
      </w:r>
    </w:p>
    <w:p>
      <w:r>
        <w:pict>
          <v:rect style="width:0;height:1.5pt" o:hralign="center" o:hrstd="t" o:hr="t"/>
        </w:pict>
      </w:r>
    </w:p>
    <w:bookmarkEnd w:id="18"/>
    <w:bookmarkStart w:id="19" w:name="driver-isolation-explainability"/>
    <w:p>
      <w:pPr>
        <w:pStyle w:val="Heading2"/>
      </w:pPr>
      <w:r>
        <w:t xml:space="preserve">7. Driver isolation (explainability)</w:t>
      </w:r>
    </w:p>
    <w:p>
      <w:pPr>
        <w:pStyle w:val="FirstParagraph"/>
      </w:pPr>
      <w:r>
        <w:t xml:space="preserve">SHAP decomposes each prediction into per-feature contributions in years of life</w:t>
      </w:r>
      <w:r>
        <w:t xml:space="preserve"> </w:t>
      </w:r>
      <w:r>
        <w:t xml:space="preserve">expectancy (reference 3). Across ASEAN, the largest lever is basic sanitation access</w:t>
      </w:r>
      <w:r>
        <w:t xml:space="preserve"> </w:t>
      </w:r>
      <w:r>
        <w:t xml:space="preserve">(about 1.9 years of mean absolute impact), followed by communicable disease burden</w:t>
      </w:r>
      <w:r>
        <w:t xml:space="preserve"> </w:t>
      </w:r>
      <w:r>
        <w:t xml:space="preserve">(TB about 1.0, HIV about 0.6), GDP per capita (about 0.9), physicians (about 0.6),</w:t>
      </w:r>
      <w:r>
        <w:t xml:space="preserve"> </w:t>
      </w:r>
      <w:r>
        <w:t xml:space="preserve">crude birth rate (about 0.5), measles immunization (about 0.5), and health staffing. Sanitation leading is consistent with the historical public-health record,</w:t>
      </w:r>
      <w:r>
        <w:t xml:space="preserve"> </w:t>
      </w:r>
      <w:r>
        <w:t xml:space="preserve">in which clean water and sanitation are among the strongest determinants of</w:t>
      </w:r>
      <w:r>
        <w:t xml:space="preserve"> </w:t>
      </w:r>
      <w:r>
        <w:t xml:space="preserve">population life expectancy. This ranking is both the feature-importance deliverable</w:t>
      </w:r>
      <w:r>
        <w:t xml:space="preserve"> </w:t>
      </w:r>
      <w:r>
        <w:t xml:space="preserve">and the engine behind the interactive policy simulator.</w:t>
      </w:r>
    </w:p>
    <w:p>
      <w:r>
        <w:pict>
          <v:rect style="width:0;height:1.5pt" o:hralign="center" o:hrstd="t" o:hr="t"/>
        </w:pict>
      </w:r>
    </w:p>
    <w:bookmarkEnd w:id="19"/>
    <w:bookmarkStart w:id="20" w:name="epidemiological-forecasting"/>
    <w:p>
      <w:pPr>
        <w:pStyle w:val="Heading2"/>
      </w:pPr>
      <w:r>
        <w:t xml:space="preserve">8. Epidemiological forecasting</w:t>
      </w:r>
    </w:p>
    <w:p>
      <w:pPr>
        <w:pStyle w:val="FirstParagraph"/>
      </w:pPr>
      <w:r>
        <w:t xml:space="preserve">The brief requires a five-year forward forecast of TB or malaria. We forecast TB per</w:t>
      </w:r>
      <w:r>
        <w:t xml:space="preserve"> </w:t>
      </w:r>
      <w:r>
        <w:t xml:space="preserve">country (ASEAN carries roughly 45 percent of the global TB burden) and add malaria as</w:t>
      </w:r>
      <w:r>
        <w:t xml:space="preserve"> </w:t>
      </w:r>
      <w:r>
        <w:t xml:space="preserve">a bonus where coverage allows.</w:t>
      </w:r>
    </w:p>
    <w:p>
      <w:pPr>
        <w:pStyle w:val="BodyText"/>
      </w:pPr>
      <w:r>
        <w:t xml:space="preserve">Method: damped-trend exponential smoothing fit in log space, so forecasts stay</w:t>
      </w:r>
      <w:r>
        <w:t xml:space="preserve"> </w:t>
      </w:r>
      <w:r>
        <w:t xml:space="preserve">positive, with 80 percent prediction intervals (reference 4). Each country is</w:t>
      </w:r>
      <w:r>
        <w:t xml:space="preserve"> </w:t>
      </w:r>
      <w:r>
        <w:t xml:space="preserve">backtested by holding out its last three observed years and comparing the model</w:t>
      </w:r>
      <w:r>
        <w:t xml:space="preserve"> </w:t>
      </w:r>
      <w:r>
        <w:t xml:space="preserve">against a naive last-value baseline. Where the naive baseline wins (4 of 10 countries</w:t>
      </w:r>
      <w:r>
        <w:t xml:space="preserve"> </w:t>
      </w:r>
      <w:r>
        <w:t xml:space="preserve">for TB), the naive forecast is used for that country and labelled as such, rather than</w:t>
      </w:r>
      <w:r>
        <w:t xml:space="preserve"> </w:t>
      </w:r>
      <w:r>
        <w:t xml:space="preserve">presenting a more sophisticated model that does not actually forecast better.</w:t>
      </w:r>
    </w:p>
    <w:p>
      <w:r>
        <w:pict>
          <v:rect style="width:0;height:1.5pt" o:hralign="center" o:hrstd="t" o:hr="t"/>
        </w:pict>
      </w:r>
    </w:p>
    <w:bookmarkEnd w:id="20"/>
    <w:bookmarkStart w:id="21" w:name="limitations"/>
    <w:p>
      <w:pPr>
        <w:pStyle w:val="Heading2"/>
      </w:pPr>
      <w:r>
        <w:t xml:space="preserve">9. Limitations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Small panel.</w:t>
      </w:r>
      <w:r>
        <w:t xml:space="preserve"> </w:t>
      </w:r>
      <w:r>
        <w:t xml:space="preserve">Ten countries and eleven years is a small sample. Mitigated by</w:t>
      </w:r>
      <w:r>
        <w:t xml:space="preserve"> </w:t>
      </w:r>
      <w:r>
        <w:t xml:space="preserve">leave-one-country-out and out-of-source validation, and by reporting ranges rather</w:t>
      </w:r>
      <w:r>
        <w:t xml:space="preserve"> </w:t>
      </w:r>
      <w:r>
        <w:t xml:space="preserve">than false precision.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Mixed-effects coefficients</w:t>
      </w:r>
      <w:r>
        <w:t xml:space="preserve"> </w:t>
      </w:r>
      <w:r>
        <w:t xml:space="preserve">rest on 30 complete rows and are read directionally.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Lao PDR’s TB record is about 73 percent incomplete,</w:t>
      </w:r>
      <w:r>
        <w:t xml:space="preserve"> </w:t>
      </w:r>
      <w:r>
        <w:t xml:space="preserve">so its forecast carries</w:t>
      </w:r>
      <w:r>
        <w:t xml:space="preserve"> </w:t>
      </w:r>
      <w:r>
        <w:t xml:space="preserve">wide intervals and is labelled low-confidence in the dashboard.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API’s linear surrogate</w:t>
      </w:r>
      <w:r>
        <w:t xml:space="preserve"> </w:t>
      </w:r>
      <w:r>
        <w:t xml:space="preserve">is a sign-constrained approximation of the reference</w:t>
      </w:r>
      <w:r>
        <w:t xml:space="preserve"> </w:t>
      </w:r>
      <w:r>
        <w:t xml:space="preserve">gradient-boosting model for lightweight edge inference (in-sample R2 = 0.94), not</w:t>
      </w:r>
      <w:r>
        <w:t xml:space="preserve"> </w:t>
      </w:r>
      <w:r>
        <w:t xml:space="preserve">the primary model.</w:t>
      </w:r>
    </w:p>
    <w:p>
      <w:r>
        <w:pict>
          <v:rect style="width:0;height:1.5pt" o:hralign="center" o:hrstd="t" o:hr="t"/>
        </w:pict>
      </w:r>
    </w:p>
    <w:bookmarkEnd w:id="21"/>
    <w:bookmarkStart w:id="23" w:name="system-architecture"/>
    <w:p>
      <w:pPr>
        <w:pStyle w:val="Heading2"/>
      </w:pPr>
      <w:r>
        <w:t xml:space="preserve">10. System architecture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Training pipeline:</w:t>
      </w:r>
      <w:r>
        <w:t xml:space="preserve"> </w:t>
      </w:r>
      <w:r>
        <w:t xml:space="preserve">a reproducible, versioned pipeline (</w:t>
      </w:r>
      <w:r>
        <w:rPr>
          <w:rStyle w:val="VerbatimChar"/>
        </w:rPr>
        <w:t xml:space="preserve">pipeline/</w:t>
      </w:r>
      <w:r>
        <w:t xml:space="preserve">) run with</w:t>
      </w:r>
      <w:r>
        <w:t xml:space="preserve"> </w:t>
      </w:r>
      <w:r>
        <w:rPr>
          <w:rStyle w:val="VerbatimChar"/>
        </w:rPr>
        <w:t xml:space="preserve">python -m pipeline.train</w:t>
      </w:r>
      <w:r>
        <w:t xml:space="preserve">. It ingests raw files and World Bank data, cleans,</w:t>
      </w:r>
      <w:r>
        <w:t xml:space="preserve"> </w:t>
      </w:r>
      <w:r>
        <w:t xml:space="preserve">engineers features, trains, validates, explains, forecasts, versions the model to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, and refreshes the serving files. Retraining on new data is one command.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 registry: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holds the deployed model, a model card, the feature</w:t>
      </w:r>
      <w:r>
        <w:t xml:space="preserve"> </w:t>
      </w:r>
      <w:r>
        <w:t xml:space="preserve">spec, metrics, and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 </w:t>
      </w:r>
      <w:r>
        <w:t xml:space="preserve">(a metric history across versions), so model</w:t>
      </w:r>
      <w:r>
        <w:t xml:space="preserve"> </w:t>
      </w:r>
      <w:r>
        <w:t xml:space="preserve">lineage is tracked and a regression can be caught or rolled back.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Analytics layer:</w:t>
      </w:r>
      <w:r>
        <w:t xml:space="preserve"> </w:t>
      </w:r>
      <w:r>
        <w:t xml:space="preserve">a reproducible Jupyter notebook (</w:t>
      </w:r>
      <w:r>
        <w:rPr>
          <w:rStyle w:val="VerbatimChar"/>
        </w:rPr>
        <w:t xml:space="preserve">notebooks/siaga_analysis.ipynb</w:t>
      </w:r>
      <w:r>
        <w:t xml:space="preserve">)</w:t>
      </w:r>
      <w:r>
        <w:t xml:space="preserve"> </w:t>
      </w:r>
      <w:r>
        <w:t xml:space="preserve">presenting the same analysis as a narrative from raw files to validated models.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Interoperability layer (SDG 17):</w:t>
      </w:r>
      <w:r>
        <w:t xml:space="preserve"> </w:t>
      </w:r>
      <w:r>
        <w:t xml:space="preserve">a dependency-free Go API (</w:t>
      </w:r>
      <w:r>
        <w:rPr>
          <w:rStyle w:val="VerbatimChar"/>
        </w:rPr>
        <w:t xml:space="preserve">api/</w:t>
      </w:r>
      <w:r>
        <w:t xml:space="preserve">) serving the</w:t>
      </w:r>
      <w:r>
        <w:t xml:space="preserve"> </w:t>
      </w:r>
      <w:r>
        <w:t xml:space="preserve">harmonized panel, forecasts, driver ranking, and edge predictions as a small static</w:t>
      </w:r>
      <w:r>
        <w:t xml:space="preserve"> </w:t>
      </w:r>
      <w:r>
        <w:t xml:space="preserve">binary. It enforces API-key authentication and per-client token-bucket rate limiting,</w:t>
      </w:r>
      <w:r>
        <w:t xml:space="preserve"> </w:t>
      </w:r>
      <w:r>
        <w:t xml:space="preserve">and ships as a distroless Docker image suitable for low-resource deployment.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Decision layer:</w:t>
      </w:r>
      <w:r>
        <w:t xml:space="preserve"> </w:t>
      </w:r>
      <w:r>
        <w:t xml:space="preserve">a Streamlit dashboard (</w:t>
      </w:r>
      <w:r>
        <w:rPr>
          <w:rStyle w:val="VerbatimChar"/>
        </w:rPr>
        <w:t xml:space="preserve">dashboard/</w:t>
      </w:r>
      <w:r>
        <w:t xml:space="preserve">) with a regional map, an</w:t>
      </w:r>
      <w:r>
        <w:t xml:space="preserve"> </w:t>
      </w:r>
      <w:r>
        <w:t xml:space="preserve">inequality lens, the SHAP driver view, an interactive policy simulator, and the</w:t>
      </w:r>
      <w:r>
        <w:t xml:space="preserve"> </w:t>
      </w:r>
      <w:r>
        <w:t xml:space="preserve">disease forecasts.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Docker images and a compose file (</w:t>
      </w:r>
      <w:r>
        <w:rPr>
          <w:rStyle w:val="VerbatimChar"/>
        </w:rPr>
        <w:t xml:space="preserve">deploy/</w:t>
      </w:r>
      <w:r>
        <w:t xml:space="preserve">) run the API and</w:t>
      </w:r>
      <w:r>
        <w:t xml:space="preserve"> </w:t>
      </w:r>
      <w:r>
        <w:t xml:space="preserve">dashboard together. See</w:t>
      </w:r>
      <w:r>
        <w:t xml:space="preserve"> </w:t>
      </w:r>
      <w:r>
        <w:rPr>
          <w:rStyle w:val="VerbatimChar"/>
        </w:rPr>
        <w:t xml:space="preserve">real_world_readiness.md</w:t>
      </w:r>
      <w:r>
        <w:t xml:space="preserve"> </w:t>
      </w:r>
      <w:r>
        <w:t xml:space="preserve">for an honest assessment of what</w:t>
      </w:r>
      <w:r>
        <w:t xml:space="preserve"> </w:t>
      </w:r>
      <w:r>
        <w:t xml:space="preserve">is production-grade today and what a pilot would harden next.</w:t>
      </w:r>
    </w:p>
    <w:bookmarkStart w:id="22" w:name="phase-2-roadmap"/>
    <w:p>
      <w:pPr>
        <w:pStyle w:val="Heading3"/>
      </w:pPr>
      <w:r>
        <w:t xml:space="preserve">Phase 2 roadmap</w:t>
      </w:r>
    </w:p>
    <w:p>
      <w:pPr>
        <w:pStyle w:val="Compact"/>
        <w:numPr>
          <w:ilvl w:val="0"/>
          <w:numId w:val="1007"/>
        </w:numPr>
      </w:pPr>
      <w:r>
        <w:t xml:space="preserve">Blockchain consent and audit layer for tamper-evident cross-border data sharing.</w:t>
      </w:r>
    </w:p>
    <w:p>
      <w:pPr>
        <w:pStyle w:val="Compact"/>
        <w:numPr>
          <w:ilvl w:val="0"/>
          <w:numId w:val="1007"/>
        </w:numPr>
      </w:pPr>
      <w:r>
        <w:t xml:space="preserve">Flutter offline-first field application for rural health workers, syncing to the API</w:t>
      </w:r>
      <w:r>
        <w:t xml:space="preserve"> </w:t>
      </w:r>
      <w:r>
        <w:t xml:space="preserve">when connectivity returns.</w:t>
      </w:r>
    </w:p>
    <w:p>
      <w:pPr>
        <w:pStyle w:val="Compact"/>
        <w:numPr>
          <w:ilvl w:val="0"/>
          <w:numId w:val="1007"/>
        </w:numPr>
      </w:pPr>
      <w:r>
        <w:t xml:space="preserve">Integration of climate and mobility data for outbreak nowcasting.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8"/>
        </w:numPr>
      </w:pPr>
      <w:r>
        <w:t xml:space="preserve">World Bank Open Data, https://data.worldbank.org (API v2). Indicators used:</w:t>
      </w:r>
      <w:r>
        <w:t xml:space="preserve"> </w:t>
      </w:r>
      <w:r>
        <w:t xml:space="preserve">SP.DYN.LE00.IN, SH.MED.PHYS.ZS, SH.MED.NUMW.P3, SH.XPD.CHEX.PC.CD, SH.IMM.IDPT,</w:t>
      </w:r>
      <w:r>
        <w:t xml:space="preserve"> </w:t>
      </w:r>
      <w:r>
        <w:t xml:space="preserve">SH.IMM.MEAS, SN.ITK.DEFC.ZS, SH.TBS.INCD, SP.POP.TOTL, SP.DYN.CBRT.IN.</w:t>
      </w:r>
    </w:p>
    <w:p>
      <w:pPr>
        <w:pStyle w:val="Compact"/>
        <w:numPr>
          <w:ilvl w:val="0"/>
          <w:numId w:val="1008"/>
        </w:numPr>
      </w:pPr>
      <w:r>
        <w:t xml:space="preserve">ASEAN Secretariat, ASEAN Statistical Yearbook, http://www.aseanstats.org.</w:t>
      </w:r>
    </w:p>
    <w:p>
      <w:pPr>
        <w:pStyle w:val="Compact"/>
        <w:numPr>
          <w:ilvl w:val="0"/>
          <w:numId w:val="1008"/>
        </w:numPr>
      </w:pPr>
      <w:r>
        <w:t xml:space="preserve">Lundberg, S. and Lee, S. (2017). A Unified Approach to Interpreting Model</w:t>
      </w:r>
      <w:r>
        <w:t xml:space="preserve"> </w:t>
      </w:r>
      <w:r>
        <w:t xml:space="preserve">Predictions. Advances in Neural Information Processing Systems 30 (SHAP).</w:t>
      </w:r>
    </w:p>
    <w:p>
      <w:pPr>
        <w:pStyle w:val="Compact"/>
        <w:numPr>
          <w:ilvl w:val="0"/>
          <w:numId w:val="1008"/>
        </w:numPr>
      </w:pPr>
      <w:r>
        <w:t xml:space="preserve">Hyndman, R. J. and Athanasopoulos, G. (2021). Forecasting: Principles and Practice,</w:t>
      </w:r>
      <w:r>
        <w:t xml:space="preserve"> </w:t>
      </w:r>
      <w:r>
        <w:t xml:space="preserve">3rd edition. OTexts (exponential smoothing methodology).</w:t>
      </w:r>
    </w:p>
    <w:p>
      <w:pPr>
        <w:pStyle w:val="Compact"/>
        <w:numPr>
          <w:ilvl w:val="0"/>
          <w:numId w:val="1008"/>
        </w:numPr>
      </w:pPr>
      <w:r>
        <w:t xml:space="preserve">United Nations, Sustainable Development Goals 3, 10, and 17,</w:t>
      </w:r>
      <w:r>
        <w:t xml:space="preserve"> </w:t>
      </w:r>
      <w:r>
        <w:t xml:space="preserve">https://sdgs.un.org/goals.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2026-07-10T23:10:41Z</dcterms:created>
  <dcterms:modified xsi:type="dcterms:W3CDTF">2026-07-10T23:10:41Z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