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2A95" w14:textId="26A8F117" w:rsidR="004E5B11" w:rsidRDefault="00000000" w:rsidP="00C80C2F">
      <w:pPr>
        <w:pStyle w:val="Title"/>
        <w:jc w:val="center"/>
        <w:rPr>
          <w:rFonts w:eastAsia="source serif 4"/>
        </w:rPr>
      </w:pPr>
      <w:r>
        <w:rPr>
          <w:rFonts w:eastAsia="source serif 4"/>
        </w:rPr>
        <w:t>Concentración en el canal Mayorista</w:t>
      </w:r>
      <w:bookmarkStart w:id="0" w:name="fnref4"/>
      <w:bookmarkStart w:id="1" w:name="fnref5"/>
      <w:bookmarkEnd w:id="0"/>
      <w:bookmarkEnd w:id="1"/>
    </w:p>
    <w:p w14:paraId="3B424E39" w14:textId="77777777" w:rsidR="00C80C2F" w:rsidRPr="00C80C2F" w:rsidRDefault="00C80C2F" w:rsidP="00C80C2F"/>
    <w:p w14:paraId="1B6F464F" w14:textId="77777777" w:rsidR="004E5B11" w:rsidRDefault="00000000">
      <w:pPr>
        <w:spacing w:before="315" w:after="105" w:line="360" w:lineRule="auto"/>
        <w:ind w:left="-30"/>
      </w:pPr>
      <w:bookmarkStart w:id="2" w:name="mensaje_ejecutivo"/>
      <w:r>
        <w:rPr>
          <w:rFonts w:ascii="source serif 4" w:eastAsia="source serif 4" w:hAnsi="source serif 4" w:cs="source serif 4"/>
          <w:b/>
          <w:color w:val="000000"/>
          <w:sz w:val="24"/>
        </w:rPr>
        <w:t>Mensaje ejecutivo</w:t>
      </w:r>
      <w:bookmarkEnd w:id="2"/>
    </w:p>
    <w:p w14:paraId="16E916AC" w14:textId="47A0CB6D" w:rsidR="004E5B1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El negocio muestra una </w:t>
      </w:r>
      <w:r>
        <w:rPr>
          <w:rFonts w:ascii="source serif 4" w:eastAsia="source serif 4" w:hAnsi="source serif 4" w:cs="source serif 4"/>
          <w:b/>
          <w:color w:val="000000"/>
        </w:rPr>
        <w:t>alta dependencia del canal Mayorista</w:t>
      </w:r>
      <w:r>
        <w:rPr>
          <w:rFonts w:ascii="source serif 4" w:eastAsia="source serif 4" w:hAnsi="source serif 4" w:cs="source serif 4"/>
          <w:color w:val="000000"/>
        </w:rPr>
        <w:t>, que concentra el mayor volumen y una parte dominante de los ingresos. Esto convierte a ese canal en el principal foco de atención comercial y operativa, porque cualquier mejora o problema ahí tiene un impacto desproporcionado.</w:t>
      </w:r>
      <w:bookmarkStart w:id="3" w:name="fnref5_1"/>
      <w:bookmarkStart w:id="4" w:name="fnref4_1"/>
      <w:bookmarkEnd w:id="3"/>
      <w:bookmarkEnd w:id="4"/>
      <w:r w:rsidR="007B1CB9">
        <w:t xml:space="preserve"> </w:t>
      </w:r>
    </w:p>
    <w:p w14:paraId="07179363" w14:textId="77777777" w:rsidR="004E5B11" w:rsidRDefault="00000000">
      <w:pPr>
        <w:spacing w:before="315" w:after="105" w:line="360" w:lineRule="auto"/>
        <w:ind w:left="-30"/>
      </w:pPr>
      <w:bookmarkStart w:id="5" w:name="qué_pasó"/>
      <w:r>
        <w:rPr>
          <w:rFonts w:ascii="source serif 4" w:eastAsia="source serif 4" w:hAnsi="source serif 4" w:cs="source serif 4"/>
          <w:b/>
          <w:color w:val="000000"/>
          <w:sz w:val="24"/>
        </w:rPr>
        <w:t>Qué pasó</w:t>
      </w:r>
      <w:bookmarkEnd w:id="5"/>
    </w:p>
    <w:p w14:paraId="2E7DFAB5" w14:textId="3314E1BF" w:rsidR="004E5B1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Mayorista aparece como el canal con más peso en las ventas, con pedidos de mayor volumen y una lógica de compra claramente B2B. La mezcla de unidades altas, descuentos moderados y pagos por transferencia confirma que este canal concentra la actividad más estratégica.</w:t>
      </w:r>
      <w:bookmarkStart w:id="6" w:name="fnref5_2"/>
      <w:bookmarkEnd w:id="6"/>
      <w:r w:rsidR="007B1CB9">
        <w:t xml:space="preserve"> </w:t>
      </w:r>
    </w:p>
    <w:p w14:paraId="3207BF02" w14:textId="77777777" w:rsidR="004E5B11" w:rsidRDefault="00000000">
      <w:pPr>
        <w:spacing w:before="315" w:after="105" w:line="360" w:lineRule="auto"/>
        <w:ind w:left="-30"/>
      </w:pPr>
      <w:bookmarkStart w:id="7" w:name="dónde_pasó"/>
      <w:r>
        <w:rPr>
          <w:rFonts w:ascii="source serif 4" w:eastAsia="source serif 4" w:hAnsi="source serif 4" w:cs="source serif 4"/>
          <w:b/>
          <w:color w:val="000000"/>
          <w:sz w:val="24"/>
        </w:rPr>
        <w:t>Dónde pasó</w:t>
      </w:r>
      <w:bookmarkEnd w:id="7"/>
    </w:p>
    <w:p w14:paraId="6E376D9D" w14:textId="617382B9" w:rsidR="004E5B1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El patrón se observa en la tabla de ventas y se refuerza en la operación, donde los pedidos vinculados a ese flujo también requieren más atención logística. Eso sugiere que la concentración no es solo comercial, sino también operativa.</w:t>
      </w:r>
      <w:bookmarkStart w:id="8" w:name="fnref4_2"/>
      <w:bookmarkStart w:id="9" w:name="fnref5_3"/>
      <w:bookmarkEnd w:id="8"/>
      <w:bookmarkEnd w:id="9"/>
      <w:r w:rsidR="007B1CB9">
        <w:t xml:space="preserve"> </w:t>
      </w:r>
    </w:p>
    <w:p w14:paraId="5F752196" w14:textId="77777777" w:rsidR="004E5B11" w:rsidRDefault="00000000">
      <w:pPr>
        <w:spacing w:before="315" w:after="105" w:line="360" w:lineRule="auto"/>
        <w:ind w:left="-30"/>
      </w:pPr>
      <w:bookmarkStart w:id="10" w:name="con_quién_pasó"/>
      <w:r>
        <w:rPr>
          <w:rFonts w:ascii="source serif 4" w:eastAsia="source serif 4" w:hAnsi="source serif 4" w:cs="source serif 4"/>
          <w:b/>
          <w:color w:val="000000"/>
          <w:sz w:val="24"/>
        </w:rPr>
        <w:t>Con quién pasó</w:t>
      </w:r>
      <w:bookmarkEnd w:id="10"/>
    </w:p>
    <w:p w14:paraId="2B965395" w14:textId="4706FA01" w:rsidR="004E5B1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Este comportamiento se concentra en clientes de perfil mayorista, con compras recurrentes y volúmenes altos. Además, el medio de pago más asociado es la transferencia, lo que refuerza el perfil corporativo del canal.</w:t>
      </w:r>
      <w:bookmarkStart w:id="11" w:name="fnref5_4"/>
      <w:bookmarkEnd w:id="11"/>
      <w:r w:rsidR="007B1CB9">
        <w:t xml:space="preserve"> </w:t>
      </w:r>
    </w:p>
    <w:p w14:paraId="411137AC" w14:textId="77777777" w:rsidR="004E5B11" w:rsidRDefault="00000000">
      <w:pPr>
        <w:spacing w:before="315" w:after="105" w:line="360" w:lineRule="auto"/>
        <w:ind w:left="-30"/>
      </w:pPr>
      <w:bookmarkStart w:id="12" w:name="por_qué_pasó"/>
      <w:r>
        <w:rPr>
          <w:rFonts w:ascii="source serif 4" w:eastAsia="source serif 4" w:hAnsi="source serif 4" w:cs="source serif 4"/>
          <w:b/>
          <w:color w:val="000000"/>
          <w:sz w:val="24"/>
        </w:rPr>
        <w:t>Por qué pasó</w:t>
      </w:r>
      <w:bookmarkEnd w:id="12"/>
    </w:p>
    <w:p w14:paraId="4C919255" w14:textId="507D682C" w:rsidR="004E5B1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Mayorista está diseñado para capturar volumen, y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muestra que esa lógica se está cumpliendo. Los descuentos ayudan a cerrar pedidos grandes, pero también indican que el negocio está compitiendo en una combinación de precio, volumen y servicio.</w:t>
      </w:r>
      <w:bookmarkStart w:id="13" w:name="fnref5_5"/>
      <w:bookmarkEnd w:id="13"/>
      <w:r w:rsidR="007B1CB9">
        <w:t xml:space="preserve"> </w:t>
      </w:r>
    </w:p>
    <w:p w14:paraId="07A7A059" w14:textId="77777777" w:rsidR="004E5B11" w:rsidRDefault="00000000">
      <w:pPr>
        <w:spacing w:before="315" w:after="105" w:line="360" w:lineRule="auto"/>
        <w:ind w:left="-30"/>
      </w:pPr>
      <w:bookmarkStart w:id="14" w:name="insight_clave"/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Insight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clave</w:t>
      </w:r>
      <w:bookmarkEnd w:id="14"/>
    </w:p>
    <w:p w14:paraId="44BF252A" w14:textId="427FF4C1" w:rsidR="004E5B1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Mayorista es el canal crítico del negocio.</w:t>
      </w:r>
      <w:r>
        <w:rPr>
          <w:rFonts w:ascii="source serif 4" w:eastAsia="source serif 4" w:hAnsi="source serif 4" w:cs="source serif 4"/>
          <w:color w:val="000000"/>
        </w:rPr>
        <w:t xml:space="preserve"> Si se mejora su disponibilidad, su nivel de servicio y su política de descuento, el retorno será mucho mayor que optimizar primero canales de menor participación.</w:t>
      </w:r>
      <w:bookmarkStart w:id="15" w:name="fnref4_3"/>
      <w:bookmarkStart w:id="16" w:name="fnref5_6"/>
      <w:bookmarkEnd w:id="15"/>
      <w:bookmarkEnd w:id="16"/>
      <w:r w:rsidR="007B1CB9">
        <w:t xml:space="preserve"> </w:t>
      </w:r>
    </w:p>
    <w:p w14:paraId="740183E3" w14:textId="77777777" w:rsidR="004E5B11" w:rsidRDefault="00000000">
      <w:pPr>
        <w:spacing w:before="315" w:after="105" w:line="360" w:lineRule="auto"/>
        <w:ind w:left="-30"/>
      </w:pPr>
      <w:bookmarkStart w:id="17" w:name="recomendación_ejecutiva"/>
      <w:r>
        <w:rPr>
          <w:rFonts w:ascii="source serif 4" w:eastAsia="source serif 4" w:hAnsi="source serif 4" w:cs="source serif 4"/>
          <w:b/>
          <w:color w:val="000000"/>
          <w:sz w:val="24"/>
        </w:rPr>
        <w:t>Recomendación ejecutiva</w:t>
      </w:r>
      <w:bookmarkEnd w:id="17"/>
    </w:p>
    <w:p w14:paraId="792D8E2D" w14:textId="2B2E7782" w:rsidR="004E5B1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Priorizar inventario y atención comercial en Mayorista.</w:t>
      </w:r>
      <w:bookmarkStart w:id="18" w:name="fnref4_4"/>
      <w:bookmarkStart w:id="19" w:name="fnref5_7"/>
      <w:bookmarkEnd w:id="18"/>
      <w:bookmarkEnd w:id="19"/>
      <w:r w:rsidR="007B1CB9">
        <w:t xml:space="preserve"> </w:t>
      </w:r>
    </w:p>
    <w:p w14:paraId="63B45825" w14:textId="470D02E6" w:rsidR="004E5B1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Revisar reglas de descuento por cliente y volumen</w:t>
      </w:r>
      <w:bookmarkStart w:id="20" w:name="fnref5_8"/>
      <w:bookmarkEnd w:id="20"/>
      <w:r w:rsidR="007B1CB9">
        <w:rPr>
          <w:rFonts w:ascii="source serif 4" w:eastAsia="source serif 4" w:hAnsi="source serif 4" w:cs="source serif 4"/>
          <w:color w:val="000000"/>
        </w:rPr>
        <w:t>.</w:t>
      </w:r>
      <w:r w:rsidR="007B1CB9">
        <w:t xml:space="preserve"> </w:t>
      </w:r>
    </w:p>
    <w:p w14:paraId="18A670C4" w14:textId="64FCDC9A" w:rsidR="004E5B1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Monitorear lead time, retrasos y coste operativo específicamente en este canal.</w:t>
      </w:r>
      <w:bookmarkStart w:id="21" w:name="fnref4_5"/>
      <w:bookmarkEnd w:id="21"/>
      <w:r w:rsidR="007B1CB9">
        <w:t xml:space="preserve"> </w:t>
      </w:r>
    </w:p>
    <w:p w14:paraId="4440C334" w14:textId="71EC5018" w:rsidR="004E5B1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Definir un SLA diferenciado para pedidos de alto valor.</w:t>
      </w:r>
      <w:bookmarkStart w:id="22" w:name="fnref4_6"/>
      <w:bookmarkStart w:id="23" w:name="fnref5_9"/>
      <w:bookmarkEnd w:id="22"/>
      <w:bookmarkEnd w:id="23"/>
      <w:r w:rsidR="007B1CB9">
        <w:t xml:space="preserve"> </w:t>
      </w:r>
    </w:p>
    <w:p w14:paraId="038D7DFB" w14:textId="77777777" w:rsidR="004E5B11" w:rsidRDefault="00000000">
      <w:pPr>
        <w:spacing w:before="315" w:after="105" w:line="360" w:lineRule="auto"/>
        <w:ind w:left="-30"/>
      </w:pPr>
      <w:bookmarkStart w:id="24" w:name="gráficas_para_la_diapositiva"/>
      <w:r>
        <w:rPr>
          <w:rFonts w:ascii="source serif 4" w:eastAsia="source serif 4" w:hAnsi="source serif 4" w:cs="source serif 4"/>
          <w:b/>
          <w:color w:val="000000"/>
          <w:sz w:val="24"/>
        </w:rPr>
        <w:t>Gráficas para la diapositiva</w:t>
      </w:r>
      <w:bookmarkEnd w:id="24"/>
    </w:p>
    <w:p w14:paraId="6626C2B9" w14:textId="77777777" w:rsidR="004E5B1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Las visualizaciones más efectivas para una presentación ejecutiva serían:</w:t>
      </w:r>
    </w:p>
    <w:p w14:paraId="78092A6A" w14:textId="01005073" w:rsidR="004E5B1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Barra de unidades por canal</w:t>
      </w:r>
      <w:r>
        <w:rPr>
          <w:rFonts w:ascii="source serif 4" w:eastAsia="source serif 4" w:hAnsi="source serif 4" w:cs="source serif 4"/>
          <w:color w:val="000000"/>
        </w:rPr>
        <w:t>, para mostrar la concentración.</w:t>
      </w:r>
      <w:bookmarkStart w:id="25" w:name="fnref5_10"/>
      <w:bookmarkEnd w:id="25"/>
      <w:r w:rsidR="007B1CB9">
        <w:t xml:space="preserve"> </w:t>
      </w:r>
    </w:p>
    <w:p w14:paraId="12AD2457" w14:textId="178BF726" w:rsidR="004E5B1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Barra de ingresos por canal</w:t>
      </w:r>
      <w:r>
        <w:rPr>
          <w:rFonts w:ascii="source serif 4" w:eastAsia="source serif 4" w:hAnsi="source serif 4" w:cs="source serif 4"/>
          <w:color w:val="000000"/>
        </w:rPr>
        <w:t>, para mostrar el peso económico.</w:t>
      </w:r>
      <w:bookmarkStart w:id="26" w:name="fnref5_11"/>
      <w:bookmarkEnd w:id="26"/>
      <w:r w:rsidR="007B1CB9">
        <w:t xml:space="preserve"> </w:t>
      </w:r>
    </w:p>
    <w:p w14:paraId="1757CC97" w14:textId="4675C43E" w:rsidR="004E5B1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Dona de participación por canal</w:t>
      </w:r>
      <w:r>
        <w:rPr>
          <w:rFonts w:ascii="source serif 4" w:eastAsia="source serif 4" w:hAnsi="source serif 4" w:cs="source serif 4"/>
          <w:color w:val="000000"/>
        </w:rPr>
        <w:t>, para enfatizar dependencia.</w:t>
      </w:r>
      <w:bookmarkStart w:id="27" w:name="fnref5_12"/>
      <w:bookmarkEnd w:id="27"/>
      <w:r w:rsidR="007B1CB9">
        <w:t xml:space="preserve"> </w:t>
      </w:r>
    </w:p>
    <w:p w14:paraId="1E506C10" w14:textId="3C15F48B" w:rsidR="004E5B1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Mini bloque operativo</w:t>
      </w:r>
      <w:r>
        <w:rPr>
          <w:rFonts w:ascii="source serif 4" w:eastAsia="source serif 4" w:hAnsi="source serif 4" w:cs="source serif 4"/>
          <w:color w:val="000000"/>
        </w:rPr>
        <w:t xml:space="preserve">, con </w:t>
      </w:r>
      <w:proofErr w:type="spellStart"/>
      <w:r>
        <w:rPr>
          <w:rFonts w:ascii="source serif 4" w:eastAsia="source serif 4" w:hAnsi="source serif 4" w:cs="source serif 4"/>
          <w:color w:val="000000"/>
        </w:rPr>
        <w:t>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-time </w:t>
      </w:r>
      <w:proofErr w:type="spellStart"/>
      <w:r>
        <w:rPr>
          <w:rFonts w:ascii="source serif 4" w:eastAsia="source serif 4" w:hAnsi="source serif 4" w:cs="source serif 4"/>
          <w:color w:val="000000"/>
        </w:rPr>
        <w:t>delivery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y retrasos asociados al flujo.</w:t>
      </w:r>
      <w:bookmarkStart w:id="28" w:name="fnref4_7"/>
      <w:bookmarkEnd w:id="28"/>
      <w:r w:rsidR="007B1CB9">
        <w:t xml:space="preserve"> </w:t>
      </w:r>
    </w:p>
    <w:p w14:paraId="0E4E65ED" w14:textId="77777777" w:rsidR="004E5B11" w:rsidRDefault="00000000">
      <w:pPr>
        <w:spacing w:before="315" w:after="105" w:line="360" w:lineRule="auto"/>
        <w:ind w:left="-30"/>
      </w:pPr>
      <w:bookmarkStart w:id="29" w:name="texto_listo_para_pegar"/>
      <w:r>
        <w:rPr>
          <w:rFonts w:ascii="source serif 4" w:eastAsia="source serif 4" w:hAnsi="source serif 4" w:cs="source serif 4"/>
          <w:b/>
          <w:color w:val="000000"/>
          <w:sz w:val="24"/>
        </w:rPr>
        <w:t>Texto listo para pegar</w:t>
      </w:r>
      <w:bookmarkEnd w:id="29"/>
    </w:p>
    <w:p w14:paraId="3F959266" w14:textId="3312BF33" w:rsidR="004E5B11" w:rsidRDefault="00000000" w:rsidP="007B1CB9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Insight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t xml:space="preserve"> El canal Mayorista concentra el mayor volumen y la mayor relevancia económica del negocio.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Implicación:</w:t>
      </w:r>
      <w:r>
        <w:rPr>
          <w:rFonts w:ascii="source serif 4" w:eastAsia="source serif 4" w:hAnsi="source serif 4" w:cs="source serif 4"/>
          <w:color w:val="000000"/>
        </w:rPr>
        <w:t xml:space="preserve"> Cualquier mejora o problema en este canal impacta directamente ingresos, servicio y operación.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Priorizar inventario, control de descuentos y seguimiento logístico en pedidos Mayorista.</w:t>
      </w:r>
      <w:bookmarkStart w:id="30" w:name="fnref4_8"/>
      <w:bookmarkStart w:id="31" w:name="fnref5_13"/>
      <w:bookmarkEnd w:id="30"/>
      <w:bookmarkEnd w:id="31"/>
      <w:r w:rsidR="007B1CB9">
        <w:t xml:space="preserve"> </w:t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4E5B1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0FE"/>
    <w:multiLevelType w:val="hybridMultilevel"/>
    <w:tmpl w:val="85AA74EE"/>
    <w:lvl w:ilvl="0" w:tplc="350A14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9ED736">
      <w:numFmt w:val="decimal"/>
      <w:lvlText w:val=""/>
      <w:lvlJc w:val="left"/>
    </w:lvl>
    <w:lvl w:ilvl="2" w:tplc="AB56A63A">
      <w:numFmt w:val="decimal"/>
      <w:lvlText w:val=""/>
      <w:lvlJc w:val="left"/>
    </w:lvl>
    <w:lvl w:ilvl="3" w:tplc="9B220C4E">
      <w:numFmt w:val="decimal"/>
      <w:lvlText w:val=""/>
      <w:lvlJc w:val="left"/>
    </w:lvl>
    <w:lvl w:ilvl="4" w:tplc="91666104">
      <w:numFmt w:val="decimal"/>
      <w:lvlText w:val=""/>
      <w:lvlJc w:val="left"/>
    </w:lvl>
    <w:lvl w:ilvl="5" w:tplc="2C52A726">
      <w:numFmt w:val="decimal"/>
      <w:lvlText w:val=""/>
      <w:lvlJc w:val="left"/>
    </w:lvl>
    <w:lvl w:ilvl="6" w:tplc="E8A6C5CE">
      <w:numFmt w:val="decimal"/>
      <w:lvlText w:val=""/>
      <w:lvlJc w:val="left"/>
    </w:lvl>
    <w:lvl w:ilvl="7" w:tplc="21B20882">
      <w:numFmt w:val="decimal"/>
      <w:lvlText w:val=""/>
      <w:lvlJc w:val="left"/>
    </w:lvl>
    <w:lvl w:ilvl="8" w:tplc="E28CACC8">
      <w:numFmt w:val="decimal"/>
      <w:lvlText w:val=""/>
      <w:lvlJc w:val="left"/>
    </w:lvl>
  </w:abstractNum>
  <w:abstractNum w:abstractNumId="1" w15:restartNumberingAfterBreak="0">
    <w:nsid w:val="14B4767B"/>
    <w:multiLevelType w:val="hybridMultilevel"/>
    <w:tmpl w:val="478AF2F4"/>
    <w:lvl w:ilvl="0" w:tplc="11FEBFEA">
      <w:numFmt w:val="decimal"/>
      <w:lvlText w:val=""/>
      <w:lvlJc w:val="left"/>
    </w:lvl>
    <w:lvl w:ilvl="1" w:tplc="E98A04BC">
      <w:numFmt w:val="decimal"/>
      <w:lvlText w:val=""/>
      <w:lvlJc w:val="left"/>
    </w:lvl>
    <w:lvl w:ilvl="2" w:tplc="DE588AAE">
      <w:numFmt w:val="decimal"/>
      <w:lvlText w:val=""/>
      <w:lvlJc w:val="left"/>
    </w:lvl>
    <w:lvl w:ilvl="3" w:tplc="9F480A84">
      <w:numFmt w:val="decimal"/>
      <w:lvlText w:val=""/>
      <w:lvlJc w:val="left"/>
    </w:lvl>
    <w:lvl w:ilvl="4" w:tplc="AE8CE25A">
      <w:numFmt w:val="decimal"/>
      <w:lvlText w:val=""/>
      <w:lvlJc w:val="left"/>
    </w:lvl>
    <w:lvl w:ilvl="5" w:tplc="35929282">
      <w:numFmt w:val="decimal"/>
      <w:lvlText w:val=""/>
      <w:lvlJc w:val="left"/>
    </w:lvl>
    <w:lvl w:ilvl="6" w:tplc="0646091C">
      <w:numFmt w:val="decimal"/>
      <w:lvlText w:val=""/>
      <w:lvlJc w:val="left"/>
    </w:lvl>
    <w:lvl w:ilvl="7" w:tplc="C9FEB0FA">
      <w:numFmt w:val="decimal"/>
      <w:lvlText w:val=""/>
      <w:lvlJc w:val="left"/>
    </w:lvl>
    <w:lvl w:ilvl="8" w:tplc="128CEDD6">
      <w:numFmt w:val="decimal"/>
      <w:lvlText w:val=""/>
      <w:lvlJc w:val="left"/>
    </w:lvl>
  </w:abstractNum>
  <w:abstractNum w:abstractNumId="2" w15:restartNumberingAfterBreak="0">
    <w:nsid w:val="1DAB516A"/>
    <w:multiLevelType w:val="hybridMultilevel"/>
    <w:tmpl w:val="4F1091B0"/>
    <w:lvl w:ilvl="0" w:tplc="A6C0A3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069A82">
      <w:numFmt w:val="decimal"/>
      <w:lvlText w:val=""/>
      <w:lvlJc w:val="left"/>
    </w:lvl>
    <w:lvl w:ilvl="2" w:tplc="EDB82C8C">
      <w:numFmt w:val="decimal"/>
      <w:lvlText w:val=""/>
      <w:lvlJc w:val="left"/>
    </w:lvl>
    <w:lvl w:ilvl="3" w:tplc="53E00814">
      <w:numFmt w:val="decimal"/>
      <w:lvlText w:val=""/>
      <w:lvlJc w:val="left"/>
    </w:lvl>
    <w:lvl w:ilvl="4" w:tplc="5EE60798">
      <w:numFmt w:val="decimal"/>
      <w:lvlText w:val=""/>
      <w:lvlJc w:val="left"/>
    </w:lvl>
    <w:lvl w:ilvl="5" w:tplc="B22E41CE">
      <w:numFmt w:val="decimal"/>
      <w:lvlText w:val=""/>
      <w:lvlJc w:val="left"/>
    </w:lvl>
    <w:lvl w:ilvl="6" w:tplc="D202583E">
      <w:numFmt w:val="decimal"/>
      <w:lvlText w:val=""/>
      <w:lvlJc w:val="left"/>
    </w:lvl>
    <w:lvl w:ilvl="7" w:tplc="A0323130">
      <w:numFmt w:val="decimal"/>
      <w:lvlText w:val=""/>
      <w:lvlJc w:val="left"/>
    </w:lvl>
    <w:lvl w:ilvl="8" w:tplc="4FDE5E72">
      <w:numFmt w:val="decimal"/>
      <w:lvlText w:val=""/>
      <w:lvlJc w:val="left"/>
    </w:lvl>
  </w:abstractNum>
  <w:abstractNum w:abstractNumId="3" w15:restartNumberingAfterBreak="0">
    <w:nsid w:val="334758D5"/>
    <w:multiLevelType w:val="hybridMultilevel"/>
    <w:tmpl w:val="7D8A92A6"/>
    <w:lvl w:ilvl="0" w:tplc="7186BD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1847CCE">
      <w:numFmt w:val="decimal"/>
      <w:lvlText w:val=""/>
      <w:lvlJc w:val="left"/>
    </w:lvl>
    <w:lvl w:ilvl="2" w:tplc="5810F174">
      <w:numFmt w:val="decimal"/>
      <w:lvlText w:val=""/>
      <w:lvlJc w:val="left"/>
    </w:lvl>
    <w:lvl w:ilvl="3" w:tplc="72C6879E">
      <w:numFmt w:val="decimal"/>
      <w:lvlText w:val=""/>
      <w:lvlJc w:val="left"/>
    </w:lvl>
    <w:lvl w:ilvl="4" w:tplc="57969EA4">
      <w:numFmt w:val="decimal"/>
      <w:lvlText w:val=""/>
      <w:lvlJc w:val="left"/>
    </w:lvl>
    <w:lvl w:ilvl="5" w:tplc="7CE61D0A">
      <w:numFmt w:val="decimal"/>
      <w:lvlText w:val=""/>
      <w:lvlJc w:val="left"/>
    </w:lvl>
    <w:lvl w:ilvl="6" w:tplc="8C8EA48A">
      <w:numFmt w:val="decimal"/>
      <w:lvlText w:val=""/>
      <w:lvlJc w:val="left"/>
    </w:lvl>
    <w:lvl w:ilvl="7" w:tplc="E4C04F3E">
      <w:numFmt w:val="decimal"/>
      <w:lvlText w:val=""/>
      <w:lvlJc w:val="left"/>
    </w:lvl>
    <w:lvl w:ilvl="8" w:tplc="5D9A4040">
      <w:numFmt w:val="decimal"/>
      <w:lvlText w:val=""/>
      <w:lvlJc w:val="left"/>
    </w:lvl>
  </w:abstractNum>
  <w:num w:numId="1" w16cid:durableId="1563325635">
    <w:abstractNumId w:val="0"/>
  </w:num>
  <w:num w:numId="2" w16cid:durableId="922952424">
    <w:abstractNumId w:val="2"/>
  </w:num>
  <w:num w:numId="3" w16cid:durableId="1902935078">
    <w:abstractNumId w:val="1"/>
  </w:num>
  <w:num w:numId="4" w16cid:durableId="340664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11"/>
    <w:rsid w:val="004E5B11"/>
    <w:rsid w:val="007B1CB9"/>
    <w:rsid w:val="009475F6"/>
    <w:rsid w:val="00C8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3CD64"/>
  <w15:docId w15:val="{7181F14F-9AFF-46C7-8E82-3F80902B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80C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3</cp:revision>
  <dcterms:created xsi:type="dcterms:W3CDTF">2026-06-03T01:19:00Z</dcterms:created>
  <dcterms:modified xsi:type="dcterms:W3CDTF">2026-06-18T00:59:00Z</dcterms:modified>
</cp:coreProperties>
</file>