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charts/chart4.xml" ContentType="application/vnd.openxmlformats-officedocument.drawingml.chart+xml"/>
  <Override PartName="/word/charts/style4.xml" ContentType="application/vnd.ms-office.chartstyle+xml"/>
  <Override PartName="/word/charts/colors4.xml" ContentType="application/vnd.ms-office.chartcolorstyle+xml"/>
  <Override PartName="/word/charts/chart5.xml" ContentType="application/vnd.openxmlformats-officedocument.drawingml.chart+xml"/>
  <Override PartName="/word/charts/style5.xml" ContentType="application/vnd.ms-office.chartstyle+xml"/>
  <Override PartName="/word/charts/colors5.xml" ContentType="application/vnd.ms-office.chartcolorstyle+xml"/>
  <Override PartName="/word/charts/chart6.xml" ContentType="application/vnd.openxmlformats-officedocument.drawingml.chart+xml"/>
  <Override PartName="/word/charts/style6.xml" ContentType="application/vnd.ms-office.chartstyle+xml"/>
  <Override PartName="/word/charts/colors6.xml" ContentType="application/vnd.ms-office.chartcolorstyle+xml"/>
  <Override PartName="/word/charts/chart7.xml" ContentType="application/vnd.openxmlformats-officedocument.drawingml.chart+xml"/>
  <Override PartName="/word/charts/style7.xml" ContentType="application/vnd.ms-office.chartstyle+xml"/>
  <Override PartName="/word/charts/colors7.xml" ContentType="application/vnd.ms-office.chartcolorstyle+xml"/>
  <Override PartName="/word/charts/chart8.xml" ContentType="application/vnd.openxmlformats-officedocument.drawingml.chart+xml"/>
  <Override PartName="/word/charts/style8.xml" ContentType="application/vnd.ms-office.chartstyle+xml"/>
  <Override PartName="/word/charts/colors8.xml" ContentType="application/vnd.ms-office.chartcolorstyle+xml"/>
  <Override PartName="/word/charts/chart9.xml" ContentType="application/vnd.openxmlformats-officedocument.drawingml.chart+xml"/>
  <Override PartName="/word/charts/style9.xml" ContentType="application/vnd.ms-office.chartstyle+xml"/>
  <Override PartName="/word/charts/colors9.xml" ContentType="application/vnd.ms-office.chartcolorstyle+xml"/>
  <Override PartName="/word/charts/chart10.xml" ContentType="application/vnd.openxmlformats-officedocument.drawingml.chart+xml"/>
  <Override PartName="/word/charts/chart11.xml" ContentType="application/vnd.openxmlformats-officedocument.drawingml.chart+xml"/>
  <Override PartName="/word/charts/style10.xml" ContentType="application/vnd.ms-office.chartstyle+xml"/>
  <Override PartName="/word/charts/colors10.xml" ContentType="application/vnd.ms-office.chartcolorstyle+xml"/>
  <Override PartName="/word/charts/chartEx1.xml" ContentType="application/vnd.ms-office.chartex+xml"/>
  <Override PartName="/word/charts/style11.xml" ContentType="application/vnd.ms-office.chartstyle+xml"/>
  <Override PartName="/word/charts/colors1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B8DDA6" w14:textId="4AC922C9" w:rsidR="00321333" w:rsidRDefault="006C295A" w:rsidP="00321333">
      <w:pPr>
        <w:pStyle w:val="Title"/>
        <w:jc w:val="center"/>
        <w:rPr>
          <w:rFonts w:eastAsia="source serif 4"/>
        </w:rPr>
      </w:pPr>
      <w:proofErr w:type="spellStart"/>
      <w:r>
        <w:rPr>
          <w:rFonts w:eastAsia="source serif 4"/>
        </w:rPr>
        <w:t>Insigth</w:t>
      </w:r>
      <w:proofErr w:type="spellEnd"/>
      <w:r>
        <w:rPr>
          <w:rFonts w:eastAsia="source serif 4"/>
        </w:rPr>
        <w:t xml:space="preserve"> Accionable</w:t>
      </w:r>
    </w:p>
    <w:p w14:paraId="701822A6" w14:textId="77777777" w:rsidR="00321333" w:rsidRPr="00321333" w:rsidRDefault="00321333" w:rsidP="00321333"/>
    <w:p w14:paraId="6A194F46" w14:textId="58F89CDA" w:rsidR="00592112" w:rsidRDefault="00000000" w:rsidP="00CA5E57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Un </w:t>
      </w:r>
      <w:proofErr w:type="spellStart"/>
      <w:r>
        <w:rPr>
          <w:rFonts w:ascii="source serif 4" w:eastAsia="source serif 4" w:hAnsi="source serif 4" w:cs="source serif 4"/>
          <w:color w:val="000000"/>
        </w:rPr>
        <w:t>insight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 accionable responde tres cosas: qué está pasando, por qué importa y qué se debería hacer al respecto.</w:t>
      </w:r>
      <w:bookmarkStart w:id="0" w:name="fnref1"/>
      <w:bookmarkStart w:id="1" w:name="fnref2"/>
      <w:bookmarkEnd w:id="0"/>
      <w:bookmarkEnd w:id="1"/>
      <w:r w:rsidR="00CA5E57">
        <w:t xml:space="preserve"> </w:t>
      </w:r>
    </w:p>
    <w:p w14:paraId="68031A9A" w14:textId="7393B1EE" w:rsidR="00592112" w:rsidRDefault="00337506">
      <w:pPr>
        <w:spacing w:before="315" w:after="105" w:line="360" w:lineRule="auto"/>
        <w:ind w:left="-30"/>
      </w:pPr>
      <w:bookmarkStart w:id="2" w:name="bm_1_riesgo_de_liquidez_por_trans_637596"/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041DE23D" wp14:editId="301037C7">
                <wp:simplePos x="0" y="0"/>
                <wp:positionH relativeFrom="column">
                  <wp:posOffset>-47625</wp:posOffset>
                </wp:positionH>
                <wp:positionV relativeFrom="paragraph">
                  <wp:posOffset>382905</wp:posOffset>
                </wp:positionV>
                <wp:extent cx="3073390" cy="2524125"/>
                <wp:effectExtent l="0" t="0" r="0" b="0"/>
                <wp:wrapNone/>
                <wp:docPr id="29" name="Group 28">
                  <a:extLst xmlns:a="http://schemas.openxmlformats.org/drawingml/2006/main">
                    <a:ext uri="{FF2B5EF4-FFF2-40B4-BE49-F238E27FC236}">
                      <a16:creationId xmlns:a16="http://schemas.microsoft.com/office/drawing/2014/main" id="{1CE53710-8D54-08AA-B97A-D9D329942A47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73390" cy="2524125"/>
                          <a:chOff x="0" y="0"/>
                          <a:chExt cx="2880000" cy="2662238"/>
                        </a:xfrm>
                      </wpg:grpSpPr>
                      <wpg:graphicFrame>
                        <wpg:cNvPr id="512105735" name="Chart 512105735">
                          <a:extLst>
                            <a:ext uri="{FF2B5EF4-FFF2-40B4-BE49-F238E27FC236}">
                              <a16:creationId xmlns:a16="http://schemas.microsoft.com/office/drawing/2014/main" id="{A5D25270-F47E-4BD1-8A2E-C5489CABC2D3}"/>
                            </a:ext>
                          </a:extLst>
                        </wpg:cNvPr>
                        <wpg:cNvFrPr>
                          <a:graphicFrameLocks/>
                        </wpg:cNvFrPr>
                        <wpg:xfrm>
                          <a:off x="0" y="276269"/>
                          <a:ext cx="2880000" cy="2385969"/>
                        </wpg:xfrm>
                        <a:graphic>
                          <a:graphicData uri="http://schemas.openxmlformats.org/drawingml/2006/chart">
                            <c:chart xmlns:c="http://schemas.openxmlformats.org/drawingml/2006/chart" xmlns:r="http://schemas.openxmlformats.org/officeDocument/2006/relationships" r:id="rId5"/>
                          </a:graphicData>
                        </a:graphic>
                      </wpg:graphicFrame>
                      <wps:wsp>
                        <wps:cNvPr id="571639059" name="TextBox 27">
                          <a:extLst>
                            <a:ext uri="{FF2B5EF4-FFF2-40B4-BE49-F238E27FC236}">
                              <a16:creationId xmlns:a16="http://schemas.microsoft.com/office/drawing/2014/main" id="{9CD6870F-0844-4F84-9080-30F4D5BA0726}"/>
                            </a:ext>
                          </a:extLst>
                        </wps:cNvPr>
                        <wps:cNvSpPr txBox="1"/>
                        <wps:spPr>
                          <a:xfrm>
                            <a:off x="534" y="0"/>
                            <a:ext cx="2878933" cy="351616"/>
                          </a:xfrm>
                          <a:prstGeom prst="rect">
                            <a:avLst/>
                          </a:prstGeom>
                          <a:solidFill>
                            <a:srgbClr val="212D3F"/>
                          </a:solidFill>
                          <a:ln w="9525" cmpd="sng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0123F65" w14:textId="77777777" w:rsidR="00337506" w:rsidRDefault="00337506" w:rsidP="00337506">
                              <w:pPr>
                                <w:rPr>
                                  <w:rFonts w:ascii="Arial" w:hAnsi="Arial" w:cs="Arial"/>
                                  <w:color w:val="FFFFFF" w:themeColor="background1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FFFFFF" w:themeColor="background1"/>
                                  <w:sz w:val="16"/>
                                  <w:szCs w:val="16"/>
                                </w:rPr>
                                <w:t>Transacciones por Estado %</w:t>
                              </w:r>
                            </w:p>
                            <w:p w14:paraId="3716F496" w14:textId="77777777" w:rsidR="00337506" w:rsidRDefault="00337506" w:rsidP="00337506">
                              <w:pPr>
                                <w:rPr>
                                  <w:rFonts w:ascii="Arial" w:hAnsi="Arial" w:cs="Arial"/>
                                  <w:color w:val="FFFFFF" w:themeColor="background1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FFFFFF" w:themeColor="background1"/>
                                  <w:sz w:val="14"/>
                                  <w:szCs w:val="14"/>
                                </w:rPr>
                                <w:t>Proporción por estado</w:t>
                              </w:r>
                            </w:p>
                          </w:txbxContent>
                        </wps:txbx>
                        <wps:bodyPr wrap="square" rtlCol="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41DE23D" id="Group 28" o:spid="_x0000_s1026" style="position:absolute;left:0;text-align:left;margin-left:-3.75pt;margin-top:30.15pt;width:242pt;height:198.75pt;z-index:251659264" coordsize="28800,26622" o:gfxdata="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Chart 512105735" o:spid="_x0000_s1027" type="#_x0000_t75" style="position:absolute;top:2700;width:28790;height:23918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">
                  <v:imagedata r:id="rId6" o:title=""/>
                  <o:lock v:ext="edit" aspectratio="f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27" o:spid="_x0000_s1028" type="#_x0000_t202" style="position:absolute;left:5;width:28789;height:35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" fillcolor="#212d3f" stroked="f">
                  <v:textbox>
                    <w:txbxContent>
                      <w:p w14:paraId="60123F65" w14:textId="77777777" w:rsidR="00337506" w:rsidRDefault="00337506" w:rsidP="00337506">
                        <w:pPr>
                          <w:rPr>
                            <w:rFonts w:ascii="Arial" w:hAnsi="Arial" w:cs="Arial"/>
                            <w:color w:val="FFFFFF" w:themeColor="background1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hAnsi="Arial" w:cs="Arial"/>
                            <w:color w:val="FFFFFF" w:themeColor="background1"/>
                            <w:sz w:val="16"/>
                            <w:szCs w:val="16"/>
                          </w:rPr>
                          <w:t>Transacciones por Estado %</w:t>
                        </w:r>
                      </w:p>
                      <w:p w14:paraId="3716F496" w14:textId="77777777" w:rsidR="00337506" w:rsidRDefault="00337506" w:rsidP="00337506">
                        <w:pPr>
                          <w:rPr>
                            <w:rFonts w:ascii="Arial" w:hAnsi="Arial" w:cs="Arial"/>
                            <w:color w:val="FFFFFF" w:themeColor="background1"/>
                            <w:sz w:val="14"/>
                            <w:szCs w:val="14"/>
                          </w:rPr>
                        </w:pPr>
                        <w:r>
                          <w:rPr>
                            <w:rFonts w:ascii="Arial" w:hAnsi="Arial" w:cs="Arial"/>
                            <w:color w:val="FFFFFF" w:themeColor="background1"/>
                            <w:sz w:val="14"/>
                            <w:szCs w:val="14"/>
                          </w:rPr>
                          <w:t>Proporción por estado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9F69DB">
        <w:rPr>
          <w:noProof/>
        </w:rPr>
        <w:drawing>
          <wp:anchor distT="0" distB="0" distL="114300" distR="114300" simplePos="0" relativeHeight="251657216" behindDoc="0" locked="0" layoutInCell="1" allowOverlap="1" wp14:anchorId="057C2881" wp14:editId="646FCCC9">
            <wp:simplePos x="0" y="0"/>
            <wp:positionH relativeFrom="column">
              <wp:posOffset>-47625</wp:posOffset>
            </wp:positionH>
            <wp:positionV relativeFrom="paragraph">
              <wp:posOffset>382905</wp:posOffset>
            </wp:positionV>
            <wp:extent cx="3073390" cy="2262188"/>
            <wp:effectExtent l="0" t="0" r="0" b="5080"/>
            <wp:wrapSquare wrapText="bothSides"/>
            <wp:docPr id="1210045207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A5D25270-F47E-4BD1-8A2E-C5489CABC2D3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7"/>
              </a:graphicData>
            </a:graphic>
          </wp:anchor>
        </w:drawing>
      </w:r>
      <w:r w:rsidR="00000000">
        <w:rPr>
          <w:rFonts w:ascii="source serif 4" w:eastAsia="source serif 4" w:hAnsi="source serif 4" w:cs="source serif 4"/>
          <w:b/>
          <w:color w:val="000000"/>
          <w:sz w:val="24"/>
        </w:rPr>
        <w:t>1) Riesgo de liquidez por transacciones pendientes</w:t>
      </w:r>
      <w:bookmarkEnd w:id="2"/>
    </w:p>
    <w:p w14:paraId="5A206E8B" w14:textId="47E2F559" w:rsidR="00592112" w:rsidRDefault="00000000">
      <w:pPr>
        <w:spacing w:after="210" w:line="360" w:lineRule="auto"/>
        <w:rPr>
          <w:rFonts w:ascii="source serif 4" w:eastAsia="source serif 4" w:hAnsi="source serif 4" w:cs="source serif 4"/>
          <w:color w:val="000000"/>
        </w:rPr>
      </w:pPr>
      <w:r>
        <w:rPr>
          <w:rFonts w:ascii="source serif 4" w:eastAsia="source serif 4" w:hAnsi="source serif 4" w:cs="source serif 4"/>
          <w:color w:val="000000"/>
        </w:rPr>
        <w:t xml:space="preserve">Hay operaciones con </w:t>
      </w:r>
      <w:r w:rsidRPr="00D06C94">
        <w:rPr>
          <w:rFonts w:ascii="Consolas" w:eastAsia="source serif 4" w:hAnsi="Consolas" w:cs="source serif 4"/>
          <w:color w:val="000000"/>
          <w:highlight w:val="darkGray"/>
        </w:rPr>
        <w:t>estado</w:t>
      </w:r>
      <w:r>
        <w:rPr>
          <w:rFonts w:ascii="source serif 4" w:eastAsia="source serif 4" w:hAnsi="source serif 4" w:cs="source serif 4"/>
          <w:color w:val="000000"/>
        </w:rPr>
        <w:t xml:space="preserve"> </w:t>
      </w:r>
      <w:r>
        <w:rPr>
          <w:rFonts w:ascii="source serif 4" w:eastAsia="source serif 4" w:hAnsi="source serif 4" w:cs="source serif 4"/>
          <w:b/>
          <w:color w:val="000000"/>
        </w:rPr>
        <w:t>Pendiente</w:t>
      </w:r>
      <w:r>
        <w:rPr>
          <w:rFonts w:ascii="source serif 4" w:eastAsia="source serif 4" w:hAnsi="source serif 4" w:cs="source serif 4"/>
          <w:color w:val="000000"/>
        </w:rPr>
        <w:t xml:space="preserve">, por </w:t>
      </w:r>
      <w:proofErr w:type="gramStart"/>
      <w:r>
        <w:rPr>
          <w:rFonts w:ascii="source serif 4" w:eastAsia="source serif 4" w:hAnsi="source serif 4" w:cs="source serif 4"/>
          <w:color w:val="000000"/>
        </w:rPr>
        <w:t>ejemplo</w:t>
      </w:r>
      <w:proofErr w:type="gramEnd"/>
      <w:r>
        <w:rPr>
          <w:rFonts w:ascii="source serif 4" w:eastAsia="source serif 4" w:hAnsi="source serif 4" w:cs="source serif 4"/>
          <w:color w:val="000000"/>
        </w:rPr>
        <w:t xml:space="preserve"> ingresos y gastos aún no confirmados. Eso permite detectar posibles riesgos de caja, porque el resultado financiero real todavía no está cerrado</w:t>
      </w:r>
      <w:bookmarkStart w:id="3" w:name="fnref2_1"/>
      <w:bookmarkEnd w:id="3"/>
      <w:r w:rsidR="00F9190C">
        <w:rPr>
          <w:rFonts w:ascii="source serif 4" w:eastAsia="source serif 4" w:hAnsi="source serif 4" w:cs="source serif 4"/>
          <w:color w:val="000000"/>
        </w:rPr>
        <w:t xml:space="preserve">. </w:t>
      </w:r>
      <w:r w:rsidR="00B90814">
        <w:rPr>
          <w:rFonts w:ascii="source serif 4" w:eastAsia="source serif 4" w:hAnsi="source serif 4" w:cs="source serif 4"/>
          <w:color w:val="000000"/>
        </w:rPr>
        <w:br/>
      </w:r>
      <w:r w:rsidR="00B90814">
        <w:rPr>
          <w:rFonts w:ascii="source serif 4" w:eastAsia="source serif 4" w:hAnsi="source serif 4" w:cs="source serif 4"/>
          <w:color w:val="000000"/>
        </w:rPr>
        <w:br/>
      </w:r>
      <w:r>
        <w:rPr>
          <w:rFonts w:ascii="source serif 4" w:eastAsia="source serif 4" w:hAnsi="source serif 4" w:cs="source serif 4"/>
          <w:b/>
          <w:color w:val="000000"/>
        </w:rPr>
        <w:t>Acción:</w:t>
      </w:r>
      <w:r>
        <w:rPr>
          <w:rFonts w:ascii="source serif 4" w:eastAsia="source serif 4" w:hAnsi="source serif 4" w:cs="source serif 4"/>
          <w:color w:val="000000"/>
        </w:rPr>
        <w:t xml:space="preserve"> priorizar seguimiento de pendientes por </w:t>
      </w:r>
      <w:r w:rsidRPr="00D06C94">
        <w:rPr>
          <w:rFonts w:ascii="Consolas" w:eastAsia="source serif 4" w:hAnsi="Consolas" w:cs="source serif 4"/>
          <w:color w:val="000000"/>
          <w:highlight w:val="darkGray"/>
        </w:rPr>
        <w:t>importe</w:t>
      </w:r>
      <w:r>
        <w:rPr>
          <w:rFonts w:ascii="source serif 4" w:eastAsia="source serif 4" w:hAnsi="source serif 4" w:cs="source serif 4"/>
          <w:color w:val="000000"/>
        </w:rPr>
        <w:t xml:space="preserve">, </w:t>
      </w:r>
      <w:r w:rsidRPr="00D06C94">
        <w:rPr>
          <w:rFonts w:ascii="Consolas" w:eastAsia="source serif 4" w:hAnsi="Consolas" w:cs="source serif 4"/>
          <w:color w:val="000000"/>
          <w:highlight w:val="darkGray"/>
        </w:rPr>
        <w:t>empresa</w:t>
      </w:r>
      <w:r>
        <w:rPr>
          <w:rFonts w:ascii="source serif 4" w:eastAsia="source serif 4" w:hAnsi="source serif 4" w:cs="source serif 4"/>
          <w:color w:val="000000"/>
        </w:rPr>
        <w:t xml:space="preserve"> y </w:t>
      </w:r>
      <w:r w:rsidRPr="00D06C94">
        <w:rPr>
          <w:rFonts w:ascii="Consolas" w:eastAsia="source serif 4" w:hAnsi="Consolas" w:cs="source serif 4"/>
          <w:color w:val="000000"/>
          <w:highlight w:val="darkGray"/>
        </w:rPr>
        <w:t>fecha</w:t>
      </w:r>
      <w:r>
        <w:rPr>
          <w:rFonts w:ascii="source serif 4" w:eastAsia="source serif 4" w:hAnsi="source serif 4" w:cs="source serif 4"/>
          <w:color w:val="000000"/>
        </w:rPr>
        <w:t>, para evitar sorpresas de tesorería.</w:t>
      </w:r>
    </w:p>
    <w:p w14:paraId="5F7FD19F" w14:textId="52C8B8B5" w:rsidR="009F69DB" w:rsidRDefault="009F69DB">
      <w:pPr>
        <w:spacing w:after="210" w:line="360" w:lineRule="auto"/>
      </w:pPr>
    </w:p>
    <w:p w14:paraId="293DBA37" w14:textId="10C35E95" w:rsidR="00592112" w:rsidRDefault="00000000">
      <w:pPr>
        <w:spacing w:before="315" w:after="105" w:line="360" w:lineRule="auto"/>
        <w:ind w:left="-30"/>
      </w:pPr>
      <w:bookmarkStart w:id="4" w:name="bm_2_empresas_con_mayor_carga_operativa"/>
      <w:r>
        <w:rPr>
          <w:rFonts w:ascii="source serif 4" w:eastAsia="source serif 4" w:hAnsi="source serif 4" w:cs="source serif 4"/>
          <w:b/>
          <w:color w:val="000000"/>
          <w:sz w:val="24"/>
        </w:rPr>
        <w:t>2) Empresas con mayor carga operativa</w:t>
      </w:r>
      <w:bookmarkEnd w:id="4"/>
    </w:p>
    <w:p w14:paraId="401DA327" w14:textId="684BE71A" w:rsidR="00592112" w:rsidRDefault="004809CD">
      <w:pPr>
        <w:spacing w:after="210" w:line="360" w:lineRule="auto"/>
        <w:rPr>
          <w:rFonts w:ascii="source serif 4" w:eastAsia="source serif 4" w:hAnsi="source serif 4" w:cs="source serif 4"/>
          <w:color w:val="000000"/>
        </w:rPr>
      </w:pPr>
      <w:r>
        <w:rPr>
          <w:rFonts w:ascii="source serif 4" w:eastAsia="source serif 4" w:hAnsi="source serif 4" w:cs="source serif 4"/>
          <w:noProof/>
          <w:color w:val="000000"/>
        </w:rPr>
        <w:drawing>
          <wp:anchor distT="0" distB="0" distL="114300" distR="114300" simplePos="0" relativeHeight="251662336" behindDoc="0" locked="0" layoutInCell="1" allowOverlap="1" wp14:anchorId="42EDC88E" wp14:editId="4F3C8014">
            <wp:simplePos x="0" y="0"/>
            <wp:positionH relativeFrom="column">
              <wp:posOffset>-47055</wp:posOffset>
            </wp:positionH>
            <wp:positionV relativeFrom="paragraph">
              <wp:posOffset>697230</wp:posOffset>
            </wp:positionV>
            <wp:extent cx="6498590" cy="2143125"/>
            <wp:effectExtent l="0" t="0" r="0" b="0"/>
            <wp:wrapTopAndBottom/>
            <wp:docPr id="22964204" name="Chart 642940612">
              <a:extLst xmlns:a="http://schemas.openxmlformats.org/drawingml/2006/main">
                <a:ext uri="{FF2B5EF4-FFF2-40B4-BE49-F238E27FC236}">
                  <a16:creationId xmlns:a16="http://schemas.microsoft.com/office/drawing/2014/main" id="{5ABDFF54-65A4-4F40-881A-3BE8670CADF8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anchor>
        </w:drawing>
      </w:r>
      <w:r w:rsidR="00000000">
        <w:rPr>
          <w:rFonts w:ascii="source serif 4" w:eastAsia="source serif 4" w:hAnsi="source serif 4" w:cs="source serif 4"/>
          <w:color w:val="000000"/>
        </w:rPr>
        <w:t xml:space="preserve">Se ven varias empresas repetidas, como </w:t>
      </w:r>
      <w:proofErr w:type="spellStart"/>
      <w:r w:rsidR="00000000">
        <w:rPr>
          <w:rFonts w:ascii="source serif 4" w:eastAsia="source serif 4" w:hAnsi="source serif 4" w:cs="source serif 4"/>
          <w:color w:val="000000"/>
        </w:rPr>
        <w:t>Nordic</w:t>
      </w:r>
      <w:proofErr w:type="spellEnd"/>
      <w:r w:rsidR="00000000">
        <w:rPr>
          <w:rFonts w:ascii="source serif 4" w:eastAsia="source serif 4" w:hAnsi="source serif 4" w:cs="source serif 4"/>
          <w:color w:val="000000"/>
        </w:rPr>
        <w:t xml:space="preserve"> Capital SA, Iberia </w:t>
      </w:r>
      <w:proofErr w:type="spellStart"/>
      <w:r w:rsidR="00000000">
        <w:rPr>
          <w:rFonts w:ascii="source serif 4" w:eastAsia="source serif 4" w:hAnsi="source serif 4" w:cs="source serif 4"/>
          <w:color w:val="000000"/>
        </w:rPr>
        <w:t>Finance</w:t>
      </w:r>
      <w:proofErr w:type="spellEnd"/>
      <w:r w:rsidR="00000000">
        <w:rPr>
          <w:rFonts w:ascii="source serif 4" w:eastAsia="source serif 4" w:hAnsi="source serif 4" w:cs="source serif 4"/>
          <w:color w:val="000000"/>
        </w:rPr>
        <w:t xml:space="preserve"> SL, Cresta </w:t>
      </w:r>
      <w:proofErr w:type="spellStart"/>
      <w:r w:rsidR="00000000">
        <w:rPr>
          <w:rFonts w:ascii="source serif 4" w:eastAsia="source serif 4" w:hAnsi="source serif 4" w:cs="source serif 4"/>
          <w:color w:val="000000"/>
        </w:rPr>
        <w:t>Partners</w:t>
      </w:r>
      <w:proofErr w:type="spellEnd"/>
      <w:r w:rsidR="00000000">
        <w:rPr>
          <w:rFonts w:ascii="source serif 4" w:eastAsia="source serif 4" w:hAnsi="source serif 4" w:cs="source serif 4"/>
          <w:color w:val="000000"/>
        </w:rPr>
        <w:t xml:space="preserve"> SA y otras. Eso permite identificar qué empresas concentran más movimientos y, por tanto, dónde está la mayor exposición operativa y financiera.</w:t>
      </w:r>
      <w:bookmarkStart w:id="5" w:name="fnref1_1"/>
      <w:bookmarkStart w:id="6" w:name="fnref2_2"/>
      <w:bookmarkEnd w:id="5"/>
      <w:bookmarkEnd w:id="6"/>
      <w:r w:rsidR="00B90814">
        <w:br/>
      </w:r>
      <w:r w:rsidR="00000000">
        <w:rPr>
          <w:rFonts w:ascii="source serif 4" w:eastAsia="source serif 4" w:hAnsi="source serif 4" w:cs="source serif 4"/>
          <w:color w:val="000000"/>
        </w:rPr>
        <w:br/>
      </w:r>
      <w:r w:rsidR="00000000">
        <w:rPr>
          <w:rFonts w:ascii="source serif 4" w:eastAsia="source serif 4" w:hAnsi="source serif 4" w:cs="source serif 4"/>
          <w:b/>
          <w:color w:val="000000"/>
        </w:rPr>
        <w:t>Acción:</w:t>
      </w:r>
      <w:r w:rsidR="00000000">
        <w:rPr>
          <w:rFonts w:ascii="source serif 4" w:eastAsia="source serif 4" w:hAnsi="source serif 4" w:cs="source serif 4"/>
          <w:color w:val="000000"/>
        </w:rPr>
        <w:t xml:space="preserve"> enfocar control, conciliación y automatización primero en las empresas con más volumen.</w:t>
      </w:r>
    </w:p>
    <w:p w14:paraId="4C08DA78" w14:textId="442D1F48" w:rsidR="00592112" w:rsidRDefault="004809CD">
      <w:pPr>
        <w:spacing w:before="315" w:after="105" w:line="360" w:lineRule="auto"/>
        <w:ind w:left="-30"/>
      </w:pPr>
      <w:bookmarkStart w:id="7" w:name="bm_3_concentración_de_gastos_por_41fb16"/>
      <w:r>
        <w:rPr>
          <w:noProof/>
        </w:rPr>
        <w:lastRenderedPageBreak/>
        <w:drawing>
          <wp:anchor distT="0" distB="0" distL="114300" distR="114300" simplePos="0" relativeHeight="251665408" behindDoc="0" locked="0" layoutInCell="1" allowOverlap="1" wp14:anchorId="63F04271" wp14:editId="025C2D74">
            <wp:simplePos x="0" y="0"/>
            <wp:positionH relativeFrom="column">
              <wp:posOffset>28575</wp:posOffset>
            </wp:positionH>
            <wp:positionV relativeFrom="paragraph">
              <wp:posOffset>360680</wp:posOffset>
            </wp:positionV>
            <wp:extent cx="3238500" cy="2156460"/>
            <wp:effectExtent l="0" t="0" r="0" b="0"/>
            <wp:wrapSquare wrapText="bothSides"/>
            <wp:docPr id="1564786921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19F19F04-0713-4968-A48B-B41815299B3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</wp:anchor>
        </w:drawing>
      </w:r>
      <w:r w:rsidR="00000000">
        <w:rPr>
          <w:rFonts w:ascii="source serif 4" w:eastAsia="source serif 4" w:hAnsi="source serif 4" w:cs="source serif 4"/>
          <w:b/>
          <w:color w:val="000000"/>
          <w:sz w:val="24"/>
        </w:rPr>
        <w:t>3) Concentración de gastos por categoría</w:t>
      </w:r>
      <w:bookmarkEnd w:id="7"/>
    </w:p>
    <w:p w14:paraId="0AB21C7E" w14:textId="187B104D" w:rsidR="00592112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Aparecen categorías como </w:t>
      </w:r>
      <w:r>
        <w:rPr>
          <w:rFonts w:ascii="source serif 4" w:eastAsia="source serif 4" w:hAnsi="source serif 4" w:cs="source serif 4"/>
          <w:b/>
          <w:color w:val="000000"/>
        </w:rPr>
        <w:t>Impuestos, Nómina, Servicios, Financiación, Logística y Consultoría</w:t>
      </w:r>
      <w:r>
        <w:rPr>
          <w:rFonts w:ascii="source serif 4" w:eastAsia="source serif 4" w:hAnsi="source serif 4" w:cs="source serif 4"/>
          <w:color w:val="000000"/>
        </w:rPr>
        <w:t>.</w:t>
      </w:r>
      <w:r w:rsidR="004809CD" w:rsidRPr="004809CD">
        <w:rPr>
          <w:noProof/>
        </w:rPr>
        <w:t xml:space="preserve"> </w:t>
      </w:r>
      <w:r>
        <w:rPr>
          <w:rFonts w:ascii="source serif 4" w:eastAsia="source serif 4" w:hAnsi="source serif 4" w:cs="source serif 4"/>
          <w:color w:val="000000"/>
        </w:rPr>
        <w:t xml:space="preserve"> Esto permite ver qué tipo de gasto pesa más en la estructura financiera y dónde hay más oportunidad de optimización.</w:t>
      </w:r>
      <w:bookmarkStart w:id="8" w:name="fnref2_3"/>
      <w:bookmarkEnd w:id="8"/>
      <w:r w:rsidR="00B90814">
        <w:br/>
      </w:r>
      <w:r w:rsidR="00EA3A24">
        <w:rPr>
          <w:rFonts w:ascii="source serif 4" w:eastAsia="source serif 4" w:hAnsi="source serif 4" w:cs="source serif 4"/>
          <w:color w:val="000000"/>
        </w:rPr>
        <w:t xml:space="preserve"> </w:t>
      </w:r>
      <w:r>
        <w:rPr>
          <w:rFonts w:ascii="source serif 4" w:eastAsia="source serif 4" w:hAnsi="source serif 4" w:cs="source serif 4"/>
          <w:color w:val="000000"/>
        </w:rPr>
        <w:br/>
      </w:r>
      <w:r>
        <w:rPr>
          <w:rFonts w:ascii="source serif 4" w:eastAsia="source serif 4" w:hAnsi="source serif 4" w:cs="source serif 4"/>
          <w:b/>
          <w:color w:val="000000"/>
        </w:rPr>
        <w:t>Acción:</w:t>
      </w:r>
      <w:r>
        <w:rPr>
          <w:rFonts w:ascii="source serif 4" w:eastAsia="source serif 4" w:hAnsi="source serif 4" w:cs="source serif 4"/>
          <w:color w:val="000000"/>
        </w:rPr>
        <w:t xml:space="preserve"> revisar categorías con mayor importe acumulado para detectar ahorro, renegociación o reducción de gasto.</w:t>
      </w:r>
    </w:p>
    <w:p w14:paraId="6DFBBAA7" w14:textId="2F225515" w:rsidR="00592112" w:rsidRDefault="00000000">
      <w:pPr>
        <w:spacing w:before="315" w:after="105" w:line="360" w:lineRule="auto"/>
        <w:ind w:left="-30"/>
      </w:pPr>
      <w:bookmarkStart w:id="9" w:name="bm_4_dependencia_de_ciertos_canal_3ab7b3"/>
      <w:r>
        <w:rPr>
          <w:rFonts w:ascii="source serif 4" w:eastAsia="source serif 4" w:hAnsi="source serif 4" w:cs="source serif 4"/>
          <w:b/>
          <w:color w:val="000000"/>
          <w:sz w:val="24"/>
        </w:rPr>
        <w:t>4) Dependencia de ciertos canales de pago</w:t>
      </w:r>
      <w:bookmarkEnd w:id="9"/>
    </w:p>
    <w:p w14:paraId="6D34914D" w14:textId="28B20151" w:rsidR="00592112" w:rsidRDefault="00000000">
      <w:pPr>
        <w:spacing w:after="210" w:line="360" w:lineRule="auto"/>
        <w:rPr>
          <w:rFonts w:ascii="source serif 4" w:eastAsia="source serif 4" w:hAnsi="source serif 4" w:cs="source serif 4"/>
          <w:color w:val="000000"/>
        </w:rPr>
      </w:pPr>
      <w:r>
        <w:rPr>
          <w:rFonts w:ascii="source serif 4" w:eastAsia="source serif 4" w:hAnsi="source serif 4" w:cs="source serif 4"/>
          <w:color w:val="000000"/>
        </w:rPr>
        <w:t xml:space="preserve">Hay varios canales usados: </w:t>
      </w:r>
      <w:proofErr w:type="spellStart"/>
      <w:r>
        <w:rPr>
          <w:rFonts w:ascii="source serif 4" w:eastAsia="source serif 4" w:hAnsi="source serif 4" w:cs="source serif 4"/>
          <w:b/>
          <w:color w:val="000000"/>
        </w:rPr>
        <w:t>Bizum</w:t>
      </w:r>
      <w:proofErr w:type="spellEnd"/>
      <w:r>
        <w:rPr>
          <w:rFonts w:ascii="source serif 4" w:eastAsia="source serif 4" w:hAnsi="source serif 4" w:cs="source serif 4"/>
          <w:b/>
          <w:color w:val="000000"/>
        </w:rPr>
        <w:t xml:space="preserve">, SEPA, Tarjeta, Efectivo, </w:t>
      </w:r>
      <w:proofErr w:type="spellStart"/>
      <w:r>
        <w:rPr>
          <w:rFonts w:ascii="source serif 4" w:eastAsia="source serif 4" w:hAnsi="source serif 4" w:cs="source serif 4"/>
          <w:b/>
          <w:color w:val="000000"/>
        </w:rPr>
        <w:t>Paypal</w:t>
      </w:r>
      <w:proofErr w:type="spellEnd"/>
      <w:r>
        <w:rPr>
          <w:rFonts w:ascii="source serif 4" w:eastAsia="source serif 4" w:hAnsi="source serif 4" w:cs="source serif 4"/>
          <w:b/>
          <w:color w:val="000000"/>
        </w:rPr>
        <w:t xml:space="preserve"> y Transferencia</w:t>
      </w:r>
      <w:r>
        <w:rPr>
          <w:rFonts w:ascii="source serif 4" w:eastAsia="source serif 4" w:hAnsi="source serif 4" w:cs="source serif 4"/>
          <w:color w:val="000000"/>
        </w:rPr>
        <w:t>. Eso permite analizar qué canal domina, cuál genera más incidencias y cuál puede ser más caro o menos eficiente.</w:t>
      </w:r>
      <w:bookmarkStart w:id="10" w:name="fnref1_2"/>
      <w:bookmarkStart w:id="11" w:name="fnref2_4"/>
      <w:bookmarkEnd w:id="10"/>
      <w:bookmarkEnd w:id="11"/>
      <w:r w:rsidR="00C23A5F">
        <w:rPr>
          <w:rFonts w:ascii="source serif 4" w:eastAsia="source serif 4" w:hAnsi="source serif 4" w:cs="source serif 4"/>
          <w:color w:val="000000"/>
        </w:rPr>
        <w:br/>
      </w:r>
      <w:r w:rsidR="00FA3368">
        <w:rPr>
          <w:rFonts w:ascii="source serif 4" w:eastAsia="source serif 4" w:hAnsi="source serif 4" w:cs="source serif 4"/>
          <w:color w:val="000000"/>
        </w:rPr>
        <w:t xml:space="preserve"> </w:t>
      </w:r>
      <w:r w:rsidR="00C40415">
        <w:rPr>
          <w:noProof/>
        </w:rPr>
        <w:drawing>
          <wp:inline distT="0" distB="0" distL="0" distR="0" wp14:anchorId="4FE94DD3" wp14:editId="45B374A9">
            <wp:extent cx="5581650" cy="1800225"/>
            <wp:effectExtent l="0" t="0" r="0" b="0"/>
            <wp:docPr id="241039461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BA06A7C3-2177-4806-B7A9-74FD5BABAA83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</wp:inline>
        </w:drawing>
      </w:r>
      <w:r>
        <w:rPr>
          <w:rFonts w:ascii="source serif 4" w:eastAsia="source serif 4" w:hAnsi="source serif 4" w:cs="source serif 4"/>
          <w:color w:val="000000"/>
        </w:rPr>
        <w:br/>
      </w:r>
      <w:r>
        <w:rPr>
          <w:rFonts w:ascii="source serif 4" w:eastAsia="source serif 4" w:hAnsi="source serif 4" w:cs="source serif 4"/>
          <w:b/>
          <w:color w:val="000000"/>
        </w:rPr>
        <w:t>Acción:</w:t>
      </w:r>
      <w:r>
        <w:rPr>
          <w:rFonts w:ascii="source serif 4" w:eastAsia="source serif 4" w:hAnsi="source serif 4" w:cs="source serif 4"/>
          <w:color w:val="000000"/>
        </w:rPr>
        <w:t xml:space="preserve"> priorizar canales más estables y baratos, y reducir el uso de los que generen más fricción o retrasos.</w:t>
      </w:r>
    </w:p>
    <w:p w14:paraId="14B721E6" w14:textId="77777777" w:rsidR="00592112" w:rsidRDefault="00000000">
      <w:pPr>
        <w:spacing w:before="315" w:after="105" w:line="360" w:lineRule="auto"/>
        <w:ind w:left="-30"/>
      </w:pPr>
      <w:bookmarkStart w:id="12" w:name="bm_5_diferencias_por_país"/>
      <w:r>
        <w:rPr>
          <w:rFonts w:ascii="source serif 4" w:eastAsia="source serif 4" w:hAnsi="source serif 4" w:cs="source serif 4"/>
          <w:b/>
          <w:color w:val="000000"/>
          <w:sz w:val="24"/>
        </w:rPr>
        <w:t>5) Diferencias por país</w:t>
      </w:r>
      <w:bookmarkEnd w:id="12"/>
    </w:p>
    <w:p w14:paraId="509C2FD3" w14:textId="446862D3" w:rsidR="00592112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Aunque la mayoría de operaciones parecen estar en </w:t>
      </w:r>
      <w:r>
        <w:rPr>
          <w:rFonts w:ascii="source serif 4" w:eastAsia="source serif 4" w:hAnsi="source serif 4" w:cs="source serif 4"/>
          <w:b/>
          <w:color w:val="000000"/>
        </w:rPr>
        <w:t>España</w:t>
      </w:r>
      <w:r>
        <w:rPr>
          <w:rFonts w:ascii="source serif 4" w:eastAsia="source serif 4" w:hAnsi="source serif 4" w:cs="source serif 4"/>
          <w:color w:val="000000"/>
        </w:rPr>
        <w:t xml:space="preserve">, también hay registros en </w:t>
      </w:r>
      <w:r>
        <w:rPr>
          <w:rFonts w:ascii="source serif 4" w:eastAsia="source serif 4" w:hAnsi="source serif 4" w:cs="source serif 4"/>
          <w:b/>
          <w:color w:val="000000"/>
        </w:rPr>
        <w:t>Francia y Portugal</w:t>
      </w:r>
      <w:r>
        <w:rPr>
          <w:rFonts w:ascii="source serif 4" w:eastAsia="source serif 4" w:hAnsi="source serif 4" w:cs="source serif 4"/>
          <w:color w:val="000000"/>
        </w:rPr>
        <w:t>. Eso permite comparar comportamiento financiero por país y detectar si hay mercados con más rechazo, cancelación o retraso.</w:t>
      </w:r>
      <w:bookmarkStart w:id="13" w:name="fnref2_5"/>
      <w:bookmarkEnd w:id="13"/>
      <w:r w:rsidR="00134C44">
        <w:br/>
      </w:r>
      <w:r w:rsidR="00134C44">
        <w:rPr>
          <w:rFonts w:ascii="source serif 4" w:eastAsia="source serif 4" w:hAnsi="source serif 4" w:cs="source serif 4"/>
          <w:color w:val="000000"/>
        </w:rPr>
        <w:t xml:space="preserve"> </w:t>
      </w:r>
      <w:r w:rsidR="003E5CC7">
        <w:rPr>
          <w:noProof/>
        </w:rPr>
        <w:lastRenderedPageBreak/>
        <w:drawing>
          <wp:inline distT="0" distB="0" distL="0" distR="0" wp14:anchorId="73A413EA" wp14:editId="50FF2CAE">
            <wp:extent cx="6057900" cy="1504950"/>
            <wp:effectExtent l="0" t="0" r="0" b="0"/>
            <wp:docPr id="2116876692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505E1C41-7670-4886-9D18-406F9B28ACE8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</wp:inline>
        </w:drawing>
      </w:r>
      <w:r>
        <w:rPr>
          <w:rFonts w:ascii="source serif 4" w:eastAsia="source serif 4" w:hAnsi="source serif 4" w:cs="source serif 4"/>
          <w:color w:val="000000"/>
        </w:rPr>
        <w:br/>
      </w:r>
      <w:r>
        <w:rPr>
          <w:rFonts w:ascii="source serif 4" w:eastAsia="source serif 4" w:hAnsi="source serif 4" w:cs="source serif 4"/>
          <w:b/>
          <w:color w:val="000000"/>
        </w:rPr>
        <w:t>Acción:</w:t>
      </w:r>
      <w:r>
        <w:rPr>
          <w:rFonts w:ascii="source serif 4" w:eastAsia="source serif 4" w:hAnsi="source serif 4" w:cs="source serif 4"/>
          <w:color w:val="000000"/>
        </w:rPr>
        <w:t xml:space="preserve"> comparar tasas de pago y estado por país para ajustar políticas operativas o de cobro.</w:t>
      </w:r>
    </w:p>
    <w:p w14:paraId="12E37F22" w14:textId="77777777" w:rsidR="00592112" w:rsidRDefault="00000000">
      <w:pPr>
        <w:spacing w:before="315" w:after="105" w:line="360" w:lineRule="auto"/>
        <w:ind w:left="-30"/>
      </w:pPr>
      <w:bookmarkStart w:id="14" w:name="bm_6_mezcla_de_ingresos_y_gastos"/>
      <w:r>
        <w:rPr>
          <w:rFonts w:ascii="source serif 4" w:eastAsia="source serif 4" w:hAnsi="source serif 4" w:cs="source serif 4"/>
          <w:b/>
          <w:color w:val="000000"/>
          <w:sz w:val="24"/>
        </w:rPr>
        <w:t>6) Mezcla de ingresos y gastos</w:t>
      </w:r>
      <w:bookmarkEnd w:id="14"/>
    </w:p>
    <w:p w14:paraId="3C90E7C9" w14:textId="0C75ACAA" w:rsidR="00592112" w:rsidRDefault="00D87317">
      <w:pPr>
        <w:spacing w:after="210" w:line="360" w:lineRule="auto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66FFF31D" wp14:editId="189D17BC">
                <wp:simplePos x="0" y="0"/>
                <wp:positionH relativeFrom="column">
                  <wp:posOffset>0</wp:posOffset>
                </wp:positionH>
                <wp:positionV relativeFrom="paragraph">
                  <wp:posOffset>469265</wp:posOffset>
                </wp:positionV>
                <wp:extent cx="6548755" cy="2479675"/>
                <wp:effectExtent l="0" t="0" r="4445" b="0"/>
                <wp:wrapTopAndBottom/>
                <wp:docPr id="26" name="Group 25">
                  <a:extLst xmlns:a="http://schemas.openxmlformats.org/drawingml/2006/main">
                    <a:ext uri="{FF2B5EF4-FFF2-40B4-BE49-F238E27FC236}">
                      <a16:creationId xmlns:a16="http://schemas.microsoft.com/office/drawing/2014/main" id="{3C6768A4-9152-67DE-F7E7-4AEB8B59F502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48755" cy="2479675"/>
                          <a:chOff x="0" y="0"/>
                          <a:chExt cx="6840472" cy="2480292"/>
                        </a:xfrm>
                      </wpg:grpSpPr>
                      <wpg:graphicFrame>
                        <wpg:cNvPr id="309964494" name="Chart 309964494">
                          <a:extLst>
                            <a:ext uri="{FF2B5EF4-FFF2-40B4-BE49-F238E27FC236}">
                              <a16:creationId xmlns:a16="http://schemas.microsoft.com/office/drawing/2014/main" id="{E57E4A3D-9E60-4735-B82A-84E7118131E8}"/>
                            </a:ext>
                          </a:extLst>
                        </wpg:cNvPr>
                        <wpg:cNvFrPr>
                          <a:graphicFrameLocks/>
                        </wpg:cNvFrPr>
                        <wpg:xfrm>
                          <a:off x="240" y="370384"/>
                          <a:ext cx="3348078" cy="2109908"/>
                        </wpg:xfrm>
                        <a:graphic>
                          <a:graphicData uri="http://schemas.openxmlformats.org/drawingml/2006/chart">
                            <c:chart xmlns:c="http://schemas.openxmlformats.org/drawingml/2006/chart" xmlns:r="http://schemas.openxmlformats.org/officeDocument/2006/relationships" r:id="rId12"/>
                          </a:graphicData>
                        </a:graphic>
                      </wpg:graphicFrame>
                      <wpg:graphicFrame>
                        <wpg:cNvPr id="438500699" name="Chart 438500699">
                          <a:extLst>
                            <a:ext uri="{FF2B5EF4-FFF2-40B4-BE49-F238E27FC236}">
                              <a16:creationId xmlns:a16="http://schemas.microsoft.com/office/drawing/2014/main" id="{CD64AA6C-B834-4BF9-A8A9-B2FD9E258B4B}"/>
                            </a:ext>
                          </a:extLst>
                        </wpg:cNvPr>
                        <wpg:cNvFrPr>
                          <a:graphicFrameLocks/>
                        </wpg:cNvFrPr>
                        <wpg:xfrm>
                          <a:off x="3525772" y="352214"/>
                          <a:ext cx="3314700" cy="2128078"/>
                        </wpg:xfrm>
                        <a:graphic>
                          <a:graphicData uri="http://schemas.openxmlformats.org/drawingml/2006/chart">
                            <c:chart xmlns:c="http://schemas.openxmlformats.org/drawingml/2006/chart" xmlns:r="http://schemas.openxmlformats.org/officeDocument/2006/relationships" r:id="rId13"/>
                          </a:graphicData>
                        </a:graphic>
                      </wpg:graphicFrame>
                      <wps:wsp>
                        <wps:cNvPr id="118730342" name="TextBox 23">
                          <a:extLst>
                            <a:ext uri="{FF2B5EF4-FFF2-40B4-BE49-F238E27FC236}">
                              <a16:creationId xmlns:a16="http://schemas.microsoft.com/office/drawing/2014/main" id="{0D2C30DB-AF61-4BE7-AFBD-CF27488DD60B}"/>
                            </a:ext>
                          </a:extLst>
                        </wps:cNvPr>
                        <wps:cNvSpPr txBox="1"/>
                        <wps:spPr>
                          <a:xfrm>
                            <a:off x="0" y="880"/>
                            <a:ext cx="3352800" cy="369503"/>
                          </a:xfrm>
                          <a:prstGeom prst="rect">
                            <a:avLst/>
                          </a:prstGeom>
                          <a:solidFill>
                            <a:srgbClr val="212D3F"/>
                          </a:solidFill>
                          <a:ln w="9525" cmpd="sng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1431A6D" w14:textId="77777777" w:rsidR="00D87317" w:rsidRDefault="00D87317" w:rsidP="00D87317">
                              <w:pPr>
                                <w:rPr>
                                  <w:rFonts w:ascii="Arial" w:hAnsi="Arial" w:cs="Arial"/>
                                  <w:color w:val="FFFFFF" w:themeColor="background1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FFFFFF" w:themeColor="background1"/>
                                  <w:sz w:val="16"/>
                                  <w:szCs w:val="16"/>
                                </w:rPr>
                                <w:t>Margen Neto x Categoría</w:t>
                              </w:r>
                            </w:p>
                            <w:p w14:paraId="6659B0A5" w14:textId="77777777" w:rsidR="00D87317" w:rsidRDefault="00D87317" w:rsidP="00D87317">
                              <w:pPr>
                                <w:rPr>
                                  <w:rFonts w:ascii="Arial" w:hAnsi="Arial" w:cs="Arial"/>
                                  <w:color w:val="FFFFFF" w:themeColor="background1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FFFFFF" w:themeColor="background1"/>
                                  <w:sz w:val="14"/>
                                  <w:szCs w:val="14"/>
                                </w:rPr>
                                <w:t>¿Qué categorías son más rentables?</w:t>
                              </w:r>
                            </w:p>
                          </w:txbxContent>
                        </wps:txbx>
                        <wps:bodyPr wrap="square" rtlCol="0" anchor="t"/>
                      </wps:wsp>
                      <wps:wsp>
                        <wps:cNvPr id="1438973528" name="TextBox 24">
                          <a:extLst>
                            <a:ext uri="{FF2B5EF4-FFF2-40B4-BE49-F238E27FC236}">
                              <a16:creationId xmlns:a16="http://schemas.microsoft.com/office/drawing/2014/main" id="{1337E5D9-3D50-490E-B136-44C895F6982C}"/>
                            </a:ext>
                          </a:extLst>
                        </wps:cNvPr>
                        <wps:cNvSpPr txBox="1"/>
                        <wps:spPr>
                          <a:xfrm>
                            <a:off x="3525772" y="0"/>
                            <a:ext cx="3314700" cy="352214"/>
                          </a:xfrm>
                          <a:prstGeom prst="rect">
                            <a:avLst/>
                          </a:prstGeom>
                          <a:solidFill>
                            <a:srgbClr val="212D3F"/>
                          </a:solidFill>
                          <a:ln w="9525" cmpd="sng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9DA9D1C" w14:textId="77777777" w:rsidR="00D87317" w:rsidRDefault="00D87317" w:rsidP="00D87317">
                              <w:pPr>
                                <w:rPr>
                                  <w:rFonts w:ascii="Arial" w:hAnsi="Arial" w:cs="Arial"/>
                                  <w:color w:val="FFFFFF" w:themeColor="background1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FFFFFF" w:themeColor="background1"/>
                                  <w:sz w:val="16"/>
                                  <w:szCs w:val="16"/>
                                </w:rPr>
                                <w:t>Margen Neto %</w:t>
                              </w:r>
                            </w:p>
                            <w:p w14:paraId="72C9F59D" w14:textId="77777777" w:rsidR="00D87317" w:rsidRDefault="00D87317" w:rsidP="00D87317">
                              <w:pPr>
                                <w:rPr>
                                  <w:rFonts w:ascii="Arial" w:hAnsi="Arial" w:cs="Arial"/>
                                  <w:color w:val="FFFFFF" w:themeColor="background1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FFFFFF" w:themeColor="background1"/>
                                  <w:sz w:val="14"/>
                                  <w:szCs w:val="14"/>
                                </w:rPr>
                                <w:t>¿Qué categorías sostienen el beneficio total?</w:t>
                              </w:r>
                            </w:p>
                          </w:txbxContent>
                        </wps:txbx>
                        <wps:bodyPr wrap="square" rtlCol="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6FFF31D" id="Group 25" o:spid="_x0000_s1029" style="position:absolute;margin-left:0;margin-top:36.95pt;width:515.65pt;height:195.25pt;z-index:251667456" coordsize="68404,24802" o:gfxdata="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">
                <v:shape id="Chart 309964494" o:spid="_x0000_s1030" type="#_x0000_t75" style="position:absolute;top:3719;width:33493;height:21097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">
                  <v:imagedata r:id="rId14" o:title=""/>
                  <o:lock v:ext="edit" aspectratio="f"/>
                </v:shape>
                <v:shape id="Chart 438500699" o:spid="_x0000_s1031" type="#_x0000_t75" style="position:absolute;left:35212;top:3536;width:33175;height:2128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">
                  <v:imagedata r:id="rId15" o:title=""/>
                  <o:lock v:ext="edit" aspectratio="f"/>
                </v:shape>
                <v:shape id="TextBox 23" o:spid="_x0000_s1032" type="#_x0000_t202" style="position:absolute;top:8;width:33528;height:36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" fillcolor="#212d3f" stroked="f">
                  <v:textbox>
                    <w:txbxContent>
                      <w:p w14:paraId="61431A6D" w14:textId="77777777" w:rsidR="00D87317" w:rsidRDefault="00D87317" w:rsidP="00D87317">
                        <w:pPr>
                          <w:rPr>
                            <w:rFonts w:ascii="Arial" w:hAnsi="Arial" w:cs="Arial"/>
                            <w:color w:val="FFFFFF" w:themeColor="background1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hAnsi="Arial" w:cs="Arial"/>
                            <w:color w:val="FFFFFF" w:themeColor="background1"/>
                            <w:sz w:val="16"/>
                            <w:szCs w:val="16"/>
                          </w:rPr>
                          <w:t>Margen Neto x Categoría</w:t>
                        </w:r>
                      </w:p>
                      <w:p w14:paraId="6659B0A5" w14:textId="77777777" w:rsidR="00D87317" w:rsidRDefault="00D87317" w:rsidP="00D87317">
                        <w:pPr>
                          <w:rPr>
                            <w:rFonts w:ascii="Arial" w:hAnsi="Arial" w:cs="Arial"/>
                            <w:color w:val="FFFFFF" w:themeColor="background1"/>
                            <w:sz w:val="14"/>
                            <w:szCs w:val="14"/>
                          </w:rPr>
                        </w:pPr>
                        <w:r>
                          <w:rPr>
                            <w:rFonts w:ascii="Arial" w:hAnsi="Arial" w:cs="Arial"/>
                            <w:color w:val="FFFFFF" w:themeColor="background1"/>
                            <w:sz w:val="14"/>
                            <w:szCs w:val="14"/>
                          </w:rPr>
                          <w:t>¿Qué categorías son más rentables?</w:t>
                        </w:r>
                      </w:p>
                    </w:txbxContent>
                  </v:textbox>
                </v:shape>
                <v:shape id="TextBox 24" o:spid="_x0000_s1033" type="#_x0000_t202" style="position:absolute;left:35257;width:33147;height:35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" fillcolor="#212d3f" stroked="f">
                  <v:textbox>
                    <w:txbxContent>
                      <w:p w14:paraId="19DA9D1C" w14:textId="77777777" w:rsidR="00D87317" w:rsidRDefault="00D87317" w:rsidP="00D87317">
                        <w:pPr>
                          <w:rPr>
                            <w:rFonts w:ascii="Arial" w:hAnsi="Arial" w:cs="Arial"/>
                            <w:color w:val="FFFFFF" w:themeColor="background1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hAnsi="Arial" w:cs="Arial"/>
                            <w:color w:val="FFFFFF" w:themeColor="background1"/>
                            <w:sz w:val="16"/>
                            <w:szCs w:val="16"/>
                          </w:rPr>
                          <w:t>Margen Neto %</w:t>
                        </w:r>
                      </w:p>
                      <w:p w14:paraId="72C9F59D" w14:textId="77777777" w:rsidR="00D87317" w:rsidRDefault="00D87317" w:rsidP="00D87317">
                        <w:pPr>
                          <w:rPr>
                            <w:rFonts w:ascii="Arial" w:hAnsi="Arial" w:cs="Arial"/>
                            <w:color w:val="FFFFFF" w:themeColor="background1"/>
                            <w:sz w:val="14"/>
                            <w:szCs w:val="14"/>
                          </w:rPr>
                        </w:pPr>
                        <w:r>
                          <w:rPr>
                            <w:rFonts w:ascii="Arial" w:hAnsi="Arial" w:cs="Arial"/>
                            <w:color w:val="FFFFFF" w:themeColor="background1"/>
                            <w:sz w:val="14"/>
                            <w:szCs w:val="14"/>
                          </w:rPr>
                          <w:t>¿Qué categorías sostienen el beneficio total?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r w:rsidR="00000000">
        <w:rPr>
          <w:rFonts w:ascii="source serif 4" w:eastAsia="source serif 4" w:hAnsi="source serif 4" w:cs="source serif 4"/>
          <w:color w:val="000000"/>
        </w:rPr>
        <w:t xml:space="preserve">El </w:t>
      </w:r>
      <w:proofErr w:type="spellStart"/>
      <w:r w:rsidR="00000000">
        <w:rPr>
          <w:rFonts w:ascii="source serif 4" w:eastAsia="source serif 4" w:hAnsi="source serif 4" w:cs="source serif 4"/>
          <w:color w:val="000000"/>
        </w:rPr>
        <w:t>dataset</w:t>
      </w:r>
      <w:proofErr w:type="spellEnd"/>
      <w:r w:rsidR="00000000">
        <w:rPr>
          <w:rFonts w:ascii="source serif 4" w:eastAsia="source serif 4" w:hAnsi="source serif 4" w:cs="source serif 4"/>
          <w:color w:val="000000"/>
        </w:rPr>
        <w:t xml:space="preserve"> incluye ambos tipos de movimiento: </w:t>
      </w:r>
      <w:r w:rsidR="00000000">
        <w:rPr>
          <w:rFonts w:ascii="source serif 4" w:eastAsia="source serif 4" w:hAnsi="source serif 4" w:cs="source serif 4"/>
          <w:b/>
          <w:color w:val="000000"/>
        </w:rPr>
        <w:t>Ingreso</w:t>
      </w:r>
      <w:r w:rsidR="00000000">
        <w:rPr>
          <w:rFonts w:ascii="source serif 4" w:eastAsia="source serif 4" w:hAnsi="source serif 4" w:cs="source serif 4"/>
          <w:color w:val="000000"/>
        </w:rPr>
        <w:t xml:space="preserve"> y </w:t>
      </w:r>
      <w:r w:rsidR="00000000">
        <w:rPr>
          <w:rFonts w:ascii="source serif 4" w:eastAsia="source serif 4" w:hAnsi="source serif 4" w:cs="source serif 4"/>
          <w:b/>
          <w:color w:val="000000"/>
        </w:rPr>
        <w:t>Gasto</w:t>
      </w:r>
      <w:r w:rsidR="00000000">
        <w:rPr>
          <w:rFonts w:ascii="source serif 4" w:eastAsia="source serif 4" w:hAnsi="source serif 4" w:cs="source serif 4"/>
          <w:color w:val="000000"/>
        </w:rPr>
        <w:t xml:space="preserve">. Eso permite calcular </w:t>
      </w:r>
      <w:r w:rsidR="00DE4BE3">
        <w:rPr>
          <w:rFonts w:ascii="source serif 4" w:eastAsia="source serif 4" w:hAnsi="source serif 4" w:cs="source serif 4"/>
          <w:color w:val="000000"/>
        </w:rPr>
        <w:t>M</w:t>
      </w:r>
      <w:r w:rsidR="00000000">
        <w:rPr>
          <w:rFonts w:ascii="source serif 4" w:eastAsia="source serif 4" w:hAnsi="source serif 4" w:cs="source serif 4"/>
          <w:color w:val="000000"/>
        </w:rPr>
        <w:t xml:space="preserve">argen </w:t>
      </w:r>
      <w:r w:rsidR="00DE4BE3">
        <w:rPr>
          <w:rFonts w:ascii="source serif 4" w:eastAsia="source serif 4" w:hAnsi="source serif 4" w:cs="source serif 4"/>
          <w:color w:val="000000"/>
        </w:rPr>
        <w:t>N</w:t>
      </w:r>
      <w:r w:rsidR="00000000">
        <w:rPr>
          <w:rFonts w:ascii="source serif 4" w:eastAsia="source serif 4" w:hAnsi="source serif 4" w:cs="source serif 4"/>
          <w:color w:val="000000"/>
        </w:rPr>
        <w:t xml:space="preserve">eto por </w:t>
      </w:r>
      <w:r w:rsidR="00000000" w:rsidRPr="005469C0">
        <w:rPr>
          <w:rFonts w:ascii="Consolas" w:eastAsia="source serif 4" w:hAnsi="Consolas" w:cs="source serif 4"/>
          <w:color w:val="000000"/>
          <w:highlight w:val="darkGray"/>
        </w:rPr>
        <w:t>empresa</w:t>
      </w:r>
      <w:r w:rsidR="00000000">
        <w:rPr>
          <w:rFonts w:ascii="source serif 4" w:eastAsia="source serif 4" w:hAnsi="source serif 4" w:cs="source serif 4"/>
          <w:color w:val="000000"/>
        </w:rPr>
        <w:t xml:space="preserve">, mes, </w:t>
      </w:r>
      <w:r w:rsidR="00000000" w:rsidRPr="005469C0">
        <w:rPr>
          <w:rFonts w:ascii="Consolas" w:eastAsia="source serif 4" w:hAnsi="Consolas" w:cs="source serif 4"/>
          <w:color w:val="000000"/>
          <w:highlight w:val="darkGray"/>
        </w:rPr>
        <w:t>país</w:t>
      </w:r>
      <w:r w:rsidR="00000000">
        <w:rPr>
          <w:rFonts w:ascii="source serif 4" w:eastAsia="source serif 4" w:hAnsi="source serif 4" w:cs="source serif 4"/>
          <w:color w:val="000000"/>
        </w:rPr>
        <w:t xml:space="preserve"> y </w:t>
      </w:r>
      <w:r w:rsidR="00000000" w:rsidRPr="005469C0">
        <w:rPr>
          <w:rFonts w:ascii="Consolas" w:eastAsia="source serif 4" w:hAnsi="Consolas" w:cs="source serif 4"/>
          <w:color w:val="000000"/>
          <w:highlight w:val="darkGray"/>
        </w:rPr>
        <w:t>categoría</w:t>
      </w:r>
      <w:r w:rsidR="00000000">
        <w:rPr>
          <w:rFonts w:ascii="source serif 4" w:eastAsia="source serif 4" w:hAnsi="source serif 4" w:cs="source serif 4"/>
          <w:color w:val="000000"/>
        </w:rPr>
        <w:t>, que es uno de los análisis más útiles para dirección.</w:t>
      </w:r>
      <w:bookmarkStart w:id="15" w:name="fnref1_3"/>
      <w:bookmarkStart w:id="16" w:name="fnref2_6"/>
      <w:bookmarkEnd w:id="15"/>
      <w:bookmarkEnd w:id="16"/>
      <w:r w:rsidR="00AA4DF3">
        <w:rPr>
          <w:rFonts w:ascii="source serif 4" w:eastAsia="source serif 4" w:hAnsi="source serif 4" w:cs="source serif 4"/>
          <w:color w:val="000000"/>
        </w:rPr>
        <w:br/>
      </w:r>
      <w:r w:rsidR="00000000">
        <w:rPr>
          <w:rFonts w:ascii="source serif 4" w:eastAsia="source serif 4" w:hAnsi="source serif 4" w:cs="source serif 4"/>
          <w:color w:val="000000"/>
        </w:rPr>
        <w:br/>
      </w:r>
      <w:r w:rsidR="00000000">
        <w:rPr>
          <w:rFonts w:ascii="source serif 4" w:eastAsia="source serif 4" w:hAnsi="source serif 4" w:cs="source serif 4"/>
          <w:b/>
          <w:color w:val="000000"/>
        </w:rPr>
        <w:t>Acción:</w:t>
      </w:r>
      <w:r w:rsidR="00000000">
        <w:rPr>
          <w:rFonts w:ascii="source serif 4" w:eastAsia="source serif 4" w:hAnsi="source serif 4" w:cs="source serif 4"/>
          <w:color w:val="000000"/>
        </w:rPr>
        <w:t xml:space="preserve"> identificar qué empresas o líneas de negocio generan margen positivo y cuáles destruyen rentabilidad.</w:t>
      </w:r>
    </w:p>
    <w:p w14:paraId="1E18D8D9" w14:textId="77777777" w:rsidR="00592112" w:rsidRDefault="00000000">
      <w:pPr>
        <w:spacing w:before="315" w:after="105" w:line="360" w:lineRule="auto"/>
        <w:ind w:left="-30"/>
      </w:pPr>
      <w:bookmarkStart w:id="17" w:name="bm_7_señales_de_control_interno"/>
      <w:r>
        <w:rPr>
          <w:rFonts w:ascii="source serif 4" w:eastAsia="source serif 4" w:hAnsi="source serif 4" w:cs="source serif 4"/>
          <w:b/>
          <w:color w:val="000000"/>
          <w:sz w:val="24"/>
        </w:rPr>
        <w:t>7) Señales de control interno</w:t>
      </w:r>
      <w:bookmarkEnd w:id="17"/>
    </w:p>
    <w:p w14:paraId="3A43B39B" w14:textId="6BDBF9DF" w:rsidR="00592112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Hay estados como </w:t>
      </w:r>
      <w:r>
        <w:rPr>
          <w:rFonts w:ascii="source serif 4" w:eastAsia="source serif 4" w:hAnsi="source serif 4" w:cs="source serif 4"/>
          <w:b/>
          <w:color w:val="000000"/>
        </w:rPr>
        <w:t>Cancelado</w:t>
      </w:r>
      <w:r>
        <w:rPr>
          <w:rFonts w:ascii="source serif 4" w:eastAsia="source serif 4" w:hAnsi="source serif 4" w:cs="source serif 4"/>
          <w:color w:val="000000"/>
        </w:rPr>
        <w:t xml:space="preserve"> y </w:t>
      </w:r>
      <w:r>
        <w:rPr>
          <w:rFonts w:ascii="source serif 4" w:eastAsia="source serif 4" w:hAnsi="source serif 4" w:cs="source serif 4"/>
          <w:b/>
          <w:color w:val="000000"/>
        </w:rPr>
        <w:t>Rechazado</w:t>
      </w:r>
      <w:r>
        <w:rPr>
          <w:rFonts w:ascii="source serif 4" w:eastAsia="source serif 4" w:hAnsi="source serif 4" w:cs="source serif 4"/>
          <w:color w:val="000000"/>
        </w:rPr>
        <w:t>, además de descripciones y referencias externas. Eso permite analizar fallos de proceso, incidencias de aprobación o problemas de validación documental.</w:t>
      </w:r>
      <w:bookmarkStart w:id="18" w:name="fnref2_7"/>
      <w:bookmarkEnd w:id="18"/>
      <w:r w:rsidR="004B6111">
        <w:br/>
      </w:r>
      <w:r w:rsidR="004B6111">
        <w:rPr>
          <w:rFonts w:ascii="source serif 4" w:eastAsia="source serif 4" w:hAnsi="source serif 4" w:cs="source serif 4"/>
          <w:color w:val="000000"/>
        </w:rPr>
        <w:t xml:space="preserve"> </w:t>
      </w:r>
      <w:r w:rsidR="009A26E2">
        <w:rPr>
          <w:noProof/>
        </w:rPr>
        <w:drawing>
          <wp:anchor distT="0" distB="0" distL="114300" distR="114300" simplePos="0" relativeHeight="251668480" behindDoc="1" locked="0" layoutInCell="1" allowOverlap="1" wp14:anchorId="710DD9EB" wp14:editId="4D77845A">
            <wp:simplePos x="0" y="0"/>
            <wp:positionH relativeFrom="column">
              <wp:posOffset>28575</wp:posOffset>
            </wp:positionH>
            <wp:positionV relativeFrom="paragraph">
              <wp:posOffset>473075</wp:posOffset>
            </wp:positionV>
            <wp:extent cx="3208655" cy="1020445"/>
            <wp:effectExtent l="0" t="0" r="0" b="8255"/>
            <wp:wrapTight wrapText="bothSides">
              <wp:wrapPolygon edited="0">
                <wp:start x="0" y="0"/>
                <wp:lineTo x="0" y="21371"/>
                <wp:lineTo x="21416" y="21371"/>
                <wp:lineTo x="21416" y="0"/>
                <wp:lineTo x="0" y="0"/>
              </wp:wrapPolygon>
            </wp:wrapTight>
            <wp:docPr id="1633117254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2F874FA3-C618-4F7E-B0BF-003C2D7A103E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6"/>
              </a:graphicData>
            </a:graphic>
          </wp:anchor>
        </w:drawing>
      </w:r>
      <w:r>
        <w:rPr>
          <w:rFonts w:ascii="source serif 4" w:eastAsia="source serif 4" w:hAnsi="source serif 4" w:cs="source serif 4"/>
          <w:color w:val="000000"/>
        </w:rPr>
        <w:br/>
      </w:r>
      <w:r>
        <w:rPr>
          <w:rFonts w:ascii="source serif 4" w:eastAsia="source serif 4" w:hAnsi="source serif 4" w:cs="source serif 4"/>
          <w:b/>
          <w:color w:val="000000"/>
        </w:rPr>
        <w:t>Acción:</w:t>
      </w:r>
      <w:r>
        <w:rPr>
          <w:rFonts w:ascii="source serif 4" w:eastAsia="source serif 4" w:hAnsi="source serif 4" w:cs="source serif 4"/>
          <w:color w:val="000000"/>
        </w:rPr>
        <w:t xml:space="preserve"> medir la tasa de rechazo/cancelación y buscar patrones por proveedor, canal de pago o centro de coste.</w:t>
      </w:r>
    </w:p>
    <w:p w14:paraId="65B612FA" w14:textId="77777777" w:rsidR="009A26E2" w:rsidRDefault="009A26E2">
      <w:pPr>
        <w:spacing w:before="315" w:after="105" w:line="360" w:lineRule="auto"/>
        <w:ind w:left="-30"/>
        <w:rPr>
          <w:rFonts w:ascii="source serif 4" w:eastAsia="source serif 4" w:hAnsi="source serif 4" w:cs="source serif 4"/>
          <w:b/>
          <w:color w:val="000000"/>
          <w:sz w:val="24"/>
        </w:rPr>
      </w:pPr>
      <w:bookmarkStart w:id="19" w:name="bm_8_relación_entre_centro_de_cos_2a314f"/>
    </w:p>
    <w:p w14:paraId="524E12AE" w14:textId="7D1D3CE5" w:rsidR="00592112" w:rsidRDefault="00000000">
      <w:pPr>
        <w:spacing w:before="315" w:after="105" w:line="360" w:lineRule="auto"/>
        <w:ind w:left="-30"/>
      </w:pPr>
      <w:r>
        <w:rPr>
          <w:rFonts w:ascii="source serif 4" w:eastAsia="source serif 4" w:hAnsi="source serif 4" w:cs="source serif 4"/>
          <w:b/>
          <w:color w:val="000000"/>
          <w:sz w:val="24"/>
        </w:rPr>
        <w:lastRenderedPageBreak/>
        <w:t>8) Relación entre centro de coste y desempeño</w:t>
      </w:r>
      <w:bookmarkEnd w:id="19"/>
    </w:p>
    <w:p w14:paraId="182F8118" w14:textId="3A1D0E24" w:rsidR="00592112" w:rsidRDefault="00E3376E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Se tiene campos de </w:t>
      </w:r>
      <w:proofErr w:type="spellStart"/>
      <w:r w:rsidRPr="00B37EE1">
        <w:rPr>
          <w:rFonts w:ascii="Consolas" w:eastAsia="source serif 4" w:hAnsi="Consolas" w:cs="source serif 4"/>
          <w:bCs/>
          <w:color w:val="000000"/>
          <w:highlight w:val="darkGray"/>
        </w:rPr>
        <w:t>centro</w:t>
      </w:r>
      <w:r w:rsidR="00B616FF" w:rsidRPr="00B37EE1">
        <w:rPr>
          <w:rFonts w:ascii="Consolas" w:eastAsia="source serif 4" w:hAnsi="Consolas" w:cs="source serif 4"/>
          <w:bCs/>
          <w:color w:val="000000"/>
          <w:highlight w:val="darkGray"/>
        </w:rPr>
        <w:t>_</w:t>
      </w:r>
      <w:r w:rsidRPr="00B37EE1">
        <w:rPr>
          <w:rFonts w:ascii="Consolas" w:eastAsia="source serif 4" w:hAnsi="Consolas" w:cs="source serif 4"/>
          <w:bCs/>
          <w:color w:val="000000"/>
          <w:highlight w:val="darkGray"/>
        </w:rPr>
        <w:t>coste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 como Dirección, Comercial, Operaciones, Finanzas, TI y RRHH. Eso permite saber qué área absorbe más gasto o genera más ingreso, y así evaluar eficiencia interna.</w:t>
      </w:r>
      <w:bookmarkStart w:id="20" w:name="fnref1_4"/>
      <w:bookmarkStart w:id="21" w:name="fnref2_8"/>
      <w:bookmarkEnd w:id="20"/>
      <w:bookmarkEnd w:id="21"/>
      <w:r w:rsidR="003528A5">
        <w:br/>
      </w:r>
      <w:r w:rsidR="00EF6798">
        <w:rPr>
          <w:rFonts w:ascii="source serif 4" w:eastAsia="source serif 4" w:hAnsi="source serif 4" w:cs="source serif 4"/>
          <w:color w:val="000000"/>
        </w:rPr>
        <w:t xml:space="preserve"> </w:t>
      </w:r>
      <w:r w:rsidR="00267BD6">
        <w:rPr>
          <w:noProof/>
        </w:rPr>
        <mc:AlternateContent>
          <mc:Choice Requires="wpg">
            <w:drawing>
              <wp:anchor distT="0" distB="0" distL="114300" distR="114300" simplePos="0" relativeHeight="251670528" behindDoc="0" locked="0" layoutInCell="1" allowOverlap="1" wp14:anchorId="07B4476F" wp14:editId="5FA9CC91">
                <wp:simplePos x="0" y="0"/>
                <wp:positionH relativeFrom="column">
                  <wp:posOffset>0</wp:posOffset>
                </wp:positionH>
                <wp:positionV relativeFrom="paragraph">
                  <wp:posOffset>474980</wp:posOffset>
                </wp:positionV>
                <wp:extent cx="6539865" cy="2480310"/>
                <wp:effectExtent l="0" t="0" r="0" b="0"/>
                <wp:wrapTopAndBottom/>
                <wp:docPr id="36" name="Group 35">
                  <a:extLst xmlns:a="http://schemas.openxmlformats.org/drawingml/2006/main">
                    <a:ext uri="{FF2B5EF4-FFF2-40B4-BE49-F238E27FC236}">
                      <a16:creationId xmlns:a16="http://schemas.microsoft.com/office/drawing/2014/main" id="{982AEC1E-D92D-79E9-2196-7078A344B206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39865" cy="2480310"/>
                          <a:chOff x="0" y="0"/>
                          <a:chExt cx="6400083" cy="2340647"/>
                        </a:xfrm>
                      </wpg:grpSpPr>
                      <wpg:graphicFrame>
                        <wpg:cNvPr id="238903738" name="Chart 238903738">
                          <a:extLst>
                            <a:ext uri="{FF2B5EF4-FFF2-40B4-BE49-F238E27FC236}">
                              <a16:creationId xmlns:a16="http://schemas.microsoft.com/office/drawing/2014/main" id="{546EE46D-A1C9-4F16-80D0-08AD055898DF}"/>
                            </a:ext>
                          </a:extLst>
                        </wpg:cNvPr>
                        <wpg:cNvFrPr>
                          <a:graphicFrameLocks/>
                        </wpg:cNvFrPr>
                        <wpg:xfrm>
                          <a:off x="0" y="318853"/>
                          <a:ext cx="3088822" cy="2021794"/>
                        </wpg:xfrm>
                        <a:graphic>
                          <a:graphicData uri="http://schemas.openxmlformats.org/drawingml/2006/chart">
                            <c:chart xmlns:c="http://schemas.openxmlformats.org/drawingml/2006/chart" xmlns:r="http://schemas.openxmlformats.org/officeDocument/2006/relationships" r:id="rId17"/>
                          </a:graphicData>
                        </a:graphic>
                      </wpg:graphicFrame>
                      <wps:wsp>
                        <wps:cNvPr id="1698964578" name="TextBox 17">
                          <a:extLst>
                            <a:ext uri="{FF2B5EF4-FFF2-40B4-BE49-F238E27FC236}">
                              <a16:creationId xmlns:a16="http://schemas.microsoft.com/office/drawing/2014/main" id="{90E61D00-1658-47F2-8ACA-A21C18770682}"/>
                            </a:ext>
                          </a:extLst>
                        </wps:cNvPr>
                        <wps:cNvSpPr txBox="1"/>
                        <wps:spPr>
                          <a:xfrm>
                            <a:off x="0" y="0"/>
                            <a:ext cx="3088822" cy="321348"/>
                          </a:xfrm>
                          <a:prstGeom prst="rect">
                            <a:avLst/>
                          </a:prstGeom>
                          <a:solidFill>
                            <a:srgbClr val="212D3F"/>
                          </a:solidFill>
                          <a:ln w="9525" cmpd="sng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C5DC8A7" w14:textId="77777777" w:rsidR="00267BD6" w:rsidRDefault="00267BD6" w:rsidP="00267BD6">
                              <w:pPr>
                                <w:rPr>
                                  <w:rFonts w:ascii="Arial" w:hAnsi="Arial" w:cs="Arial"/>
                                  <w:color w:val="FFFFFF" w:themeColor="background1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FFFFFF" w:themeColor="background1"/>
                                  <w:sz w:val="16"/>
                                  <w:szCs w:val="16"/>
                                </w:rPr>
                                <w:t xml:space="preserve">Importe Centro Coste por </w:t>
                              </w:r>
                              <w:proofErr w:type="spellStart"/>
                              <w:r>
                                <w:rPr>
                                  <w:rFonts w:ascii="Arial" w:hAnsi="Arial" w:cs="Arial"/>
                                  <w:color w:val="FFFFFF" w:themeColor="background1"/>
                                  <w:sz w:val="16"/>
                                  <w:szCs w:val="16"/>
                                </w:rPr>
                                <w:t>centro_coste</w:t>
                              </w:r>
                              <w:proofErr w:type="spellEnd"/>
                            </w:p>
                            <w:p w14:paraId="44E78F53" w14:textId="77777777" w:rsidR="00267BD6" w:rsidRDefault="00267BD6" w:rsidP="00267BD6">
                              <w:pPr>
                                <w:rPr>
                                  <w:rFonts w:ascii="Arial" w:hAnsi="Arial" w:cs="Arial"/>
                                  <w:color w:val="FFFFFF" w:themeColor="background1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FFFFFF" w:themeColor="background1"/>
                                  <w:sz w:val="14"/>
                                  <w:szCs w:val="14"/>
                                </w:rPr>
                                <w:t>¿Cómo cada Centro explican el aumento o la reducción del gasto?</w:t>
                              </w:r>
                            </w:p>
                          </w:txbxContent>
                        </wps:txbx>
                        <wps:bodyPr wrap="square" rtlCol="0" anchor="t"/>
                      </wps:wsp>
                      <wpg:graphicFrame>
                        <wpg:cNvPr id="1883408129" name="Chart 1883408129">
                          <a:extLst>
                            <a:ext uri="{FF2B5EF4-FFF2-40B4-BE49-F238E27FC236}">
                              <a16:creationId xmlns:a16="http://schemas.microsoft.com/office/drawing/2014/main" id="{DE8F58C2-19BF-40C1-965C-A37E3909146C}"/>
                            </a:ext>
                          </a:extLst>
                        </wpg:cNvPr>
                        <wpg:cNvFrPr>
                          <a:graphicFrameLocks/>
                        </wpg:cNvFrPr>
                        <wpg:xfrm>
                          <a:off x="3219533" y="312255"/>
                          <a:ext cx="3177887" cy="2026228"/>
                        </wpg:xfrm>
                        <a:graphic>
                          <a:graphicData uri="http://schemas.openxmlformats.org/drawingml/2006/chart">
                            <c:chart xmlns:c="http://schemas.openxmlformats.org/drawingml/2006/chart" xmlns:r="http://schemas.openxmlformats.org/officeDocument/2006/relationships" r:id="rId18"/>
                          </a:graphicData>
                        </a:graphic>
                      </wpg:graphicFrame>
                      <wps:wsp>
                        <wps:cNvPr id="159598329" name="TextBox 34">
                          <a:extLst>
                            <a:ext uri="{FF2B5EF4-FFF2-40B4-BE49-F238E27FC236}">
                              <a16:creationId xmlns:a16="http://schemas.microsoft.com/office/drawing/2014/main" id="{6A1755DD-3913-430E-8C58-41F5637C5FF0}"/>
                            </a:ext>
                          </a:extLst>
                        </wps:cNvPr>
                        <wps:cNvSpPr txBox="1"/>
                        <wps:spPr>
                          <a:xfrm>
                            <a:off x="3221627" y="1299"/>
                            <a:ext cx="3178456" cy="321348"/>
                          </a:xfrm>
                          <a:prstGeom prst="rect">
                            <a:avLst/>
                          </a:prstGeom>
                          <a:solidFill>
                            <a:srgbClr val="212D3F"/>
                          </a:solidFill>
                          <a:ln w="9525" cmpd="sng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56C58FE" w14:textId="77777777" w:rsidR="00267BD6" w:rsidRDefault="00267BD6" w:rsidP="00267BD6">
                              <w:pPr>
                                <w:rPr>
                                  <w:rFonts w:ascii="Arial" w:hAnsi="Arial" w:cs="Arial"/>
                                  <w:color w:val="FFFFFF" w:themeColor="background1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FFFFFF" w:themeColor="background1"/>
                                  <w:sz w:val="16"/>
                                  <w:szCs w:val="16"/>
                                </w:rPr>
                                <w:t xml:space="preserve">Participación Centro Coste x Total por </w:t>
                              </w:r>
                              <w:proofErr w:type="spellStart"/>
                              <w:r>
                                <w:rPr>
                                  <w:rFonts w:ascii="Arial" w:hAnsi="Arial" w:cs="Arial"/>
                                  <w:color w:val="FFFFFF" w:themeColor="background1"/>
                                  <w:sz w:val="16"/>
                                  <w:szCs w:val="16"/>
                                </w:rPr>
                                <w:t>centro_coste</w:t>
                              </w:r>
                              <w:proofErr w:type="spellEnd"/>
                            </w:p>
                            <w:p w14:paraId="589EF898" w14:textId="77777777" w:rsidR="00267BD6" w:rsidRDefault="00267BD6" w:rsidP="00267BD6">
                              <w:pPr>
                                <w:rPr>
                                  <w:rFonts w:ascii="Arial" w:hAnsi="Arial" w:cs="Arial"/>
                                  <w:color w:val="FFFFFF" w:themeColor="background1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FFFFFF" w:themeColor="background1"/>
                                  <w:sz w:val="14"/>
                                  <w:szCs w:val="14"/>
                                </w:rPr>
                                <w:t>Como influye cada Centro en los gastos Totales</w:t>
                              </w:r>
                            </w:p>
                          </w:txbxContent>
                        </wps:txbx>
                        <wps:bodyPr wrap="square" rtlCol="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7B4476F" id="Group 35" o:spid="_x0000_s1034" style="position:absolute;margin-left:0;margin-top:37.4pt;width:514.95pt;height:195.3pt;z-index:251670528" coordsize="64000,23406" o:gfxdata="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">
                <v:shape id="Chart 238903738" o:spid="_x0000_s1035" type="#_x0000_t75" style="position:absolute;top:3164;width:30902;height:2024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">
                  <v:imagedata r:id="rId19" o:title=""/>
                  <o:lock v:ext="edit" aspectratio="f"/>
                </v:shape>
                <v:shape id="TextBox 17" o:spid="_x0000_s1036" type="#_x0000_t202" style="position:absolute;width:30888;height:32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" fillcolor="#212d3f" stroked="f">
                  <v:textbox>
                    <w:txbxContent>
                      <w:p w14:paraId="4C5DC8A7" w14:textId="77777777" w:rsidR="00267BD6" w:rsidRDefault="00267BD6" w:rsidP="00267BD6">
                        <w:pPr>
                          <w:rPr>
                            <w:rFonts w:ascii="Arial" w:hAnsi="Arial" w:cs="Arial"/>
                            <w:color w:val="FFFFFF" w:themeColor="background1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hAnsi="Arial" w:cs="Arial"/>
                            <w:color w:val="FFFFFF" w:themeColor="background1"/>
                            <w:sz w:val="16"/>
                            <w:szCs w:val="16"/>
                          </w:rPr>
                          <w:t xml:space="preserve">Importe Centro Coste por </w:t>
                        </w:r>
                        <w:proofErr w:type="spellStart"/>
                        <w:r>
                          <w:rPr>
                            <w:rFonts w:ascii="Arial" w:hAnsi="Arial" w:cs="Arial"/>
                            <w:color w:val="FFFFFF" w:themeColor="background1"/>
                            <w:sz w:val="16"/>
                            <w:szCs w:val="16"/>
                          </w:rPr>
                          <w:t>centro_coste</w:t>
                        </w:r>
                        <w:proofErr w:type="spellEnd"/>
                      </w:p>
                      <w:p w14:paraId="44E78F53" w14:textId="77777777" w:rsidR="00267BD6" w:rsidRDefault="00267BD6" w:rsidP="00267BD6">
                        <w:pPr>
                          <w:rPr>
                            <w:rFonts w:ascii="Arial" w:hAnsi="Arial" w:cs="Arial"/>
                            <w:color w:val="FFFFFF" w:themeColor="background1"/>
                            <w:sz w:val="14"/>
                            <w:szCs w:val="14"/>
                          </w:rPr>
                        </w:pPr>
                        <w:r>
                          <w:rPr>
                            <w:rFonts w:ascii="Arial" w:hAnsi="Arial" w:cs="Arial"/>
                            <w:color w:val="FFFFFF" w:themeColor="background1"/>
                            <w:sz w:val="14"/>
                            <w:szCs w:val="14"/>
                          </w:rPr>
                          <w:t>¿Cómo cada Centro explican el aumento o la reducción del gasto?</w:t>
                        </w:r>
                      </w:p>
                    </w:txbxContent>
                  </v:textbox>
                </v:shape>
                <v:shape id="Chart 1883408129" o:spid="_x0000_s1037" type="#_x0000_t75" style="position:absolute;left:32214;top:3106;width:31738;height:2025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">
                  <v:imagedata r:id="rId20" o:title=""/>
                  <o:lock v:ext="edit" aspectratio="f"/>
                </v:shape>
                <v:shape id="TextBox 34" o:spid="_x0000_s1038" type="#_x0000_t202" style="position:absolute;left:32216;top:12;width:31784;height:32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" fillcolor="#212d3f" stroked="f">
                  <v:textbox>
                    <w:txbxContent>
                      <w:p w14:paraId="756C58FE" w14:textId="77777777" w:rsidR="00267BD6" w:rsidRDefault="00267BD6" w:rsidP="00267BD6">
                        <w:pPr>
                          <w:rPr>
                            <w:rFonts w:ascii="Arial" w:hAnsi="Arial" w:cs="Arial"/>
                            <w:color w:val="FFFFFF" w:themeColor="background1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hAnsi="Arial" w:cs="Arial"/>
                            <w:color w:val="FFFFFF" w:themeColor="background1"/>
                            <w:sz w:val="16"/>
                            <w:szCs w:val="16"/>
                          </w:rPr>
                          <w:t xml:space="preserve">Participación Centro Coste x Total por </w:t>
                        </w:r>
                        <w:proofErr w:type="spellStart"/>
                        <w:r>
                          <w:rPr>
                            <w:rFonts w:ascii="Arial" w:hAnsi="Arial" w:cs="Arial"/>
                            <w:color w:val="FFFFFF" w:themeColor="background1"/>
                            <w:sz w:val="16"/>
                            <w:szCs w:val="16"/>
                          </w:rPr>
                          <w:t>centro_coste</w:t>
                        </w:r>
                        <w:proofErr w:type="spellEnd"/>
                      </w:p>
                      <w:p w14:paraId="589EF898" w14:textId="77777777" w:rsidR="00267BD6" w:rsidRDefault="00267BD6" w:rsidP="00267BD6">
                        <w:pPr>
                          <w:rPr>
                            <w:rFonts w:ascii="Arial" w:hAnsi="Arial" w:cs="Arial"/>
                            <w:color w:val="FFFFFF" w:themeColor="background1"/>
                            <w:sz w:val="14"/>
                            <w:szCs w:val="14"/>
                          </w:rPr>
                        </w:pPr>
                        <w:r>
                          <w:rPr>
                            <w:rFonts w:ascii="Arial" w:hAnsi="Arial" w:cs="Arial"/>
                            <w:color w:val="FFFFFF" w:themeColor="background1"/>
                            <w:sz w:val="14"/>
                            <w:szCs w:val="14"/>
                          </w:rPr>
                          <w:t>Como influye cada Centro en los gastos Totales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r>
        <w:rPr>
          <w:rFonts w:ascii="source serif 4" w:eastAsia="source serif 4" w:hAnsi="source serif 4" w:cs="source serif 4"/>
          <w:color w:val="000000"/>
        </w:rPr>
        <w:br/>
      </w:r>
      <w:r>
        <w:rPr>
          <w:rFonts w:ascii="source serif 4" w:eastAsia="source serif 4" w:hAnsi="source serif 4" w:cs="source serif 4"/>
          <w:b/>
          <w:color w:val="000000"/>
        </w:rPr>
        <w:t>Acción:</w:t>
      </w:r>
      <w:r>
        <w:rPr>
          <w:rFonts w:ascii="source serif 4" w:eastAsia="source serif 4" w:hAnsi="source serif 4" w:cs="source serif 4"/>
          <w:color w:val="000000"/>
        </w:rPr>
        <w:t xml:space="preserve"> comparar el peso financiero de cada centro de coste con su aporte real al negocio.</w:t>
      </w:r>
    </w:p>
    <w:p w14:paraId="71782E10" w14:textId="77777777" w:rsidR="00592112" w:rsidRDefault="00000000">
      <w:pPr>
        <w:spacing w:before="315" w:after="105" w:line="360" w:lineRule="auto"/>
        <w:ind w:left="-30"/>
      </w:pPr>
      <w:bookmarkStart w:id="22" w:name="bm_9_comportamiento_temporal"/>
      <w:r>
        <w:rPr>
          <w:rFonts w:ascii="source serif 4" w:eastAsia="source serif 4" w:hAnsi="source serif 4" w:cs="source serif 4"/>
          <w:b/>
          <w:color w:val="000000"/>
          <w:sz w:val="24"/>
        </w:rPr>
        <w:t>9) Comportamiento temporal</w:t>
      </w:r>
      <w:bookmarkEnd w:id="22"/>
    </w:p>
    <w:p w14:paraId="2A8C0C6E" w14:textId="29E11C0F" w:rsidR="00592112" w:rsidRDefault="00F21FEF">
      <w:pPr>
        <w:spacing w:after="210" w:line="360" w:lineRule="auto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2576" behindDoc="0" locked="0" layoutInCell="1" allowOverlap="1" wp14:anchorId="153EBF4C" wp14:editId="3BFE467D">
                <wp:simplePos x="0" y="0"/>
                <wp:positionH relativeFrom="column">
                  <wp:posOffset>0</wp:posOffset>
                </wp:positionH>
                <wp:positionV relativeFrom="paragraph">
                  <wp:posOffset>706755</wp:posOffset>
                </wp:positionV>
                <wp:extent cx="6530975" cy="2494280"/>
                <wp:effectExtent l="0" t="0" r="3175" b="1270"/>
                <wp:wrapTopAndBottom/>
                <wp:docPr id="38" name="Group 37">
                  <a:extLst xmlns:a="http://schemas.openxmlformats.org/drawingml/2006/main">
                    <a:ext uri="{FF2B5EF4-FFF2-40B4-BE49-F238E27FC236}">
                      <a16:creationId xmlns:a16="http://schemas.microsoft.com/office/drawing/2014/main" id="{EE4D2F4A-CFC7-892E-3BCE-7AC637F0ACE4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30975" cy="2494280"/>
                          <a:chOff x="0" y="0"/>
                          <a:chExt cx="6637073" cy="2446866"/>
                        </a:xfrm>
                      </wpg:grpSpPr>
                      <wpg:graphicFrame>
                        <wpg:cNvPr id="1002585865" name="Chart 1002585865">
                          <a:extLst>
                            <a:ext uri="{FF2B5EF4-FFF2-40B4-BE49-F238E27FC236}">
                              <a16:creationId xmlns:a16="http://schemas.microsoft.com/office/drawing/2014/main" id="{D22486F7-D9F1-4276-AB42-D2A2791C1BED}"/>
                            </a:ext>
                          </a:extLst>
                        </wpg:cNvPr>
                        <wpg:cNvFrPr/>
                        <wpg:xfrm>
                          <a:off x="0" y="0"/>
                          <a:ext cx="6637073" cy="2446866"/>
                        </wpg:xfrm>
                        <a:graphic>
                          <a:graphicData uri="http://schemas.microsoft.com/office/drawing/2014/chartex">
                            <cx:chart xmlns:cx="http://schemas.microsoft.com/office/drawing/2014/chartex" xmlns:r="http://schemas.openxmlformats.org/officeDocument/2006/relationships" r:id="rId21"/>
                          </a:graphicData>
                        </a:graphic>
                      </wpg:graphicFrame>
                      <wps:wsp>
                        <wps:cNvPr id="326154832" name="TextBox 4">
                          <a:extLst>
                            <a:ext uri="{FF2B5EF4-FFF2-40B4-BE49-F238E27FC236}">
                              <a16:creationId xmlns:a16="http://schemas.microsoft.com/office/drawing/2014/main" id="{21C196B5-1151-478E-BF92-9FCB3C3D7E6D}"/>
                            </a:ext>
                          </a:extLst>
                        </wps:cNvPr>
                        <wps:cNvSpPr txBox="1"/>
                        <wps:spPr>
                          <a:xfrm>
                            <a:off x="20107" y="26047"/>
                            <a:ext cx="3367946" cy="515901"/>
                          </a:xfrm>
                          <a:prstGeom prst="rect">
                            <a:avLst/>
                          </a:prstGeom>
                          <a:solidFill>
                            <a:srgbClr val="212D3F"/>
                          </a:solidFill>
                          <a:ln w="9525" cmpd="sng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0F6F9EE" w14:textId="323D343A" w:rsidR="00F21FEF" w:rsidRDefault="00F21FEF" w:rsidP="00F21FEF">
                              <w:pPr>
                                <w:rPr>
                                  <w:rFonts w:ascii="Arial" w:hAnsi="Arial" w:cs="Arial"/>
                                  <w:color w:val="FFFFFF" w:themeColor="background1"/>
                                  <w:sz w:val="14"/>
                                  <w:szCs w:val="14"/>
                                </w:rPr>
                              </w:pPr>
                              <w:proofErr w:type="gramStart"/>
                              <w:r>
                                <w:rPr>
                                  <w:rFonts w:ascii="Arial" w:hAnsi="Arial" w:cs="Arial"/>
                                  <w:color w:val="FFFFFF" w:themeColor="background1"/>
                                  <w:sz w:val="16"/>
                                  <w:szCs w:val="16"/>
                                </w:rPr>
                                <w:t>Total</w:t>
                              </w:r>
                              <w:proofErr w:type="gramEnd"/>
                              <w:r>
                                <w:rPr>
                                  <w:rFonts w:ascii="Arial" w:hAnsi="Arial" w:cs="Arial"/>
                                  <w:color w:val="FFFFFF" w:themeColor="background1"/>
                                  <w:sz w:val="16"/>
                                  <w:szCs w:val="16"/>
                                </w:rPr>
                                <w:t xml:space="preserve"> Gastos por Mes</w:t>
                              </w:r>
                              <w:r>
                                <w:rPr>
                                  <w:rFonts w:ascii="Arial" w:hAnsi="Arial" w:cs="Arial"/>
                                  <w:color w:val="FFFFFF" w:themeColor="background1"/>
                                  <w:sz w:val="16"/>
                                  <w:szCs w:val="16"/>
                                </w:rPr>
                                <w:br/>
                              </w:r>
                              <w:r>
                                <w:rPr>
                                  <w:rFonts w:ascii="Arial" w:hAnsi="Arial" w:cs="Arial"/>
                                  <w:color w:val="FFFFFF" w:themeColor="background1"/>
                                  <w:sz w:val="14"/>
                                  <w:szCs w:val="14"/>
                                </w:rPr>
                                <w:t>Estacionalidad de los gastos mensuales a lo largo de los años</w:t>
                              </w:r>
                            </w:p>
                          </w:txbxContent>
                        </wps:txbx>
                        <wps:bodyPr wrap="square" rtlCol="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53EBF4C" id="Group 37" o:spid="_x0000_s1039" style="position:absolute;margin-left:0;margin-top:55.65pt;width:514.25pt;height:196.4pt;z-index:251672576" coordsize="66370,24468" o:gfxdata="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">
                <v:shape id="Chart 1002585865" o:spid="_x0000_s1040" type="#_x0000_t75" style="position:absolute;width:66410;height:24518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">
                  <v:imagedata r:id="rId22" o:title=""/>
                  <o:lock v:ext="edit" aspectratio="f"/>
                </v:shape>
                <v:shape id="TextBox 4" o:spid="_x0000_s1041" type="#_x0000_t202" style="position:absolute;left:201;top:260;width:33679;height:51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" fillcolor="#212d3f" stroked="f">
                  <v:textbox>
                    <w:txbxContent>
                      <w:p w14:paraId="50F6F9EE" w14:textId="323D343A" w:rsidR="00F21FEF" w:rsidRDefault="00F21FEF" w:rsidP="00F21FEF">
                        <w:pPr>
                          <w:rPr>
                            <w:rFonts w:ascii="Arial" w:hAnsi="Arial" w:cs="Arial"/>
                            <w:color w:val="FFFFFF" w:themeColor="background1"/>
                            <w:sz w:val="14"/>
                            <w:szCs w:val="14"/>
                          </w:rPr>
                        </w:pPr>
                        <w:proofErr w:type="gramStart"/>
                        <w:r>
                          <w:rPr>
                            <w:rFonts w:ascii="Arial" w:hAnsi="Arial" w:cs="Arial"/>
                            <w:color w:val="FFFFFF" w:themeColor="background1"/>
                            <w:sz w:val="16"/>
                            <w:szCs w:val="16"/>
                          </w:rPr>
                          <w:t>Total</w:t>
                        </w:r>
                        <w:proofErr w:type="gramEnd"/>
                        <w:r>
                          <w:rPr>
                            <w:rFonts w:ascii="Arial" w:hAnsi="Arial" w:cs="Arial"/>
                            <w:color w:val="FFFFFF" w:themeColor="background1"/>
                            <w:sz w:val="16"/>
                            <w:szCs w:val="16"/>
                          </w:rPr>
                          <w:t xml:space="preserve"> Gastos por Mes</w:t>
                        </w:r>
                        <w:r>
                          <w:rPr>
                            <w:rFonts w:ascii="Arial" w:hAnsi="Arial" w:cs="Arial"/>
                            <w:color w:val="FFFFFF" w:themeColor="background1"/>
                            <w:sz w:val="16"/>
                            <w:szCs w:val="16"/>
                          </w:rPr>
                          <w:br/>
                        </w:r>
                        <w:r>
                          <w:rPr>
                            <w:rFonts w:ascii="Arial" w:hAnsi="Arial" w:cs="Arial"/>
                            <w:color w:val="FFFFFF" w:themeColor="background1"/>
                            <w:sz w:val="14"/>
                            <w:szCs w:val="14"/>
                          </w:rPr>
                          <w:t>Estacionalidad de los gastos mensuales a lo largo de los años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r w:rsidR="00000000">
        <w:rPr>
          <w:rFonts w:ascii="source serif 4" w:eastAsia="source serif 4" w:hAnsi="source serif 4" w:cs="source serif 4"/>
          <w:color w:val="000000"/>
        </w:rPr>
        <w:t xml:space="preserve">Como </w:t>
      </w:r>
      <w:r w:rsidR="0029303D">
        <w:rPr>
          <w:rFonts w:ascii="source serif 4" w:eastAsia="source serif 4" w:hAnsi="source serif 4" w:cs="source serif 4"/>
          <w:color w:val="000000"/>
        </w:rPr>
        <w:t xml:space="preserve">se </w:t>
      </w:r>
      <w:r w:rsidR="00000000">
        <w:rPr>
          <w:rFonts w:ascii="source serif 4" w:eastAsia="source serif 4" w:hAnsi="source serif 4" w:cs="source serif 4"/>
          <w:color w:val="000000"/>
        </w:rPr>
        <w:t xml:space="preserve">tiene </w:t>
      </w:r>
      <w:r w:rsidR="00000000" w:rsidRPr="00A76C9F">
        <w:rPr>
          <w:rFonts w:ascii="source serif 4" w:eastAsia="source serif 4" w:hAnsi="source serif 4" w:cs="source serif 4"/>
          <w:color w:val="000000"/>
          <w:highlight w:val="darkGray"/>
        </w:rPr>
        <w:t>fecha</w:t>
      </w:r>
      <w:r w:rsidR="00000000">
        <w:rPr>
          <w:rFonts w:ascii="source serif 4" w:eastAsia="source serif 4" w:hAnsi="source serif 4" w:cs="source serif 4"/>
          <w:color w:val="000000"/>
        </w:rPr>
        <w:t xml:space="preserve">, </w:t>
      </w:r>
      <w:r w:rsidR="00000000" w:rsidRPr="00A76C9F">
        <w:rPr>
          <w:rFonts w:ascii="source serif 4" w:eastAsia="source serif 4" w:hAnsi="source serif 4" w:cs="source serif 4"/>
          <w:color w:val="000000"/>
          <w:highlight w:val="darkGray"/>
        </w:rPr>
        <w:t>año</w:t>
      </w:r>
      <w:r w:rsidR="00000000">
        <w:rPr>
          <w:rFonts w:ascii="source serif 4" w:eastAsia="source serif 4" w:hAnsi="source serif 4" w:cs="source serif 4"/>
          <w:color w:val="000000"/>
        </w:rPr>
        <w:t xml:space="preserve">, </w:t>
      </w:r>
      <w:r w:rsidR="00000000" w:rsidRPr="00A76C9F">
        <w:rPr>
          <w:rFonts w:ascii="source serif 4" w:eastAsia="source serif 4" w:hAnsi="source serif 4" w:cs="source serif 4"/>
          <w:color w:val="000000"/>
          <w:highlight w:val="darkGray"/>
        </w:rPr>
        <w:t>mes</w:t>
      </w:r>
      <w:r w:rsidR="00000000">
        <w:rPr>
          <w:rFonts w:ascii="source serif 4" w:eastAsia="source serif 4" w:hAnsi="source serif 4" w:cs="source serif 4"/>
          <w:color w:val="000000"/>
        </w:rPr>
        <w:t xml:space="preserve"> y nombre del mes, puedes detectar estacionalidad: meses con más gasto, más ingresos o más pendientes. Eso transforma el análisis en una herramienta de planificación, no solo de reporte.</w:t>
      </w:r>
      <w:bookmarkStart w:id="23" w:name="fnref3"/>
      <w:bookmarkStart w:id="24" w:name="fnref1_5"/>
      <w:bookmarkEnd w:id="23"/>
      <w:bookmarkEnd w:id="24"/>
      <w:r w:rsidR="00BF3AFE">
        <w:br/>
      </w:r>
      <w:r w:rsidR="00BF3AFE">
        <w:rPr>
          <w:rFonts w:ascii="source serif 4" w:eastAsia="source serif 4" w:hAnsi="source serif 4" w:cs="source serif 4"/>
          <w:color w:val="000000"/>
        </w:rPr>
        <w:t xml:space="preserve"> </w:t>
      </w:r>
      <w:r w:rsidR="00000000">
        <w:rPr>
          <w:rFonts w:ascii="source serif 4" w:eastAsia="source serif 4" w:hAnsi="source serif 4" w:cs="source serif 4"/>
          <w:color w:val="000000"/>
        </w:rPr>
        <w:br/>
      </w:r>
      <w:r w:rsidR="00000000">
        <w:rPr>
          <w:rFonts w:ascii="source serif 4" w:eastAsia="source serif 4" w:hAnsi="source serif 4" w:cs="source serif 4"/>
          <w:b/>
          <w:color w:val="000000"/>
        </w:rPr>
        <w:t>Acción:</w:t>
      </w:r>
      <w:r w:rsidR="00000000">
        <w:rPr>
          <w:rFonts w:ascii="source serif 4" w:eastAsia="source serif 4" w:hAnsi="source serif 4" w:cs="source serif 4"/>
          <w:color w:val="000000"/>
        </w:rPr>
        <w:t xml:space="preserve"> anticipar picos de gasto o ingresos y planificar presupuesto y liquidez.</w:t>
      </w:r>
    </w:p>
    <w:p w14:paraId="59C5B219" w14:textId="77777777" w:rsidR="00592112" w:rsidRDefault="00000000">
      <w:pPr>
        <w:spacing w:before="315" w:after="105" w:line="360" w:lineRule="auto"/>
        <w:ind w:left="-30"/>
      </w:pPr>
      <w:bookmarkStart w:id="25" w:name="bm_10_exposición_por_moneda"/>
      <w:r>
        <w:rPr>
          <w:rFonts w:ascii="source serif 4" w:eastAsia="source serif 4" w:hAnsi="source serif 4" w:cs="source serif 4"/>
          <w:b/>
          <w:color w:val="000000"/>
          <w:sz w:val="24"/>
        </w:rPr>
        <w:lastRenderedPageBreak/>
        <w:t>10) Exposición por moneda</w:t>
      </w:r>
      <w:bookmarkEnd w:id="25"/>
    </w:p>
    <w:p w14:paraId="104E56A1" w14:textId="192E16B4" w:rsidR="00592112" w:rsidRDefault="00000000">
      <w:pPr>
        <w:spacing w:after="210" w:line="360" w:lineRule="auto"/>
        <w:rPr>
          <w:rFonts w:ascii="source serif 4" w:eastAsia="source serif 4" w:hAnsi="source serif 4" w:cs="source serif 4"/>
          <w:color w:val="000000"/>
        </w:rPr>
      </w:pPr>
      <w:r>
        <w:rPr>
          <w:rFonts w:ascii="source serif 4" w:eastAsia="source serif 4" w:hAnsi="source serif 4" w:cs="source serif 4"/>
          <w:color w:val="000000"/>
        </w:rPr>
        <w:t>Aunque predomina EUR, también aparece USD. Esa diferencia permite medir riesgo cambiario o al menos identificar operaciones fuera de la moneda principal.</w:t>
      </w:r>
      <w:bookmarkStart w:id="26" w:name="fnref2_9"/>
      <w:bookmarkEnd w:id="26"/>
      <w:r w:rsidR="0011639C">
        <w:br/>
      </w:r>
      <w:r w:rsidR="0011639C">
        <w:rPr>
          <w:rFonts w:ascii="source serif 4" w:eastAsia="source serif 4" w:hAnsi="source serif 4" w:cs="source serif 4"/>
          <w:color w:val="000000"/>
        </w:rPr>
        <w:t xml:space="preserve"> </w:t>
      </w:r>
      <w:r>
        <w:rPr>
          <w:rFonts w:ascii="source serif 4" w:eastAsia="source serif 4" w:hAnsi="source serif 4" w:cs="source serif 4"/>
          <w:color w:val="000000"/>
        </w:rPr>
        <w:br/>
      </w:r>
      <w:r>
        <w:rPr>
          <w:rFonts w:ascii="source serif 4" w:eastAsia="source serif 4" w:hAnsi="source serif 4" w:cs="source serif 4"/>
          <w:b/>
          <w:color w:val="000000"/>
        </w:rPr>
        <w:t>Acción:</w:t>
      </w:r>
      <w:r>
        <w:rPr>
          <w:rFonts w:ascii="source serif 4" w:eastAsia="source serif 4" w:hAnsi="source serif 4" w:cs="source serif 4"/>
          <w:color w:val="000000"/>
        </w:rPr>
        <w:t xml:space="preserve"> separar transacciones por moneda para no mezclar resultados y para controlar impacto cambiario si crece el volumen internacional.</w:t>
      </w:r>
    </w:p>
    <w:p w14:paraId="3F8E9911" w14:textId="0F7FCA02" w:rsidR="004A5132" w:rsidRPr="004A5132" w:rsidRDefault="004A5132">
      <w:pPr>
        <w:spacing w:after="210" w:line="360" w:lineRule="auto"/>
      </w:pPr>
      <w:proofErr w:type="gramStart"/>
      <w:r w:rsidRPr="004A5132">
        <w:rPr>
          <w:rFonts w:ascii="source serif 4" w:eastAsia="source serif 4" w:hAnsi="source serif 4" w:cs="source serif 4"/>
          <w:color w:val="000000"/>
          <w:u w:val="single"/>
        </w:rPr>
        <w:t>/!\</w:t>
      </w:r>
      <w:proofErr w:type="gramEnd"/>
      <w:r>
        <w:rPr>
          <w:rFonts w:ascii="source serif 4" w:eastAsia="source serif 4" w:hAnsi="source serif 4" w:cs="source serif 4"/>
          <w:color w:val="000000"/>
        </w:rPr>
        <w:t xml:space="preserve"> En el </w:t>
      </w:r>
      <w:proofErr w:type="spellStart"/>
      <w:r>
        <w:rPr>
          <w:rFonts w:ascii="source serif 4" w:eastAsia="source serif 4" w:hAnsi="source serif 4" w:cs="source serif 4"/>
          <w:color w:val="000000"/>
        </w:rPr>
        <w:t>dataset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 e tienen diversas moneas, pero por practicidad se </w:t>
      </w:r>
      <w:proofErr w:type="gramStart"/>
      <w:r>
        <w:rPr>
          <w:rFonts w:ascii="source serif 4" w:eastAsia="source serif 4" w:hAnsi="source serif 4" w:cs="source serif 4"/>
          <w:color w:val="000000"/>
        </w:rPr>
        <w:t>reflejaran</w:t>
      </w:r>
      <w:proofErr w:type="gramEnd"/>
      <w:r>
        <w:rPr>
          <w:rFonts w:ascii="source serif 4" w:eastAsia="source serif 4" w:hAnsi="source serif 4" w:cs="source serif 4"/>
          <w:color w:val="000000"/>
        </w:rPr>
        <w:t xml:space="preserve"> los Gasto e Ingresos en euros, ya que todas las operaciones de entrada y salida se realzan desde países de la Zona </w:t>
      </w:r>
      <w:proofErr w:type="gramStart"/>
      <w:r>
        <w:rPr>
          <w:rFonts w:ascii="source serif 4" w:eastAsia="source serif 4" w:hAnsi="source serif 4" w:cs="source serif 4"/>
          <w:color w:val="000000"/>
        </w:rPr>
        <w:t>Euro</w:t>
      </w:r>
      <w:proofErr w:type="gramEnd"/>
      <w:r>
        <w:rPr>
          <w:rFonts w:ascii="source serif 4" w:eastAsia="source serif 4" w:hAnsi="source serif 4" w:cs="source serif 4"/>
          <w:color w:val="000000"/>
        </w:rPr>
        <w:t>.</w:t>
      </w:r>
    </w:p>
    <w:p w14:paraId="285E2765" w14:textId="77777777" w:rsidR="00592112" w:rsidRDefault="00000000">
      <w:pPr>
        <w:spacing w:before="315" w:after="105" w:line="360" w:lineRule="auto"/>
        <w:ind w:left="-30"/>
      </w:pPr>
      <w:bookmarkStart w:id="27" w:name="cómo_se_vería_un_buen_insight"/>
      <w:r>
        <w:rPr>
          <w:rFonts w:ascii="source serif 4" w:eastAsia="source serif 4" w:hAnsi="source serif 4" w:cs="source serif 4"/>
          <w:b/>
          <w:color w:val="000000"/>
          <w:sz w:val="24"/>
        </w:rPr>
        <w:t xml:space="preserve">Cómo se vería un buen </w:t>
      </w:r>
      <w:proofErr w:type="spellStart"/>
      <w:r>
        <w:rPr>
          <w:rFonts w:ascii="source serif 4" w:eastAsia="source serif 4" w:hAnsi="source serif 4" w:cs="source serif 4"/>
          <w:b/>
          <w:color w:val="000000"/>
          <w:sz w:val="24"/>
        </w:rPr>
        <w:t>insight</w:t>
      </w:r>
      <w:bookmarkEnd w:id="27"/>
      <w:proofErr w:type="spellEnd"/>
    </w:p>
    <w:p w14:paraId="3F1A1D6A" w14:textId="77777777" w:rsidR="00592112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Un buen </w:t>
      </w:r>
      <w:proofErr w:type="spellStart"/>
      <w:r>
        <w:rPr>
          <w:rFonts w:ascii="source serif 4" w:eastAsia="source serif 4" w:hAnsi="source serif 4" w:cs="source serif 4"/>
          <w:color w:val="000000"/>
        </w:rPr>
        <w:t>insight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 no es “hay muchos gastos”. Es algo así:</w:t>
      </w:r>
    </w:p>
    <w:p w14:paraId="67E74F89" w14:textId="77777777" w:rsidR="00592112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“La empresa concentra más gasto en Impuestos y Nómina, y además tiene transacciones pendientes en meses recientes; esto sugiere presión sobre caja y necesidad de seguimiento prioritario.”</w:t>
      </w:r>
    </w:p>
    <w:p w14:paraId="2FE3276B" w14:textId="77777777" w:rsidR="00592112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“El canal SEPA aparece de forma recurrente en operaciones críticas; si se optimiza su gestión, se puede reducir fricción y retrasos en cobros/pagos.”</w:t>
      </w:r>
    </w:p>
    <w:p w14:paraId="386BF5E2" w14:textId="77777777" w:rsidR="00592112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“Las operaciones fuera de España son minoritarias, pero muestran estados mixtos; conviene revisar si tienen mayor tasa de rechazo o cancelación.”</w:t>
      </w:r>
    </w:p>
    <w:p w14:paraId="20C4B9EB" w14:textId="77777777" w:rsidR="00592112" w:rsidRDefault="00000000">
      <w:pPr>
        <w:spacing w:before="315" w:after="105" w:line="360" w:lineRule="auto"/>
        <w:ind w:left="-30"/>
      </w:pPr>
      <w:bookmarkStart w:id="28" w:name="qué_haría_yo_con_este_dataset"/>
      <w:r>
        <w:rPr>
          <w:rFonts w:ascii="source serif 4" w:eastAsia="source serif 4" w:hAnsi="source serif 4" w:cs="source serif 4"/>
          <w:b/>
          <w:color w:val="000000"/>
          <w:sz w:val="24"/>
        </w:rPr>
        <w:t xml:space="preserve">Qué haría yo con este </w:t>
      </w:r>
      <w:proofErr w:type="spellStart"/>
      <w:r>
        <w:rPr>
          <w:rFonts w:ascii="source serif 4" w:eastAsia="source serif 4" w:hAnsi="source serif 4" w:cs="source serif 4"/>
          <w:b/>
          <w:color w:val="000000"/>
          <w:sz w:val="24"/>
        </w:rPr>
        <w:t>dataset</w:t>
      </w:r>
      <w:bookmarkEnd w:id="28"/>
      <w:proofErr w:type="spellEnd"/>
    </w:p>
    <w:p w14:paraId="361D258B" w14:textId="47131CBD" w:rsidR="00592112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Si </w:t>
      </w:r>
      <w:r w:rsidR="00501C7F">
        <w:rPr>
          <w:rFonts w:ascii="source serif 4" w:eastAsia="source serif 4" w:hAnsi="source serif 4" w:cs="source serif 4"/>
          <w:color w:val="000000"/>
        </w:rPr>
        <w:t>se</w:t>
      </w:r>
      <w:r>
        <w:rPr>
          <w:rFonts w:ascii="source serif 4" w:eastAsia="source serif 4" w:hAnsi="source serif 4" w:cs="source serif 4"/>
          <w:color w:val="000000"/>
        </w:rPr>
        <w:t xml:space="preserve"> quisiera llevar a nivel profesional, </w:t>
      </w:r>
      <w:r w:rsidR="00977E72">
        <w:rPr>
          <w:rFonts w:ascii="source serif 4" w:eastAsia="source serif 4" w:hAnsi="source serif 4" w:cs="source serif 4"/>
          <w:color w:val="000000"/>
        </w:rPr>
        <w:t>los</w:t>
      </w:r>
      <w:r>
        <w:rPr>
          <w:rFonts w:ascii="source serif 4" w:eastAsia="source serif 4" w:hAnsi="source serif 4" w:cs="source serif 4"/>
          <w:color w:val="000000"/>
        </w:rPr>
        <w:t xml:space="preserve"> </w:t>
      </w:r>
      <w:proofErr w:type="spellStart"/>
      <w:r>
        <w:rPr>
          <w:rFonts w:ascii="source serif 4" w:eastAsia="source serif 4" w:hAnsi="source serif 4" w:cs="source serif 4"/>
          <w:color w:val="000000"/>
        </w:rPr>
        <w:t>insights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 deberían salir de estas preguntas:</w:t>
      </w:r>
    </w:p>
    <w:p w14:paraId="17360FAE" w14:textId="77777777" w:rsidR="00592112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¿Dónde está el dinero?</w:t>
      </w:r>
    </w:p>
    <w:p w14:paraId="100432F2" w14:textId="77777777" w:rsidR="00592112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¿Qué está bloqueando el dinero?</w:t>
      </w:r>
    </w:p>
    <w:p w14:paraId="0C233241" w14:textId="77777777" w:rsidR="00592112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¿Qué área o empresa concentra el riesgo?</w:t>
      </w:r>
    </w:p>
    <w:p w14:paraId="3D4B8DE7" w14:textId="77777777" w:rsidR="00592112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¿Qué proceso se puede automatizar o corregir?</w:t>
      </w:r>
    </w:p>
    <w:p w14:paraId="3D4F175D" w14:textId="343036BE" w:rsidR="00592112" w:rsidRPr="00AA3176" w:rsidRDefault="00000000" w:rsidP="00AA3176">
      <w:pPr>
        <w:numPr>
          <w:ilvl w:val="0"/>
          <w:numId w:val="2"/>
        </w:numPr>
        <w:spacing w:before="105" w:after="105" w:line="360" w:lineRule="auto"/>
        <w:rPr>
          <w:rFonts w:ascii="source serif 4" w:eastAsia="source serif 4" w:hAnsi="source serif 4" w:cs="source serif 4"/>
          <w:color w:val="000000"/>
        </w:rPr>
      </w:pPr>
      <w:r>
        <w:rPr>
          <w:rFonts w:ascii="source serif 4" w:eastAsia="source serif 4" w:hAnsi="source serif 4" w:cs="source serif 4"/>
          <w:color w:val="000000"/>
        </w:rPr>
        <w:t>¿Qué acción concreta se recomienda?</w:t>
      </w:r>
      <w:r w:rsidR="00AA3176">
        <w:rPr>
          <w:rFonts w:ascii="source serif 4" w:eastAsia="source serif 4" w:hAnsi="source serif 4" w:cs="source serif 4"/>
          <w:color w:val="000000"/>
        </w:rPr>
        <w:t xml:space="preserve"> </w:t>
      </w:r>
    </w:p>
    <w:sectPr w:rsidR="00592112" w:rsidRPr="00AA3176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ource serif 4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73059"/>
    <w:multiLevelType w:val="hybridMultilevel"/>
    <w:tmpl w:val="2244DD9C"/>
    <w:lvl w:ilvl="0" w:tplc="2E42117C">
      <w:numFmt w:val="decimal"/>
      <w:lvlText w:val=""/>
      <w:lvlJc w:val="left"/>
    </w:lvl>
    <w:lvl w:ilvl="1" w:tplc="050043C6">
      <w:numFmt w:val="decimal"/>
      <w:lvlText w:val=""/>
      <w:lvlJc w:val="left"/>
    </w:lvl>
    <w:lvl w:ilvl="2" w:tplc="8E3C0C60">
      <w:numFmt w:val="decimal"/>
      <w:lvlText w:val=""/>
      <w:lvlJc w:val="left"/>
    </w:lvl>
    <w:lvl w:ilvl="3" w:tplc="11EE14A6">
      <w:numFmt w:val="decimal"/>
      <w:lvlText w:val=""/>
      <w:lvlJc w:val="left"/>
    </w:lvl>
    <w:lvl w:ilvl="4" w:tplc="8D6620B8">
      <w:numFmt w:val="decimal"/>
      <w:lvlText w:val=""/>
      <w:lvlJc w:val="left"/>
    </w:lvl>
    <w:lvl w:ilvl="5" w:tplc="777654E6">
      <w:numFmt w:val="decimal"/>
      <w:lvlText w:val=""/>
      <w:lvlJc w:val="left"/>
    </w:lvl>
    <w:lvl w:ilvl="6" w:tplc="6CF2DF1E">
      <w:numFmt w:val="decimal"/>
      <w:lvlText w:val=""/>
      <w:lvlJc w:val="left"/>
    </w:lvl>
    <w:lvl w:ilvl="7" w:tplc="0D224988">
      <w:numFmt w:val="decimal"/>
      <w:lvlText w:val=""/>
      <w:lvlJc w:val="left"/>
    </w:lvl>
    <w:lvl w:ilvl="8" w:tplc="52A4EDF2">
      <w:numFmt w:val="decimal"/>
      <w:lvlText w:val=""/>
      <w:lvlJc w:val="left"/>
    </w:lvl>
  </w:abstractNum>
  <w:abstractNum w:abstractNumId="1" w15:restartNumberingAfterBreak="0">
    <w:nsid w:val="2C2A03E6"/>
    <w:multiLevelType w:val="hybridMultilevel"/>
    <w:tmpl w:val="8C900576"/>
    <w:lvl w:ilvl="0" w:tplc="CE5E770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3490F7F0">
      <w:numFmt w:val="decimal"/>
      <w:lvlText w:val=""/>
      <w:lvlJc w:val="left"/>
    </w:lvl>
    <w:lvl w:ilvl="2" w:tplc="70FE5BB0">
      <w:numFmt w:val="decimal"/>
      <w:lvlText w:val=""/>
      <w:lvlJc w:val="left"/>
    </w:lvl>
    <w:lvl w:ilvl="3" w:tplc="FACC1EA6">
      <w:numFmt w:val="decimal"/>
      <w:lvlText w:val=""/>
      <w:lvlJc w:val="left"/>
    </w:lvl>
    <w:lvl w:ilvl="4" w:tplc="368E53E0">
      <w:numFmt w:val="decimal"/>
      <w:lvlText w:val=""/>
      <w:lvlJc w:val="left"/>
    </w:lvl>
    <w:lvl w:ilvl="5" w:tplc="2938AA40">
      <w:numFmt w:val="decimal"/>
      <w:lvlText w:val=""/>
      <w:lvlJc w:val="left"/>
    </w:lvl>
    <w:lvl w:ilvl="6" w:tplc="0D40A722">
      <w:numFmt w:val="decimal"/>
      <w:lvlText w:val=""/>
      <w:lvlJc w:val="left"/>
    </w:lvl>
    <w:lvl w:ilvl="7" w:tplc="432A15FC">
      <w:numFmt w:val="decimal"/>
      <w:lvlText w:val=""/>
      <w:lvlJc w:val="left"/>
    </w:lvl>
    <w:lvl w:ilvl="8" w:tplc="D12AE9E4">
      <w:numFmt w:val="decimal"/>
      <w:lvlText w:val=""/>
      <w:lvlJc w:val="left"/>
    </w:lvl>
  </w:abstractNum>
  <w:abstractNum w:abstractNumId="2" w15:restartNumberingAfterBreak="0">
    <w:nsid w:val="51BF4071"/>
    <w:multiLevelType w:val="hybridMultilevel"/>
    <w:tmpl w:val="F5A0C6D6"/>
    <w:lvl w:ilvl="0" w:tplc="75F48026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CDA616A6">
      <w:numFmt w:val="decimal"/>
      <w:lvlText w:val=""/>
      <w:lvlJc w:val="left"/>
    </w:lvl>
    <w:lvl w:ilvl="2" w:tplc="227C48EA">
      <w:numFmt w:val="decimal"/>
      <w:lvlText w:val=""/>
      <w:lvlJc w:val="left"/>
    </w:lvl>
    <w:lvl w:ilvl="3" w:tplc="9A6ED670">
      <w:numFmt w:val="decimal"/>
      <w:lvlText w:val=""/>
      <w:lvlJc w:val="left"/>
    </w:lvl>
    <w:lvl w:ilvl="4" w:tplc="366C52A4">
      <w:numFmt w:val="decimal"/>
      <w:lvlText w:val=""/>
      <w:lvlJc w:val="left"/>
    </w:lvl>
    <w:lvl w:ilvl="5" w:tplc="F8046FE4">
      <w:numFmt w:val="decimal"/>
      <w:lvlText w:val=""/>
      <w:lvlJc w:val="left"/>
    </w:lvl>
    <w:lvl w:ilvl="6" w:tplc="10FC10A6">
      <w:numFmt w:val="decimal"/>
      <w:lvlText w:val=""/>
      <w:lvlJc w:val="left"/>
    </w:lvl>
    <w:lvl w:ilvl="7" w:tplc="2E2A863C">
      <w:numFmt w:val="decimal"/>
      <w:lvlText w:val=""/>
      <w:lvlJc w:val="left"/>
    </w:lvl>
    <w:lvl w:ilvl="8" w:tplc="0DBE965E">
      <w:numFmt w:val="decimal"/>
      <w:lvlText w:val=""/>
      <w:lvlJc w:val="left"/>
    </w:lvl>
  </w:abstractNum>
  <w:abstractNum w:abstractNumId="3" w15:restartNumberingAfterBreak="0">
    <w:nsid w:val="7F39720E"/>
    <w:multiLevelType w:val="hybridMultilevel"/>
    <w:tmpl w:val="A28A2730"/>
    <w:lvl w:ilvl="0" w:tplc="E7DC5FC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59453BA">
      <w:numFmt w:val="decimal"/>
      <w:lvlText w:val=""/>
      <w:lvlJc w:val="left"/>
    </w:lvl>
    <w:lvl w:ilvl="2" w:tplc="A0241F2E">
      <w:numFmt w:val="decimal"/>
      <w:lvlText w:val=""/>
      <w:lvlJc w:val="left"/>
    </w:lvl>
    <w:lvl w:ilvl="3" w:tplc="704A632C">
      <w:numFmt w:val="decimal"/>
      <w:lvlText w:val=""/>
      <w:lvlJc w:val="left"/>
    </w:lvl>
    <w:lvl w:ilvl="4" w:tplc="2B829686">
      <w:numFmt w:val="decimal"/>
      <w:lvlText w:val=""/>
      <w:lvlJc w:val="left"/>
    </w:lvl>
    <w:lvl w:ilvl="5" w:tplc="145C5462">
      <w:numFmt w:val="decimal"/>
      <w:lvlText w:val=""/>
      <w:lvlJc w:val="left"/>
    </w:lvl>
    <w:lvl w:ilvl="6" w:tplc="8C98399A">
      <w:numFmt w:val="decimal"/>
      <w:lvlText w:val=""/>
      <w:lvlJc w:val="left"/>
    </w:lvl>
    <w:lvl w:ilvl="7" w:tplc="1DE080A8">
      <w:numFmt w:val="decimal"/>
      <w:lvlText w:val=""/>
      <w:lvlJc w:val="left"/>
    </w:lvl>
    <w:lvl w:ilvl="8" w:tplc="1CC89298">
      <w:numFmt w:val="decimal"/>
      <w:lvlText w:val=""/>
      <w:lvlJc w:val="left"/>
    </w:lvl>
  </w:abstractNum>
  <w:num w:numId="1" w16cid:durableId="622804864">
    <w:abstractNumId w:val="3"/>
  </w:num>
  <w:num w:numId="2" w16cid:durableId="761221371">
    <w:abstractNumId w:val="1"/>
  </w:num>
  <w:num w:numId="3" w16cid:durableId="1201433755">
    <w:abstractNumId w:val="0"/>
  </w:num>
  <w:num w:numId="4" w16cid:durableId="128342076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2112"/>
    <w:rsid w:val="0011639C"/>
    <w:rsid w:val="00134C44"/>
    <w:rsid w:val="002261D4"/>
    <w:rsid w:val="00267BD6"/>
    <w:rsid w:val="0029303D"/>
    <w:rsid w:val="003109F6"/>
    <w:rsid w:val="00321333"/>
    <w:rsid w:val="00337506"/>
    <w:rsid w:val="003528A5"/>
    <w:rsid w:val="003E59A9"/>
    <w:rsid w:val="003E5CC7"/>
    <w:rsid w:val="004809CD"/>
    <w:rsid w:val="004A5132"/>
    <w:rsid w:val="004B6111"/>
    <w:rsid w:val="00501C7F"/>
    <w:rsid w:val="00546578"/>
    <w:rsid w:val="005469C0"/>
    <w:rsid w:val="00561CE4"/>
    <w:rsid w:val="00592112"/>
    <w:rsid w:val="005B06DD"/>
    <w:rsid w:val="005B0D01"/>
    <w:rsid w:val="006C295A"/>
    <w:rsid w:val="00741383"/>
    <w:rsid w:val="0079222E"/>
    <w:rsid w:val="008937D5"/>
    <w:rsid w:val="00940D09"/>
    <w:rsid w:val="00977E72"/>
    <w:rsid w:val="009A26E2"/>
    <w:rsid w:val="009F69DB"/>
    <w:rsid w:val="00A76C9F"/>
    <w:rsid w:val="00AA3176"/>
    <w:rsid w:val="00AA4DF3"/>
    <w:rsid w:val="00B37EE1"/>
    <w:rsid w:val="00B616FF"/>
    <w:rsid w:val="00B90814"/>
    <w:rsid w:val="00BF3AFE"/>
    <w:rsid w:val="00C23A5F"/>
    <w:rsid w:val="00C40415"/>
    <w:rsid w:val="00CA5E57"/>
    <w:rsid w:val="00CC569E"/>
    <w:rsid w:val="00D06C94"/>
    <w:rsid w:val="00D55752"/>
    <w:rsid w:val="00D87317"/>
    <w:rsid w:val="00DD1677"/>
    <w:rsid w:val="00DE4BE3"/>
    <w:rsid w:val="00E3376E"/>
    <w:rsid w:val="00E569BD"/>
    <w:rsid w:val="00EA3A24"/>
    <w:rsid w:val="00EF6798"/>
    <w:rsid w:val="00F07A77"/>
    <w:rsid w:val="00F21FEF"/>
    <w:rsid w:val="00F9190C"/>
    <w:rsid w:val="00FA33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1EFC00"/>
  <w15:docId w15:val="{731BEA86-644E-4AAF-A686-521627DB5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es-E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paragraph" w:styleId="Title">
    <w:name w:val="Title"/>
    <w:basedOn w:val="Normal"/>
    <w:next w:val="Normal"/>
    <w:link w:val="TitleChar"/>
    <w:uiPriority w:val="10"/>
    <w:qFormat/>
    <w:rsid w:val="006C295A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295A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3.xml"/><Relationship Id="rId13" Type="http://schemas.openxmlformats.org/officeDocument/2006/relationships/chart" Target="charts/chart8.xml"/><Relationship Id="rId18" Type="http://schemas.openxmlformats.org/officeDocument/2006/relationships/chart" Target="charts/chart11.xml"/><Relationship Id="rId3" Type="http://schemas.openxmlformats.org/officeDocument/2006/relationships/settings" Target="settings.xml"/><Relationship Id="rId21" Type="http://schemas.microsoft.com/office/2014/relationships/chartEx" Target="charts/chartEx1.xml"/><Relationship Id="rId7" Type="http://schemas.openxmlformats.org/officeDocument/2006/relationships/chart" Target="charts/chart2.xml"/><Relationship Id="rId12" Type="http://schemas.openxmlformats.org/officeDocument/2006/relationships/chart" Target="charts/chart7.xml"/><Relationship Id="rId17" Type="http://schemas.openxmlformats.org/officeDocument/2006/relationships/chart" Target="charts/chart10.xml"/><Relationship Id="rId2" Type="http://schemas.openxmlformats.org/officeDocument/2006/relationships/styles" Target="styles.xml"/><Relationship Id="rId16" Type="http://schemas.openxmlformats.org/officeDocument/2006/relationships/chart" Target="charts/chart9.xml"/><Relationship Id="rId20" Type="http://schemas.openxmlformats.org/officeDocument/2006/relationships/image" Target="media/image5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chart" Target="charts/chart6.xml"/><Relationship Id="rId24" Type="http://schemas.openxmlformats.org/officeDocument/2006/relationships/theme" Target="theme/theme1.xml"/><Relationship Id="rId5" Type="http://schemas.openxmlformats.org/officeDocument/2006/relationships/chart" Target="charts/chart1.xml"/><Relationship Id="rId15" Type="http://schemas.openxmlformats.org/officeDocument/2006/relationships/image" Target="media/image3.png"/><Relationship Id="rId23" Type="http://schemas.openxmlformats.org/officeDocument/2006/relationships/fontTable" Target="fontTable.xml"/><Relationship Id="rId10" Type="http://schemas.openxmlformats.org/officeDocument/2006/relationships/chart" Target="charts/chart5.xml"/><Relationship Id="rId19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chart" Target="charts/chart4.xml"/><Relationship Id="rId14" Type="http://schemas.openxmlformats.org/officeDocument/2006/relationships/image" Target="media/image2.png"/><Relationship Id="rId22" Type="http://schemas.openxmlformats.org/officeDocument/2006/relationships/image" Target="media/image6.png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Documentos\Marca%20Personal%20Proyecto\Proyectos\Python%20+%20PowerBI%20+%20Excel%20-%20TranxMex%20Analisis%20y%20Optimizacion%20Finanaciera\4%20Dashboar%20PowerBI%20+%20Excel\An&#225;lisis%20y%20Optimizacion%20Financiera%20Dashboard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file:///C:\Documentos\Marca%20Personal%20Proyecto\Proyectos\Python%20+%20PowerBI%20+%20Excel%20-%20TranxMex%20Analisis%20y%20Optimizacion%20Finanaciera\4%20Dashboar%20PowerBI%20+%20Excel\An&#225;lisis%20y%20Optimizacion%20Financiera%20Dashboard.xlsx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oleObject" Target="file:///C:\Documentos\Marca%20Personal%20Proyecto\Proyectos\Python%20+%20PowerBI%20+%20Excel%20-%20TranxMex%20Analisis%20y%20Optimizacion%20Finanaciera\4%20Dashboar%20PowerBI%20+%20Excel\An&#225;lisis%20y%20Optimizacion%20Financiera%20Dashboard.xlsx" TargetMode="External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_rels/chart4.xml.rels><?xml version="1.0" encoding="UTF-8" standalone="yes"?>
<Relationships xmlns="http://schemas.openxmlformats.org/package/2006/relationships"><Relationship Id="rId3" Type="http://schemas.openxmlformats.org/officeDocument/2006/relationships/oleObject" Target="file:///C:\Documentos\Marca%20Personal%20Proyecto\Proyectos\Python%20+%20PowerBI%20+%20Excel%20-%20TranxMex%20Analisis%20y%20Optimizacion%20Finanaciera\4%20Dashboar%20PowerBI%20+%20Excel\An&#225;lisis%20y%20Optimizacion%20Financiera%20Dashboard.xlsx" TargetMode="External"/><Relationship Id="rId2" Type="http://schemas.microsoft.com/office/2011/relationships/chartColorStyle" Target="colors4.xml"/><Relationship Id="rId1" Type="http://schemas.microsoft.com/office/2011/relationships/chartStyle" Target="style4.xml"/></Relationships>
</file>

<file path=word/charts/_rels/chart5.xml.rels><?xml version="1.0" encoding="UTF-8" standalone="yes"?>
<Relationships xmlns="http://schemas.openxmlformats.org/package/2006/relationships"><Relationship Id="rId3" Type="http://schemas.openxmlformats.org/officeDocument/2006/relationships/oleObject" Target="file:///C:\Documentos\Marca%20Personal%20Proyecto\Proyectos\Python%20+%20PowerBI%20+%20Excel%20-%20TranxMex%20Analisis%20y%20Optimizacion%20Finanaciera\4%20Dashboar%20PowerBI%20+%20Excel\An&#225;lisis%20y%20Optimizacion%20Financiera%20Dashboard.xlsx" TargetMode="External"/><Relationship Id="rId2" Type="http://schemas.microsoft.com/office/2011/relationships/chartColorStyle" Target="colors5.xml"/><Relationship Id="rId1" Type="http://schemas.microsoft.com/office/2011/relationships/chartStyle" Target="style5.xml"/></Relationships>
</file>

<file path=word/charts/_rels/chart6.xml.rels><?xml version="1.0" encoding="UTF-8" standalone="yes"?>
<Relationships xmlns="http://schemas.openxmlformats.org/package/2006/relationships"><Relationship Id="rId3" Type="http://schemas.openxmlformats.org/officeDocument/2006/relationships/oleObject" Target="file:///C:\Documentos\Marca%20Personal%20Proyecto\Proyectos\Python%20+%20PowerBI%20+%20Excel%20-%20TranxMex%20Analisis%20y%20Optimizacion%20Finanaciera\4%20Dashboar%20PowerBI%20+%20Excel\An&#225;lisis%20y%20Optimizacion%20Financiera%20Dashboard.xlsx" TargetMode="External"/><Relationship Id="rId2" Type="http://schemas.microsoft.com/office/2011/relationships/chartColorStyle" Target="colors6.xml"/><Relationship Id="rId1" Type="http://schemas.microsoft.com/office/2011/relationships/chartStyle" Target="style6.xml"/></Relationships>
</file>

<file path=word/charts/_rels/chart7.xml.rels><?xml version="1.0" encoding="UTF-8" standalone="yes"?>
<Relationships xmlns="http://schemas.openxmlformats.org/package/2006/relationships"><Relationship Id="rId3" Type="http://schemas.openxmlformats.org/officeDocument/2006/relationships/oleObject" Target="file:///C:\Documentos\Marca%20Personal%20Proyecto\Proyectos\Python%20+%20PowerBI%20+%20Excel%20-%20TranxMex%20Analisis%20y%20Optimizacion%20Finanaciera\4%20Dashboar%20PowerBI%20+%20Excel\An&#225;lisis%20y%20Optimizacion%20Financiera%20Dashboard.xlsx" TargetMode="External"/><Relationship Id="rId2" Type="http://schemas.microsoft.com/office/2011/relationships/chartColorStyle" Target="colors7.xml"/><Relationship Id="rId1" Type="http://schemas.microsoft.com/office/2011/relationships/chartStyle" Target="style7.xml"/></Relationships>
</file>

<file path=word/charts/_rels/chart8.xml.rels><?xml version="1.0" encoding="UTF-8" standalone="yes"?>
<Relationships xmlns="http://schemas.openxmlformats.org/package/2006/relationships"><Relationship Id="rId3" Type="http://schemas.openxmlformats.org/officeDocument/2006/relationships/oleObject" Target="file:///C:\Documentos\Marca%20Personal%20Proyecto\Proyectos\Python%20+%20PowerBI%20+%20Excel%20-%20TranxMex%20Analisis%20y%20Optimizacion%20Finanaciera\4%20Dashboar%20PowerBI%20+%20Excel\An&#225;lisis%20y%20Optimizacion%20Financiera%20Dashboard.xlsx" TargetMode="External"/><Relationship Id="rId2" Type="http://schemas.microsoft.com/office/2011/relationships/chartColorStyle" Target="colors8.xml"/><Relationship Id="rId1" Type="http://schemas.microsoft.com/office/2011/relationships/chartStyle" Target="style8.xml"/></Relationships>
</file>

<file path=word/charts/_rels/chart9.xml.rels><?xml version="1.0" encoding="UTF-8" standalone="yes"?>
<Relationships xmlns="http://schemas.openxmlformats.org/package/2006/relationships"><Relationship Id="rId3" Type="http://schemas.openxmlformats.org/officeDocument/2006/relationships/oleObject" Target="file:///C:\Documentos\Marca%20Personal%20Proyecto\Proyectos\Python%20+%20PowerBI%20+%20Excel%20-%20TranxMex%20Analisis%20y%20Optimizacion%20Finanaciera\4%20Dashboar%20PowerBI%20+%20Excel\An&#225;lisis%20y%20Optimizacion%20Financiera%20Dashboard.xlsx" TargetMode="External"/><Relationship Id="rId2" Type="http://schemas.microsoft.com/office/2011/relationships/chartColorStyle" Target="colors9.xml"/><Relationship Id="rId1" Type="http://schemas.microsoft.com/office/2011/relationships/chartStyle" Target="style9.xml"/></Relationships>
</file>

<file path=word/charts/_rels/chart10.xml.rels><?xml version="1.0" encoding="UTF-8" standalone="yes"?>
<Relationships xmlns="http://schemas.openxmlformats.org/package/2006/relationships"><Relationship Id="rId1" Type="http://schemas.openxmlformats.org/officeDocument/2006/relationships/oleObject" Target="file:///C:\Documentos\Marca%20Personal%20Proyecto\Proyectos\Python%20+%20PowerBI%20+%20Excel%20-%20TranxMex%20Analisis%20y%20Optimizacion%20Finanaciera\4%20Dashboar%20PowerBI%20+%20Excel\An&#225;lisis%20y%20Optimizacion%20Financiera%20Dashboard.xlsx" TargetMode="External"/></Relationships>
</file>

<file path=word/charts/_rels/chart1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Documentos\Marca%20Personal%20Proyecto\Proyectos\Python%20+%20PowerBI%20+%20Excel%20-%20TranxMex%20Analisis%20y%20Optimizacion%20Finanaciera\4%20Dashboar%20PowerBI%20+%20Excel\An&#225;lisis%20y%20Optimizacion%20Financiera%20Dashboard.xlsx" TargetMode="External"/><Relationship Id="rId2" Type="http://schemas.microsoft.com/office/2011/relationships/chartColorStyle" Target="colors10.xml"/><Relationship Id="rId1" Type="http://schemas.microsoft.com/office/2011/relationships/chartStyle" Target="style10.xml"/></Relationships>
</file>

<file path=word/charts/_rels/chartEx1.xml.rels><?xml version="1.0" encoding="UTF-8" standalone="yes"?>
<Relationships xmlns="http://schemas.openxmlformats.org/package/2006/relationships"><Relationship Id="rId3" Type="http://schemas.microsoft.com/office/2011/relationships/chartColorStyle" Target="colors11.xml"/><Relationship Id="rId2" Type="http://schemas.microsoft.com/office/2011/relationships/chartStyle" Target="style11.xml"/><Relationship Id="rId1" Type="http://schemas.openxmlformats.org/officeDocument/2006/relationships/oleObject" Target="file:///C:\Documentos\Marca%20Personal%20Proyecto\Proyectos\Python%20+%20PowerBI%20+%20Excel%20-%20TranxMex%20Analisis%20y%20Optimizacion%20Finanaciera\4%20Dashboar%20PowerBI%20+%20Excel\An&#225;lisis%20y%20Optimizacion%20Financiera%20Dashboard.xlsx" TargetMode="Externa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pivotSource>
    <c:name>[Análisis y Optimizacion Financiera Dashboard.xlsx]Graficas!1_transacciones_x_estado_%</c:name>
    <c:fmtId val="-1"/>
  </c:pivotSource>
  <c:chart>
    <c:autoTitleDeleted val="1"/>
    <c:pivotFmts>
      <c:pivotFmt>
        <c:idx val="0"/>
        <c:dLbl>
          <c:idx val="0"/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"/>
        <c:dLbl>
          <c:idx val="0"/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"/>
      </c:pivotFmt>
      <c:pivotFmt>
        <c:idx val="3"/>
      </c:pivotFmt>
      <c:pivotFmt>
        <c:idx val="4"/>
      </c:pivotFmt>
      <c:pivotFmt>
        <c:idx val="5"/>
      </c:pivotFmt>
      <c:pivotFmt>
        <c:idx val="6"/>
        <c:spPr>
          <a:solidFill>
            <a:schemeClr val="accent1"/>
          </a:solidFill>
          <a:ln>
            <a:noFill/>
          </a:ln>
          <a:effectLst>
            <a:outerShdw blurRad="317500" algn="ctr" rotWithShape="0">
              <a:prstClr val="black">
                <a:alpha val="25000"/>
              </a:prstClr>
            </a:outerShdw>
          </a:effectLst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1" i="0" u="none" strike="noStrike" kern="1200" baseline="0">
                  <a:solidFill>
                    <a:schemeClr val="lt1"/>
                  </a:solidFill>
                  <a:latin typeface="+mn-lt"/>
                  <a:ea typeface="+mn-ea"/>
                  <a:cs typeface="+mn-cs"/>
                </a:defRPr>
              </a:pPr>
              <a:endParaRPr lang="es-ES"/>
            </a:p>
          </c:txPr>
          <c:showLegendKey val="0"/>
          <c:showVal val="0"/>
          <c:showCatName val="0"/>
          <c:showSerName val="0"/>
          <c:showPercent val="1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7"/>
        <c:spPr>
          <a:solidFill>
            <a:srgbClr val="FFBA2F"/>
          </a:solidFill>
          <a:ln>
            <a:noFill/>
          </a:ln>
          <a:effectLst>
            <a:outerShdw blurRad="317500" algn="ctr" rotWithShape="0">
              <a:prstClr val="black">
                <a:alpha val="25000"/>
              </a:prstClr>
            </a:outerShdw>
          </a:effectLst>
        </c:spPr>
        <c:dLbl>
          <c:idx val="0"/>
          <c:layout>
            <c:manualLayout>
              <c:x val="-0.16800947200211963"/>
              <c:y val="-6.7249322918300547E-2"/>
            </c:manualLayout>
          </c:layout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1" i="0" u="none" strike="noStrike" kern="1200" baseline="0">
                  <a:solidFill>
                    <a:schemeClr val="lt1"/>
                  </a:solidFill>
                  <a:latin typeface="+mn-lt"/>
                  <a:ea typeface="+mn-ea"/>
                  <a:cs typeface="+mn-cs"/>
                </a:defRPr>
              </a:pPr>
              <a:endParaRPr lang="es-ES"/>
            </a:p>
          </c:txPr>
          <c:showLegendKey val="0"/>
          <c:showVal val="0"/>
          <c:showCatName val="0"/>
          <c:showSerName val="0"/>
          <c:showPercent val="1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8"/>
        <c:spPr>
          <a:solidFill>
            <a:srgbClr val="008FEC"/>
          </a:solidFill>
          <a:ln>
            <a:noFill/>
          </a:ln>
          <a:effectLst>
            <a:outerShdw blurRad="317500" algn="ctr" rotWithShape="0">
              <a:prstClr val="black">
                <a:alpha val="25000"/>
              </a:prstClr>
            </a:outerShdw>
          </a:effectLst>
        </c:spPr>
        <c:dLbl>
          <c:idx val="0"/>
          <c:layout>
            <c:manualLayout>
              <c:x val="0.14863387978142076"/>
              <c:y val="0.15277777777777779"/>
            </c:manualLayout>
          </c:layout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1" i="0" u="none" strike="noStrike" kern="1200" baseline="0">
                  <a:solidFill>
                    <a:schemeClr val="lt1"/>
                  </a:solidFill>
                  <a:latin typeface="+mn-lt"/>
                  <a:ea typeface="+mn-ea"/>
                  <a:cs typeface="+mn-cs"/>
                </a:defRPr>
              </a:pPr>
              <a:endParaRPr lang="es-ES"/>
            </a:p>
          </c:txPr>
          <c:showLegendKey val="0"/>
          <c:showVal val="0"/>
          <c:showCatName val="0"/>
          <c:showSerName val="0"/>
          <c:showPercent val="1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9"/>
        <c:spPr>
          <a:solidFill>
            <a:srgbClr val="F13636"/>
          </a:solidFill>
          <a:ln>
            <a:noFill/>
          </a:ln>
          <a:effectLst>
            <a:outerShdw blurRad="317500" algn="ctr" rotWithShape="0">
              <a:prstClr val="black">
                <a:alpha val="25000"/>
              </a:prstClr>
            </a:outerShdw>
          </a:effectLst>
        </c:spPr>
        <c:dLbl>
          <c:idx val="0"/>
          <c:layout>
            <c:manualLayout>
              <c:x val="-0.14426229508196722"/>
              <c:y val="-5.0925743657042867E-2"/>
            </c:manualLayout>
          </c:layout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1" i="0" u="none" strike="noStrike" kern="1200" baseline="0">
                  <a:solidFill>
                    <a:schemeClr val="lt1"/>
                  </a:solidFill>
                  <a:latin typeface="+mn-lt"/>
                  <a:ea typeface="+mn-ea"/>
                  <a:cs typeface="+mn-cs"/>
                </a:defRPr>
              </a:pPr>
              <a:endParaRPr lang="es-ES"/>
            </a:p>
          </c:txPr>
          <c:showLegendKey val="0"/>
          <c:showVal val="0"/>
          <c:showCatName val="0"/>
          <c:showSerName val="0"/>
          <c:showPercent val="1"/>
          <c:showBubbleSize val="0"/>
          <c:extLst>
            <c:ext xmlns:c15="http://schemas.microsoft.com/office/drawing/2012/chart" uri="{CE6537A1-D6FC-4f65-9D91-7224C49458BB}">
              <c15:layout>
                <c:manualLayout>
                  <c:w val="9.4775956284153001E-2"/>
                  <c:h val="6.4745552639253412E-2"/>
                </c:manualLayout>
              </c15:layout>
            </c:ext>
          </c:extLst>
        </c:dLbl>
      </c:pivotFmt>
      <c:pivotFmt>
        <c:idx val="10"/>
        <c:spPr>
          <a:solidFill>
            <a:srgbClr val="9013FE"/>
          </a:solidFill>
          <a:ln>
            <a:noFill/>
          </a:ln>
          <a:effectLst>
            <a:outerShdw blurRad="317500" algn="ctr" rotWithShape="0">
              <a:prstClr val="black">
                <a:alpha val="25000"/>
              </a:prstClr>
            </a:outerShdw>
          </a:effectLst>
        </c:spPr>
        <c:dLbl>
          <c:idx val="0"/>
          <c:layout>
            <c:manualLayout>
              <c:x val="-0.11210280102999748"/>
              <c:y val="-0.10594639813449613"/>
            </c:manualLayout>
          </c:layout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1" i="0" u="none" strike="noStrike" kern="1200" baseline="0">
                  <a:solidFill>
                    <a:schemeClr val="lt1"/>
                  </a:solidFill>
                  <a:latin typeface="+mn-lt"/>
                  <a:ea typeface="+mn-ea"/>
                  <a:cs typeface="+mn-cs"/>
                </a:defRPr>
              </a:pPr>
              <a:endParaRPr lang="es-ES"/>
            </a:p>
          </c:txPr>
          <c:showLegendKey val="0"/>
          <c:showVal val="0"/>
          <c:showCatName val="0"/>
          <c:showSerName val="0"/>
          <c:showPercent val="1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1"/>
        <c:spPr>
          <a:solidFill>
            <a:schemeClr val="accent1"/>
          </a:solidFill>
          <a:ln>
            <a:noFill/>
          </a:ln>
          <a:effectLst>
            <a:outerShdw blurRad="317500" algn="ctr" rotWithShape="0">
              <a:prstClr val="black">
                <a:alpha val="25000"/>
              </a:prstClr>
            </a:outerShdw>
          </a:effectLst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1" i="0" u="none" strike="noStrike" kern="1200" baseline="0">
                  <a:solidFill>
                    <a:schemeClr val="lt1"/>
                  </a:solidFill>
                  <a:latin typeface="+mn-lt"/>
                  <a:ea typeface="+mn-ea"/>
                  <a:cs typeface="+mn-cs"/>
                </a:defRPr>
              </a:pPr>
              <a:endParaRPr lang="es-ES"/>
            </a:p>
          </c:txPr>
          <c:showLegendKey val="0"/>
          <c:showVal val="0"/>
          <c:showCatName val="0"/>
          <c:showSerName val="0"/>
          <c:showPercent val="1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2"/>
        <c:spPr>
          <a:solidFill>
            <a:srgbClr val="008FEC"/>
          </a:solidFill>
          <a:ln>
            <a:noFill/>
          </a:ln>
          <a:effectLst>
            <a:outerShdw blurRad="317500" algn="ctr" rotWithShape="0">
              <a:prstClr val="black">
                <a:alpha val="25000"/>
              </a:prstClr>
            </a:outerShdw>
          </a:effectLst>
        </c:spPr>
        <c:dLbl>
          <c:idx val="0"/>
          <c:layout>
            <c:manualLayout>
              <c:x val="0.14863387978142076"/>
              <c:y val="0.15277777777777779"/>
            </c:manualLayout>
          </c:layout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1" i="0" u="none" strike="noStrike" kern="1200" baseline="0">
                  <a:solidFill>
                    <a:schemeClr val="lt1"/>
                  </a:solidFill>
                  <a:latin typeface="+mn-lt"/>
                  <a:ea typeface="+mn-ea"/>
                  <a:cs typeface="+mn-cs"/>
                </a:defRPr>
              </a:pPr>
              <a:endParaRPr lang="es-ES"/>
            </a:p>
          </c:txPr>
          <c:showLegendKey val="0"/>
          <c:showVal val="0"/>
          <c:showCatName val="0"/>
          <c:showSerName val="0"/>
          <c:showPercent val="1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3"/>
        <c:spPr>
          <a:solidFill>
            <a:srgbClr val="F13636"/>
          </a:solidFill>
          <a:ln>
            <a:noFill/>
          </a:ln>
          <a:effectLst>
            <a:outerShdw blurRad="317500" algn="ctr" rotWithShape="0">
              <a:prstClr val="black">
                <a:alpha val="25000"/>
              </a:prstClr>
            </a:outerShdw>
          </a:effectLst>
        </c:spPr>
        <c:dLbl>
          <c:idx val="0"/>
          <c:layout>
            <c:manualLayout>
              <c:x val="-0.14426229508196722"/>
              <c:y val="-5.0925743657042867E-2"/>
            </c:manualLayout>
          </c:layout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1" i="0" u="none" strike="noStrike" kern="1200" baseline="0">
                  <a:solidFill>
                    <a:schemeClr val="lt1"/>
                  </a:solidFill>
                  <a:latin typeface="+mn-lt"/>
                  <a:ea typeface="+mn-ea"/>
                  <a:cs typeface="+mn-cs"/>
                </a:defRPr>
              </a:pPr>
              <a:endParaRPr lang="es-ES"/>
            </a:p>
          </c:txPr>
          <c:showLegendKey val="0"/>
          <c:showVal val="0"/>
          <c:showCatName val="0"/>
          <c:showSerName val="0"/>
          <c:showPercent val="1"/>
          <c:showBubbleSize val="0"/>
          <c:extLst>
            <c:ext xmlns:c15="http://schemas.microsoft.com/office/drawing/2012/chart" uri="{CE6537A1-D6FC-4f65-9D91-7224C49458BB}">
              <c15:layout>
                <c:manualLayout>
                  <c:w val="9.4775956284153001E-2"/>
                  <c:h val="6.4745552639253412E-2"/>
                </c:manualLayout>
              </c15:layout>
            </c:ext>
          </c:extLst>
        </c:dLbl>
      </c:pivotFmt>
      <c:pivotFmt>
        <c:idx val="14"/>
        <c:spPr>
          <a:solidFill>
            <a:srgbClr val="FFBA2F"/>
          </a:solidFill>
          <a:ln>
            <a:noFill/>
          </a:ln>
          <a:effectLst>
            <a:outerShdw blurRad="317500" algn="ctr" rotWithShape="0">
              <a:prstClr val="black">
                <a:alpha val="25000"/>
              </a:prstClr>
            </a:outerShdw>
          </a:effectLst>
        </c:spPr>
        <c:dLbl>
          <c:idx val="0"/>
          <c:layout>
            <c:manualLayout>
              <c:x val="-0.16800947200211963"/>
              <c:y val="-6.7249322918300547E-2"/>
            </c:manualLayout>
          </c:layout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1" i="0" u="none" strike="noStrike" kern="1200" baseline="0">
                  <a:solidFill>
                    <a:schemeClr val="lt1"/>
                  </a:solidFill>
                  <a:latin typeface="+mn-lt"/>
                  <a:ea typeface="+mn-ea"/>
                  <a:cs typeface="+mn-cs"/>
                </a:defRPr>
              </a:pPr>
              <a:endParaRPr lang="es-ES"/>
            </a:p>
          </c:txPr>
          <c:showLegendKey val="0"/>
          <c:showVal val="0"/>
          <c:showCatName val="0"/>
          <c:showSerName val="0"/>
          <c:showPercent val="1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5"/>
        <c:spPr>
          <a:solidFill>
            <a:srgbClr val="9013FE"/>
          </a:solidFill>
          <a:ln>
            <a:noFill/>
          </a:ln>
          <a:effectLst>
            <a:outerShdw blurRad="317500" algn="ctr" rotWithShape="0">
              <a:prstClr val="black">
                <a:alpha val="25000"/>
              </a:prstClr>
            </a:outerShdw>
          </a:effectLst>
        </c:spPr>
        <c:dLbl>
          <c:idx val="0"/>
          <c:layout>
            <c:manualLayout>
              <c:x val="-0.11210280102999748"/>
              <c:y val="-0.10594639813449613"/>
            </c:manualLayout>
          </c:layout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1" i="0" u="none" strike="noStrike" kern="1200" baseline="0">
                  <a:solidFill>
                    <a:schemeClr val="lt1"/>
                  </a:solidFill>
                  <a:latin typeface="+mn-lt"/>
                  <a:ea typeface="+mn-ea"/>
                  <a:cs typeface="+mn-cs"/>
                </a:defRPr>
              </a:pPr>
              <a:endParaRPr lang="es-ES"/>
            </a:p>
          </c:txPr>
          <c:showLegendKey val="0"/>
          <c:showVal val="0"/>
          <c:showCatName val="0"/>
          <c:showSerName val="0"/>
          <c:showPercent val="1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6"/>
        <c:spPr>
          <a:solidFill>
            <a:schemeClr val="accent1"/>
          </a:solidFill>
          <a:ln>
            <a:noFill/>
          </a:ln>
          <a:effectLst>
            <a:outerShdw blurRad="317500" algn="ctr" rotWithShape="0">
              <a:prstClr val="black">
                <a:alpha val="25000"/>
              </a:prstClr>
            </a:outerShdw>
          </a:effectLst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1" i="0" u="none" strike="noStrike" kern="1200" baseline="0">
                  <a:solidFill>
                    <a:schemeClr val="lt1"/>
                  </a:solidFill>
                  <a:latin typeface="+mn-lt"/>
                  <a:ea typeface="+mn-ea"/>
                  <a:cs typeface="+mn-cs"/>
                </a:defRPr>
              </a:pPr>
              <a:endParaRPr lang="es-ES"/>
            </a:p>
          </c:txPr>
          <c:showLegendKey val="0"/>
          <c:showVal val="0"/>
          <c:showCatName val="0"/>
          <c:showSerName val="0"/>
          <c:showPercent val="1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7"/>
        <c:spPr>
          <a:solidFill>
            <a:srgbClr val="008FEC"/>
          </a:solidFill>
          <a:ln>
            <a:noFill/>
          </a:ln>
          <a:effectLst>
            <a:outerShdw blurRad="317500" algn="ctr" rotWithShape="0">
              <a:prstClr val="black">
                <a:alpha val="25000"/>
              </a:prstClr>
            </a:outerShdw>
          </a:effectLst>
        </c:spPr>
        <c:dLbl>
          <c:idx val="0"/>
          <c:layout>
            <c:manualLayout>
              <c:x val="0.14863387978142076"/>
              <c:y val="0.15277777777777779"/>
            </c:manualLayout>
          </c:layout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1" i="0" u="none" strike="noStrike" kern="1200" baseline="0">
                  <a:solidFill>
                    <a:schemeClr val="lt1"/>
                  </a:solidFill>
                  <a:latin typeface="+mn-lt"/>
                  <a:ea typeface="+mn-ea"/>
                  <a:cs typeface="+mn-cs"/>
                </a:defRPr>
              </a:pPr>
              <a:endParaRPr lang="es-ES"/>
            </a:p>
          </c:txPr>
          <c:showLegendKey val="0"/>
          <c:showVal val="0"/>
          <c:showCatName val="0"/>
          <c:showSerName val="0"/>
          <c:showPercent val="1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8"/>
        <c:spPr>
          <a:solidFill>
            <a:srgbClr val="F13636"/>
          </a:solidFill>
          <a:ln>
            <a:noFill/>
          </a:ln>
          <a:effectLst>
            <a:outerShdw blurRad="317500" algn="ctr" rotWithShape="0">
              <a:prstClr val="black">
                <a:alpha val="25000"/>
              </a:prstClr>
            </a:outerShdw>
          </a:effectLst>
        </c:spPr>
        <c:dLbl>
          <c:idx val="0"/>
          <c:layout>
            <c:manualLayout>
              <c:x val="-0.14426229508196722"/>
              <c:y val="-5.0925743657042867E-2"/>
            </c:manualLayout>
          </c:layout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1" i="0" u="none" strike="noStrike" kern="1200" baseline="0">
                  <a:solidFill>
                    <a:schemeClr val="lt1"/>
                  </a:solidFill>
                  <a:latin typeface="+mn-lt"/>
                  <a:ea typeface="+mn-ea"/>
                  <a:cs typeface="+mn-cs"/>
                </a:defRPr>
              </a:pPr>
              <a:endParaRPr lang="es-ES"/>
            </a:p>
          </c:txPr>
          <c:showLegendKey val="0"/>
          <c:showVal val="0"/>
          <c:showCatName val="0"/>
          <c:showSerName val="0"/>
          <c:showPercent val="1"/>
          <c:showBubbleSize val="0"/>
          <c:extLst>
            <c:ext xmlns:c15="http://schemas.microsoft.com/office/drawing/2012/chart" uri="{CE6537A1-D6FC-4f65-9D91-7224C49458BB}">
              <c15:layout>
                <c:manualLayout>
                  <c:w val="9.4775956284153001E-2"/>
                  <c:h val="6.4745552639253412E-2"/>
                </c:manualLayout>
              </c15:layout>
            </c:ext>
          </c:extLst>
        </c:dLbl>
      </c:pivotFmt>
      <c:pivotFmt>
        <c:idx val="19"/>
        <c:spPr>
          <a:solidFill>
            <a:srgbClr val="FFBA2F"/>
          </a:solidFill>
          <a:ln>
            <a:noFill/>
          </a:ln>
          <a:effectLst>
            <a:outerShdw blurRad="317500" algn="ctr" rotWithShape="0">
              <a:prstClr val="black">
                <a:alpha val="25000"/>
              </a:prstClr>
            </a:outerShdw>
          </a:effectLst>
        </c:spPr>
        <c:dLbl>
          <c:idx val="0"/>
          <c:layout>
            <c:manualLayout>
              <c:x val="-0.16800947200211963"/>
              <c:y val="-6.7249322918300547E-2"/>
            </c:manualLayout>
          </c:layout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1" i="0" u="none" strike="noStrike" kern="1200" baseline="0">
                  <a:solidFill>
                    <a:schemeClr val="lt1"/>
                  </a:solidFill>
                  <a:latin typeface="+mn-lt"/>
                  <a:ea typeface="+mn-ea"/>
                  <a:cs typeface="+mn-cs"/>
                </a:defRPr>
              </a:pPr>
              <a:endParaRPr lang="es-ES"/>
            </a:p>
          </c:txPr>
          <c:showLegendKey val="0"/>
          <c:showVal val="0"/>
          <c:showCatName val="0"/>
          <c:showSerName val="0"/>
          <c:showPercent val="1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0"/>
        <c:spPr>
          <a:solidFill>
            <a:srgbClr val="9013FE"/>
          </a:solidFill>
          <a:ln>
            <a:noFill/>
          </a:ln>
          <a:effectLst>
            <a:outerShdw blurRad="317500" algn="ctr" rotWithShape="0">
              <a:prstClr val="black">
                <a:alpha val="25000"/>
              </a:prstClr>
            </a:outerShdw>
          </a:effectLst>
        </c:spPr>
        <c:dLbl>
          <c:idx val="0"/>
          <c:layout>
            <c:manualLayout>
              <c:x val="-0.11210280102999748"/>
              <c:y val="-0.10594639813449613"/>
            </c:manualLayout>
          </c:layout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1" i="0" u="none" strike="noStrike" kern="1200" baseline="0">
                  <a:solidFill>
                    <a:schemeClr val="lt1"/>
                  </a:solidFill>
                  <a:latin typeface="+mn-lt"/>
                  <a:ea typeface="+mn-ea"/>
                  <a:cs typeface="+mn-cs"/>
                </a:defRPr>
              </a:pPr>
              <a:endParaRPr lang="es-ES"/>
            </a:p>
          </c:txPr>
          <c:showLegendKey val="0"/>
          <c:showVal val="0"/>
          <c:showCatName val="0"/>
          <c:showSerName val="0"/>
          <c:showPercent val="1"/>
          <c:showBubbleSize val="0"/>
          <c:extLst>
            <c:ext xmlns:c15="http://schemas.microsoft.com/office/drawing/2012/chart" uri="{CE6537A1-D6FC-4f65-9D91-7224C49458BB}"/>
          </c:extLst>
        </c:dLbl>
      </c:pivotFmt>
    </c:pivotFmts>
    <c:plotArea>
      <c:layout/>
      <c:doughnutChart>
        <c:varyColors val="1"/>
        <c:ser>
          <c:idx val="0"/>
          <c:order val="0"/>
          <c:tx>
            <c:strRef>
              <c:f>Graficas!$L$4</c:f>
              <c:strCache>
                <c:ptCount val="1"/>
                <c:pt idx="0">
                  <c:v>Total</c:v>
                </c:pt>
              </c:strCache>
            </c:strRef>
          </c:tx>
          <c:dPt>
            <c:idx val="0"/>
            <c:bubble3D val="0"/>
            <c:spPr>
              <a:solidFill>
                <a:srgbClr val="008FEC"/>
              </a:solidFill>
              <a:ln>
                <a:noFill/>
              </a:ln>
              <a:effectLst>
                <a:outerShdw blurRad="317500" algn="ctr" rotWithShape="0">
                  <a:prstClr val="black">
                    <a:alpha val="25000"/>
                  </a:prstClr>
                </a:outerShdw>
              </a:effectLst>
            </c:spPr>
            <c:extLst>
              <c:ext xmlns:c16="http://schemas.microsoft.com/office/drawing/2014/chart" uri="{C3380CC4-5D6E-409C-BE32-E72D297353CC}">
                <c16:uniqueId val="{00000001-0497-4BEE-82E0-8739C50C9700}"/>
              </c:ext>
            </c:extLst>
          </c:dPt>
          <c:dPt>
            <c:idx val="1"/>
            <c:bubble3D val="0"/>
            <c:spPr>
              <a:solidFill>
                <a:srgbClr val="F13636"/>
              </a:solidFill>
              <a:ln>
                <a:noFill/>
              </a:ln>
              <a:effectLst>
                <a:outerShdw blurRad="317500" algn="ctr" rotWithShape="0">
                  <a:prstClr val="black">
                    <a:alpha val="25000"/>
                  </a:prstClr>
                </a:outerShdw>
              </a:effectLst>
            </c:spPr>
            <c:extLst>
              <c:ext xmlns:c16="http://schemas.microsoft.com/office/drawing/2014/chart" uri="{C3380CC4-5D6E-409C-BE32-E72D297353CC}">
                <c16:uniqueId val="{00000003-0497-4BEE-82E0-8739C50C9700}"/>
              </c:ext>
            </c:extLst>
          </c:dPt>
          <c:dPt>
            <c:idx val="2"/>
            <c:bubble3D val="0"/>
            <c:spPr>
              <a:solidFill>
                <a:srgbClr val="FFBA2F"/>
              </a:solidFill>
              <a:ln>
                <a:noFill/>
              </a:ln>
              <a:effectLst>
                <a:outerShdw blurRad="317500" algn="ctr" rotWithShape="0">
                  <a:prstClr val="black">
                    <a:alpha val="25000"/>
                  </a:prstClr>
                </a:outerShdw>
              </a:effectLst>
            </c:spPr>
            <c:extLst>
              <c:ext xmlns:c16="http://schemas.microsoft.com/office/drawing/2014/chart" uri="{C3380CC4-5D6E-409C-BE32-E72D297353CC}">
                <c16:uniqueId val="{00000005-0497-4BEE-82E0-8739C50C9700}"/>
              </c:ext>
            </c:extLst>
          </c:dPt>
          <c:dPt>
            <c:idx val="3"/>
            <c:bubble3D val="0"/>
            <c:spPr>
              <a:solidFill>
                <a:srgbClr val="9013FE"/>
              </a:solidFill>
              <a:ln>
                <a:noFill/>
              </a:ln>
              <a:effectLst>
                <a:outerShdw blurRad="317500" algn="ctr" rotWithShape="0">
                  <a:prstClr val="black">
                    <a:alpha val="25000"/>
                  </a:prstClr>
                </a:outerShdw>
              </a:effectLst>
            </c:spPr>
            <c:extLst>
              <c:ext xmlns:c16="http://schemas.microsoft.com/office/drawing/2014/chart" uri="{C3380CC4-5D6E-409C-BE32-E72D297353CC}">
                <c16:uniqueId val="{00000007-0497-4BEE-82E0-8739C50C9700}"/>
              </c:ext>
            </c:extLst>
          </c:dPt>
          <c:dLbls>
            <c:dLbl>
              <c:idx val="0"/>
              <c:layout>
                <c:manualLayout>
                  <c:x val="0.14863387978142076"/>
                  <c:y val="0.15277777777777779"/>
                </c:manualLayout>
              </c:layout>
              <c:showLegendKey val="0"/>
              <c:showVal val="0"/>
              <c:showCatName val="0"/>
              <c:showSerName val="0"/>
              <c:showPercent val="1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1-0497-4BEE-82E0-8739C50C9700}"/>
                </c:ext>
              </c:extLst>
            </c:dLbl>
            <c:dLbl>
              <c:idx val="1"/>
              <c:layout>
                <c:manualLayout>
                  <c:x val="-0.14426229508196722"/>
                  <c:y val="-5.0925743657042867E-2"/>
                </c:manualLayout>
              </c:layout>
              <c:showLegendKey val="0"/>
              <c:showVal val="0"/>
              <c:showCatName val="0"/>
              <c:showSerName val="0"/>
              <c:showPercent val="1"/>
              <c:showBubbleSize val="0"/>
              <c:extLst>
                <c:ext xmlns:c15="http://schemas.microsoft.com/office/drawing/2012/chart" uri="{CE6537A1-D6FC-4f65-9D91-7224C49458BB}">
                  <c15:layout>
                    <c:manualLayout>
                      <c:w val="9.4775956284153001E-2"/>
                      <c:h val="6.4745552639253412E-2"/>
                    </c:manualLayout>
                  </c15:layout>
                </c:ext>
                <c:ext xmlns:c16="http://schemas.microsoft.com/office/drawing/2014/chart" uri="{C3380CC4-5D6E-409C-BE32-E72D297353CC}">
                  <c16:uniqueId val="{00000003-0497-4BEE-82E0-8739C50C9700}"/>
                </c:ext>
              </c:extLst>
            </c:dLbl>
            <c:dLbl>
              <c:idx val="2"/>
              <c:layout>
                <c:manualLayout>
                  <c:x val="-0.16800947200211963"/>
                  <c:y val="-6.7249322918300547E-2"/>
                </c:manualLayout>
              </c:layout>
              <c:showLegendKey val="0"/>
              <c:showVal val="0"/>
              <c:showCatName val="0"/>
              <c:showSerName val="0"/>
              <c:showPercent val="1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5-0497-4BEE-82E0-8739C50C9700}"/>
                </c:ext>
              </c:extLst>
            </c:dLbl>
            <c:dLbl>
              <c:idx val="3"/>
              <c:layout>
                <c:manualLayout>
                  <c:x val="-0.11210280102999748"/>
                  <c:y val="-0.10594639813449613"/>
                </c:manualLayout>
              </c:layout>
              <c:showLegendKey val="0"/>
              <c:showVal val="0"/>
              <c:showCatName val="0"/>
              <c:showSerName val="0"/>
              <c:showPercent val="1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7-0497-4BEE-82E0-8739C50C9700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1" i="0" u="none" strike="noStrike" kern="1200" baseline="0">
                    <a:solidFill>
                      <a:schemeClr val="lt1"/>
                    </a:solidFill>
                    <a:latin typeface="+mn-lt"/>
                    <a:ea typeface="+mn-ea"/>
                    <a:cs typeface="+mn-cs"/>
                  </a:defRPr>
                </a:pPr>
                <a:endParaRPr lang="es-ES"/>
              </a:p>
            </c:txPr>
            <c:showLegendKey val="0"/>
            <c:showVal val="0"/>
            <c:showCatName val="0"/>
            <c:showSerName val="0"/>
            <c:showPercent val="1"/>
            <c:showBubbleSize val="0"/>
            <c:showLeaderLines val="1"/>
            <c:leaderLines>
              <c:spPr>
                <a:ln w="9525" cap="flat" cmpd="sng" algn="ctr">
                  <a:solidFill>
                    <a:schemeClr val="dk1">
                      <a:lumMod val="35000"/>
                      <a:lumOff val="65000"/>
                    </a:schemeClr>
                  </a:solidFill>
                  <a:round/>
                </a:ln>
                <a:effectLst/>
              </c:spPr>
            </c:leaderLines>
            <c:extLst>
              <c:ext xmlns:c15="http://schemas.microsoft.com/office/drawing/2012/chart" uri="{CE6537A1-D6FC-4f65-9D91-7224C49458BB}"/>
            </c:extLst>
          </c:dLbls>
          <c:cat>
            <c:strRef>
              <c:f>Graficas!$K$5:$K$9</c:f>
              <c:strCache>
                <c:ptCount val="4"/>
                <c:pt idx="0">
                  <c:v>Pagado</c:v>
                </c:pt>
                <c:pt idx="1">
                  <c:v>Pendiente</c:v>
                </c:pt>
                <c:pt idx="2">
                  <c:v>Cancelado</c:v>
                </c:pt>
                <c:pt idx="3">
                  <c:v>Rechazado</c:v>
                </c:pt>
              </c:strCache>
            </c:strRef>
          </c:cat>
          <c:val>
            <c:numRef>
              <c:f>Graficas!$L$5:$L$9</c:f>
              <c:numCache>
                <c:formatCode>_-* #,##0_-;\-* #,##0_-;_-* "-"??_-;_-@_-</c:formatCode>
                <c:ptCount val="4"/>
                <c:pt idx="0">
                  <c:v>701</c:v>
                </c:pt>
                <c:pt idx="1">
                  <c:v>161</c:v>
                </c:pt>
                <c:pt idx="2">
                  <c:v>70</c:v>
                </c:pt>
                <c:pt idx="3">
                  <c:v>70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8-0497-4BEE-82E0-8739C50C9700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  <c:showLeaderLines val="1"/>
        </c:dLbls>
        <c:firstSliceAng val="360"/>
        <c:holeSize val="59"/>
      </c:doughnut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bg1"/>
              </a:solidFill>
              <a:latin typeface="+mn-lt"/>
              <a:ea typeface="+mn-ea"/>
              <a:cs typeface="+mn-cs"/>
            </a:defRPr>
          </a:pPr>
          <a:endParaRPr lang="es-E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rgbClr val="212D3F"/>
    </a:solidFill>
    <a:ln w="9525" cap="flat" cmpd="sng" algn="ctr">
      <a:noFill/>
      <a:round/>
    </a:ln>
    <a:effectLst/>
  </c:spPr>
  <c:txPr>
    <a:bodyPr/>
    <a:lstStyle/>
    <a:p>
      <a:pPr>
        <a:defRPr/>
      </a:pPr>
      <a:endParaRPr lang="es-ES"/>
    </a:p>
  </c:txPr>
  <c:externalData r:id="rId3">
    <c:autoUpdate val="0"/>
  </c:externalData>
  <c:extLst>
    <c:ext xmlns:c14="http://schemas.microsoft.com/office/drawing/2007/8/2/chart" uri="{781A3756-C4B2-4CAC-9D66-4F8BD8637D16}">
      <c14:pivotOptions>
        <c14:dropZoneFilter val="1"/>
        <c14:dropZoneCategories val="1"/>
        <c14:dropZoneData val="1"/>
        <c14:dropZoneSeries val="1"/>
      </c14:pivotOptions>
    </c:ext>
    <c:ext xmlns:c16="http://schemas.microsoft.com/office/drawing/2014/chart" uri="{E28EC0CA-F0BB-4C9C-879D-F8772B89E7AC}">
      <c16:pivotOptions16>
        <c16:showExpandCollapseFieldButtons val="1"/>
      </c16:pivotOptions16>
    </c:ext>
  </c:extLst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pivotSource>
    <c:name>[Análisis y Optimizacion Financiera Dashboard.xlsx]Graficas!1_transacciones_x_estado_%</c:name>
    <c:fmtId val="-1"/>
  </c:pivotSource>
  <c:chart>
    <c:autoTitleDeleted val="1"/>
    <c:pivotFmts>
      <c:pivotFmt>
        <c:idx val="0"/>
        <c:dLbl>
          <c:idx val="0"/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"/>
        <c:dLbl>
          <c:idx val="0"/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"/>
      </c:pivotFmt>
      <c:pivotFmt>
        <c:idx val="3"/>
      </c:pivotFmt>
      <c:pivotFmt>
        <c:idx val="4"/>
      </c:pivotFmt>
      <c:pivotFmt>
        <c:idx val="5"/>
      </c:pivotFmt>
      <c:pivotFmt>
        <c:idx val="6"/>
        <c:spPr>
          <a:solidFill>
            <a:schemeClr val="accent1"/>
          </a:solidFill>
          <a:ln>
            <a:noFill/>
          </a:ln>
          <a:effectLst>
            <a:outerShdw blurRad="317500" algn="ctr" rotWithShape="0">
              <a:prstClr val="black">
                <a:alpha val="25000"/>
              </a:prstClr>
            </a:outerShdw>
          </a:effectLst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1" i="0" u="none" strike="noStrike" kern="1200" baseline="0">
                  <a:solidFill>
                    <a:schemeClr val="lt1"/>
                  </a:solidFill>
                  <a:latin typeface="+mn-lt"/>
                  <a:ea typeface="+mn-ea"/>
                  <a:cs typeface="+mn-cs"/>
                </a:defRPr>
              </a:pPr>
              <a:endParaRPr lang="es-ES"/>
            </a:p>
          </c:txPr>
          <c:showLegendKey val="0"/>
          <c:showVal val="0"/>
          <c:showCatName val="0"/>
          <c:showSerName val="0"/>
          <c:showPercent val="1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7"/>
        <c:spPr>
          <a:solidFill>
            <a:srgbClr val="FFBA2F"/>
          </a:solidFill>
          <a:ln>
            <a:noFill/>
          </a:ln>
          <a:effectLst>
            <a:outerShdw blurRad="317500" algn="ctr" rotWithShape="0">
              <a:prstClr val="black">
                <a:alpha val="25000"/>
              </a:prstClr>
            </a:outerShdw>
          </a:effectLst>
        </c:spPr>
        <c:dLbl>
          <c:idx val="0"/>
          <c:layout>
            <c:manualLayout>
              <c:x val="-0.16800947200211963"/>
              <c:y val="-6.7249322918300547E-2"/>
            </c:manualLayout>
          </c:layout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1" i="0" u="none" strike="noStrike" kern="1200" baseline="0">
                  <a:solidFill>
                    <a:schemeClr val="lt1"/>
                  </a:solidFill>
                  <a:latin typeface="+mn-lt"/>
                  <a:ea typeface="+mn-ea"/>
                  <a:cs typeface="+mn-cs"/>
                </a:defRPr>
              </a:pPr>
              <a:endParaRPr lang="es-ES"/>
            </a:p>
          </c:txPr>
          <c:showLegendKey val="0"/>
          <c:showVal val="0"/>
          <c:showCatName val="0"/>
          <c:showSerName val="0"/>
          <c:showPercent val="1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8"/>
        <c:spPr>
          <a:solidFill>
            <a:srgbClr val="008FEC"/>
          </a:solidFill>
          <a:ln>
            <a:noFill/>
          </a:ln>
          <a:effectLst>
            <a:outerShdw blurRad="317500" algn="ctr" rotWithShape="0">
              <a:prstClr val="black">
                <a:alpha val="25000"/>
              </a:prstClr>
            </a:outerShdw>
          </a:effectLst>
        </c:spPr>
        <c:dLbl>
          <c:idx val="0"/>
          <c:layout>
            <c:manualLayout>
              <c:x val="0.14863387978142076"/>
              <c:y val="0.15277777777777779"/>
            </c:manualLayout>
          </c:layout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1" i="0" u="none" strike="noStrike" kern="1200" baseline="0">
                  <a:solidFill>
                    <a:schemeClr val="lt1"/>
                  </a:solidFill>
                  <a:latin typeface="+mn-lt"/>
                  <a:ea typeface="+mn-ea"/>
                  <a:cs typeface="+mn-cs"/>
                </a:defRPr>
              </a:pPr>
              <a:endParaRPr lang="es-ES"/>
            </a:p>
          </c:txPr>
          <c:showLegendKey val="0"/>
          <c:showVal val="0"/>
          <c:showCatName val="0"/>
          <c:showSerName val="0"/>
          <c:showPercent val="1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9"/>
        <c:spPr>
          <a:solidFill>
            <a:srgbClr val="F13636"/>
          </a:solidFill>
          <a:ln>
            <a:noFill/>
          </a:ln>
          <a:effectLst>
            <a:outerShdw blurRad="317500" algn="ctr" rotWithShape="0">
              <a:prstClr val="black">
                <a:alpha val="25000"/>
              </a:prstClr>
            </a:outerShdw>
          </a:effectLst>
        </c:spPr>
        <c:dLbl>
          <c:idx val="0"/>
          <c:layout>
            <c:manualLayout>
              <c:x val="-0.14426229508196722"/>
              <c:y val="-5.0925743657042867E-2"/>
            </c:manualLayout>
          </c:layout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1" i="0" u="none" strike="noStrike" kern="1200" baseline="0">
                  <a:solidFill>
                    <a:schemeClr val="lt1"/>
                  </a:solidFill>
                  <a:latin typeface="+mn-lt"/>
                  <a:ea typeface="+mn-ea"/>
                  <a:cs typeface="+mn-cs"/>
                </a:defRPr>
              </a:pPr>
              <a:endParaRPr lang="es-ES"/>
            </a:p>
          </c:txPr>
          <c:showLegendKey val="0"/>
          <c:showVal val="0"/>
          <c:showCatName val="0"/>
          <c:showSerName val="0"/>
          <c:showPercent val="1"/>
          <c:showBubbleSize val="0"/>
          <c:extLst>
            <c:ext xmlns:c15="http://schemas.microsoft.com/office/drawing/2012/chart" uri="{CE6537A1-D6FC-4f65-9D91-7224C49458BB}">
              <c15:layout>
                <c:manualLayout>
                  <c:w val="9.4775956284153001E-2"/>
                  <c:h val="6.4745552639253412E-2"/>
                </c:manualLayout>
              </c15:layout>
            </c:ext>
          </c:extLst>
        </c:dLbl>
      </c:pivotFmt>
      <c:pivotFmt>
        <c:idx val="10"/>
        <c:spPr>
          <a:solidFill>
            <a:srgbClr val="9013FE"/>
          </a:solidFill>
          <a:ln>
            <a:noFill/>
          </a:ln>
          <a:effectLst>
            <a:outerShdw blurRad="317500" algn="ctr" rotWithShape="0">
              <a:prstClr val="black">
                <a:alpha val="25000"/>
              </a:prstClr>
            </a:outerShdw>
          </a:effectLst>
        </c:spPr>
        <c:dLbl>
          <c:idx val="0"/>
          <c:layout>
            <c:manualLayout>
              <c:x val="-0.11210280102999748"/>
              <c:y val="-0.10594639813449613"/>
            </c:manualLayout>
          </c:layout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1" i="0" u="none" strike="noStrike" kern="1200" baseline="0">
                  <a:solidFill>
                    <a:schemeClr val="lt1"/>
                  </a:solidFill>
                  <a:latin typeface="+mn-lt"/>
                  <a:ea typeface="+mn-ea"/>
                  <a:cs typeface="+mn-cs"/>
                </a:defRPr>
              </a:pPr>
              <a:endParaRPr lang="es-ES"/>
            </a:p>
          </c:txPr>
          <c:showLegendKey val="0"/>
          <c:showVal val="0"/>
          <c:showCatName val="0"/>
          <c:showSerName val="0"/>
          <c:showPercent val="1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1"/>
        <c:spPr>
          <a:solidFill>
            <a:schemeClr val="accent1"/>
          </a:solidFill>
          <a:ln>
            <a:noFill/>
          </a:ln>
          <a:effectLst>
            <a:outerShdw blurRad="317500" algn="ctr" rotWithShape="0">
              <a:prstClr val="black">
                <a:alpha val="25000"/>
              </a:prstClr>
            </a:outerShdw>
          </a:effectLst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1" i="0" u="none" strike="noStrike" kern="1200" baseline="0">
                  <a:solidFill>
                    <a:schemeClr val="lt1"/>
                  </a:solidFill>
                  <a:latin typeface="+mn-lt"/>
                  <a:ea typeface="+mn-ea"/>
                  <a:cs typeface="+mn-cs"/>
                </a:defRPr>
              </a:pPr>
              <a:endParaRPr lang="es-ES"/>
            </a:p>
          </c:txPr>
          <c:showLegendKey val="0"/>
          <c:showVal val="0"/>
          <c:showCatName val="0"/>
          <c:showSerName val="0"/>
          <c:showPercent val="1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2"/>
        <c:spPr>
          <a:solidFill>
            <a:srgbClr val="008FEC"/>
          </a:solidFill>
          <a:ln>
            <a:noFill/>
          </a:ln>
          <a:effectLst>
            <a:outerShdw blurRad="317500" algn="ctr" rotWithShape="0">
              <a:prstClr val="black">
                <a:alpha val="25000"/>
              </a:prstClr>
            </a:outerShdw>
          </a:effectLst>
        </c:spPr>
        <c:dLbl>
          <c:idx val="0"/>
          <c:layout>
            <c:manualLayout>
              <c:x val="0.14863387978142076"/>
              <c:y val="0.15277777777777779"/>
            </c:manualLayout>
          </c:layout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1" i="0" u="none" strike="noStrike" kern="1200" baseline="0">
                  <a:solidFill>
                    <a:schemeClr val="lt1"/>
                  </a:solidFill>
                  <a:latin typeface="+mn-lt"/>
                  <a:ea typeface="+mn-ea"/>
                  <a:cs typeface="+mn-cs"/>
                </a:defRPr>
              </a:pPr>
              <a:endParaRPr lang="es-ES"/>
            </a:p>
          </c:txPr>
          <c:showLegendKey val="0"/>
          <c:showVal val="0"/>
          <c:showCatName val="0"/>
          <c:showSerName val="0"/>
          <c:showPercent val="1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3"/>
        <c:spPr>
          <a:solidFill>
            <a:srgbClr val="F13636"/>
          </a:solidFill>
          <a:ln>
            <a:noFill/>
          </a:ln>
          <a:effectLst>
            <a:outerShdw blurRad="317500" algn="ctr" rotWithShape="0">
              <a:prstClr val="black">
                <a:alpha val="25000"/>
              </a:prstClr>
            </a:outerShdw>
          </a:effectLst>
        </c:spPr>
        <c:dLbl>
          <c:idx val="0"/>
          <c:layout>
            <c:manualLayout>
              <c:x val="-0.14426229508196722"/>
              <c:y val="-5.0925743657042867E-2"/>
            </c:manualLayout>
          </c:layout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1" i="0" u="none" strike="noStrike" kern="1200" baseline="0">
                  <a:solidFill>
                    <a:schemeClr val="lt1"/>
                  </a:solidFill>
                  <a:latin typeface="+mn-lt"/>
                  <a:ea typeface="+mn-ea"/>
                  <a:cs typeface="+mn-cs"/>
                </a:defRPr>
              </a:pPr>
              <a:endParaRPr lang="es-ES"/>
            </a:p>
          </c:txPr>
          <c:showLegendKey val="0"/>
          <c:showVal val="0"/>
          <c:showCatName val="0"/>
          <c:showSerName val="0"/>
          <c:showPercent val="1"/>
          <c:showBubbleSize val="0"/>
          <c:extLst>
            <c:ext xmlns:c15="http://schemas.microsoft.com/office/drawing/2012/chart" uri="{CE6537A1-D6FC-4f65-9D91-7224C49458BB}">
              <c15:layout>
                <c:manualLayout>
                  <c:w val="9.4775956284153001E-2"/>
                  <c:h val="6.4745552639253412E-2"/>
                </c:manualLayout>
              </c15:layout>
            </c:ext>
          </c:extLst>
        </c:dLbl>
      </c:pivotFmt>
      <c:pivotFmt>
        <c:idx val="14"/>
        <c:spPr>
          <a:solidFill>
            <a:srgbClr val="FFBA2F"/>
          </a:solidFill>
          <a:ln>
            <a:noFill/>
          </a:ln>
          <a:effectLst>
            <a:outerShdw blurRad="317500" algn="ctr" rotWithShape="0">
              <a:prstClr val="black">
                <a:alpha val="25000"/>
              </a:prstClr>
            </a:outerShdw>
          </a:effectLst>
        </c:spPr>
        <c:dLbl>
          <c:idx val="0"/>
          <c:layout>
            <c:manualLayout>
              <c:x val="-0.16800947200211963"/>
              <c:y val="-6.7249322918300547E-2"/>
            </c:manualLayout>
          </c:layout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1" i="0" u="none" strike="noStrike" kern="1200" baseline="0">
                  <a:solidFill>
                    <a:schemeClr val="lt1"/>
                  </a:solidFill>
                  <a:latin typeface="+mn-lt"/>
                  <a:ea typeface="+mn-ea"/>
                  <a:cs typeface="+mn-cs"/>
                </a:defRPr>
              </a:pPr>
              <a:endParaRPr lang="es-ES"/>
            </a:p>
          </c:txPr>
          <c:showLegendKey val="0"/>
          <c:showVal val="0"/>
          <c:showCatName val="0"/>
          <c:showSerName val="0"/>
          <c:showPercent val="1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5"/>
        <c:spPr>
          <a:solidFill>
            <a:srgbClr val="9013FE"/>
          </a:solidFill>
          <a:ln>
            <a:noFill/>
          </a:ln>
          <a:effectLst>
            <a:outerShdw blurRad="317500" algn="ctr" rotWithShape="0">
              <a:prstClr val="black">
                <a:alpha val="25000"/>
              </a:prstClr>
            </a:outerShdw>
          </a:effectLst>
        </c:spPr>
        <c:dLbl>
          <c:idx val="0"/>
          <c:layout>
            <c:manualLayout>
              <c:x val="-0.11210280102999748"/>
              <c:y val="-0.10594639813449613"/>
            </c:manualLayout>
          </c:layout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1" i="0" u="none" strike="noStrike" kern="1200" baseline="0">
                  <a:solidFill>
                    <a:schemeClr val="lt1"/>
                  </a:solidFill>
                  <a:latin typeface="+mn-lt"/>
                  <a:ea typeface="+mn-ea"/>
                  <a:cs typeface="+mn-cs"/>
                </a:defRPr>
              </a:pPr>
              <a:endParaRPr lang="es-ES"/>
            </a:p>
          </c:txPr>
          <c:showLegendKey val="0"/>
          <c:showVal val="0"/>
          <c:showCatName val="0"/>
          <c:showSerName val="0"/>
          <c:showPercent val="1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6"/>
        <c:spPr>
          <a:solidFill>
            <a:schemeClr val="accent1"/>
          </a:solidFill>
          <a:ln>
            <a:noFill/>
          </a:ln>
          <a:effectLst>
            <a:outerShdw blurRad="317500" algn="ctr" rotWithShape="0">
              <a:prstClr val="black">
                <a:alpha val="25000"/>
              </a:prstClr>
            </a:outerShdw>
          </a:effectLst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1" i="0" u="none" strike="noStrike" kern="1200" baseline="0">
                  <a:solidFill>
                    <a:schemeClr val="lt1"/>
                  </a:solidFill>
                  <a:latin typeface="+mn-lt"/>
                  <a:ea typeface="+mn-ea"/>
                  <a:cs typeface="+mn-cs"/>
                </a:defRPr>
              </a:pPr>
              <a:endParaRPr lang="es-ES"/>
            </a:p>
          </c:txPr>
          <c:showLegendKey val="0"/>
          <c:showVal val="0"/>
          <c:showCatName val="0"/>
          <c:showSerName val="0"/>
          <c:showPercent val="1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7"/>
        <c:spPr>
          <a:solidFill>
            <a:srgbClr val="008FEC"/>
          </a:solidFill>
          <a:ln>
            <a:noFill/>
          </a:ln>
          <a:effectLst>
            <a:outerShdw blurRad="317500" algn="ctr" rotWithShape="0">
              <a:prstClr val="black">
                <a:alpha val="25000"/>
              </a:prstClr>
            </a:outerShdw>
          </a:effectLst>
        </c:spPr>
        <c:dLbl>
          <c:idx val="0"/>
          <c:layout>
            <c:manualLayout>
              <c:x val="0.14863387978142076"/>
              <c:y val="0.15277777777777779"/>
            </c:manualLayout>
          </c:layout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1" i="0" u="none" strike="noStrike" kern="1200" baseline="0">
                  <a:solidFill>
                    <a:schemeClr val="lt1"/>
                  </a:solidFill>
                  <a:latin typeface="+mn-lt"/>
                  <a:ea typeface="+mn-ea"/>
                  <a:cs typeface="+mn-cs"/>
                </a:defRPr>
              </a:pPr>
              <a:endParaRPr lang="es-ES"/>
            </a:p>
          </c:txPr>
          <c:showLegendKey val="0"/>
          <c:showVal val="0"/>
          <c:showCatName val="0"/>
          <c:showSerName val="0"/>
          <c:showPercent val="1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8"/>
        <c:spPr>
          <a:solidFill>
            <a:srgbClr val="F13636"/>
          </a:solidFill>
          <a:ln>
            <a:noFill/>
          </a:ln>
          <a:effectLst>
            <a:outerShdw blurRad="317500" algn="ctr" rotWithShape="0">
              <a:prstClr val="black">
                <a:alpha val="25000"/>
              </a:prstClr>
            </a:outerShdw>
          </a:effectLst>
        </c:spPr>
        <c:dLbl>
          <c:idx val="0"/>
          <c:layout>
            <c:manualLayout>
              <c:x val="-0.14426229508196722"/>
              <c:y val="-5.0925743657042867E-2"/>
            </c:manualLayout>
          </c:layout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1" i="0" u="none" strike="noStrike" kern="1200" baseline="0">
                  <a:solidFill>
                    <a:schemeClr val="lt1"/>
                  </a:solidFill>
                  <a:latin typeface="+mn-lt"/>
                  <a:ea typeface="+mn-ea"/>
                  <a:cs typeface="+mn-cs"/>
                </a:defRPr>
              </a:pPr>
              <a:endParaRPr lang="es-ES"/>
            </a:p>
          </c:txPr>
          <c:showLegendKey val="0"/>
          <c:showVal val="0"/>
          <c:showCatName val="0"/>
          <c:showSerName val="0"/>
          <c:showPercent val="1"/>
          <c:showBubbleSize val="0"/>
          <c:extLst>
            <c:ext xmlns:c15="http://schemas.microsoft.com/office/drawing/2012/chart" uri="{CE6537A1-D6FC-4f65-9D91-7224C49458BB}">
              <c15:layout>
                <c:manualLayout>
                  <c:w val="9.4775956284153001E-2"/>
                  <c:h val="6.4745552639253412E-2"/>
                </c:manualLayout>
              </c15:layout>
            </c:ext>
          </c:extLst>
        </c:dLbl>
      </c:pivotFmt>
      <c:pivotFmt>
        <c:idx val="19"/>
        <c:spPr>
          <a:solidFill>
            <a:srgbClr val="FFBA2F"/>
          </a:solidFill>
          <a:ln>
            <a:noFill/>
          </a:ln>
          <a:effectLst>
            <a:outerShdw blurRad="317500" algn="ctr" rotWithShape="0">
              <a:prstClr val="black">
                <a:alpha val="25000"/>
              </a:prstClr>
            </a:outerShdw>
          </a:effectLst>
        </c:spPr>
        <c:dLbl>
          <c:idx val="0"/>
          <c:layout>
            <c:manualLayout>
              <c:x val="-0.16800947200211963"/>
              <c:y val="-6.7249322918300547E-2"/>
            </c:manualLayout>
          </c:layout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1" i="0" u="none" strike="noStrike" kern="1200" baseline="0">
                  <a:solidFill>
                    <a:schemeClr val="lt1"/>
                  </a:solidFill>
                  <a:latin typeface="+mn-lt"/>
                  <a:ea typeface="+mn-ea"/>
                  <a:cs typeface="+mn-cs"/>
                </a:defRPr>
              </a:pPr>
              <a:endParaRPr lang="es-ES"/>
            </a:p>
          </c:txPr>
          <c:showLegendKey val="0"/>
          <c:showVal val="0"/>
          <c:showCatName val="0"/>
          <c:showSerName val="0"/>
          <c:showPercent val="1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0"/>
        <c:spPr>
          <a:solidFill>
            <a:srgbClr val="9013FE"/>
          </a:solidFill>
          <a:ln>
            <a:noFill/>
          </a:ln>
          <a:effectLst>
            <a:outerShdw blurRad="317500" algn="ctr" rotWithShape="0">
              <a:prstClr val="black">
                <a:alpha val="25000"/>
              </a:prstClr>
            </a:outerShdw>
          </a:effectLst>
        </c:spPr>
        <c:dLbl>
          <c:idx val="0"/>
          <c:layout>
            <c:manualLayout>
              <c:x val="-0.11210280102999748"/>
              <c:y val="-0.10594639813449613"/>
            </c:manualLayout>
          </c:layout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1" i="0" u="none" strike="noStrike" kern="1200" baseline="0">
                  <a:solidFill>
                    <a:schemeClr val="lt1"/>
                  </a:solidFill>
                  <a:latin typeface="+mn-lt"/>
                  <a:ea typeface="+mn-ea"/>
                  <a:cs typeface="+mn-cs"/>
                </a:defRPr>
              </a:pPr>
              <a:endParaRPr lang="es-ES"/>
            </a:p>
          </c:txPr>
          <c:showLegendKey val="0"/>
          <c:showVal val="0"/>
          <c:showCatName val="0"/>
          <c:showSerName val="0"/>
          <c:showPercent val="1"/>
          <c:showBubbleSize val="0"/>
          <c:extLst>
            <c:ext xmlns:c15="http://schemas.microsoft.com/office/drawing/2012/chart" uri="{CE6537A1-D6FC-4f65-9D91-7224C49458BB}"/>
          </c:extLst>
        </c:dLbl>
      </c:pivotFmt>
    </c:pivotFmts>
    <c:plotArea>
      <c:layout/>
      <c:doughnutChart>
        <c:varyColors val="1"/>
        <c:ser>
          <c:idx val="0"/>
          <c:order val="0"/>
          <c:tx>
            <c:strRef>
              <c:f>Graficas!$L$4</c:f>
              <c:strCache>
                <c:ptCount val="1"/>
                <c:pt idx="0">
                  <c:v>Total</c:v>
                </c:pt>
              </c:strCache>
            </c:strRef>
          </c:tx>
          <c:dPt>
            <c:idx val="0"/>
            <c:bubble3D val="0"/>
            <c:spPr>
              <a:solidFill>
                <a:srgbClr val="008FEC"/>
              </a:solidFill>
              <a:ln>
                <a:noFill/>
              </a:ln>
              <a:effectLst>
                <a:outerShdw blurRad="317500" algn="ctr" rotWithShape="0">
                  <a:prstClr val="black">
                    <a:alpha val="25000"/>
                  </a:prstClr>
                </a:outerShdw>
              </a:effectLst>
            </c:spPr>
            <c:extLst>
              <c:ext xmlns:c16="http://schemas.microsoft.com/office/drawing/2014/chart" uri="{C3380CC4-5D6E-409C-BE32-E72D297353CC}">
                <c16:uniqueId val="{00000001-5A9E-4F8B-A42D-D0D01CD6DB91}"/>
              </c:ext>
            </c:extLst>
          </c:dPt>
          <c:dPt>
            <c:idx val="1"/>
            <c:bubble3D val="0"/>
            <c:spPr>
              <a:solidFill>
                <a:srgbClr val="F13636"/>
              </a:solidFill>
              <a:ln>
                <a:noFill/>
              </a:ln>
              <a:effectLst>
                <a:outerShdw blurRad="317500" algn="ctr" rotWithShape="0">
                  <a:prstClr val="black">
                    <a:alpha val="25000"/>
                  </a:prstClr>
                </a:outerShdw>
              </a:effectLst>
            </c:spPr>
            <c:extLst>
              <c:ext xmlns:c16="http://schemas.microsoft.com/office/drawing/2014/chart" uri="{C3380CC4-5D6E-409C-BE32-E72D297353CC}">
                <c16:uniqueId val="{00000003-5A9E-4F8B-A42D-D0D01CD6DB91}"/>
              </c:ext>
            </c:extLst>
          </c:dPt>
          <c:dPt>
            <c:idx val="2"/>
            <c:bubble3D val="0"/>
            <c:spPr>
              <a:solidFill>
                <a:srgbClr val="FFBA2F"/>
              </a:solidFill>
              <a:ln>
                <a:noFill/>
              </a:ln>
              <a:effectLst>
                <a:outerShdw blurRad="317500" algn="ctr" rotWithShape="0">
                  <a:prstClr val="black">
                    <a:alpha val="25000"/>
                  </a:prstClr>
                </a:outerShdw>
              </a:effectLst>
            </c:spPr>
            <c:extLst>
              <c:ext xmlns:c16="http://schemas.microsoft.com/office/drawing/2014/chart" uri="{C3380CC4-5D6E-409C-BE32-E72D297353CC}">
                <c16:uniqueId val="{00000005-5A9E-4F8B-A42D-D0D01CD6DB91}"/>
              </c:ext>
            </c:extLst>
          </c:dPt>
          <c:dPt>
            <c:idx val="3"/>
            <c:bubble3D val="0"/>
            <c:spPr>
              <a:solidFill>
                <a:srgbClr val="9013FE"/>
              </a:solidFill>
              <a:ln>
                <a:noFill/>
              </a:ln>
              <a:effectLst>
                <a:outerShdw blurRad="317500" algn="ctr" rotWithShape="0">
                  <a:prstClr val="black">
                    <a:alpha val="25000"/>
                  </a:prstClr>
                </a:outerShdw>
              </a:effectLst>
            </c:spPr>
            <c:extLst>
              <c:ext xmlns:c16="http://schemas.microsoft.com/office/drawing/2014/chart" uri="{C3380CC4-5D6E-409C-BE32-E72D297353CC}">
                <c16:uniqueId val="{00000007-5A9E-4F8B-A42D-D0D01CD6DB91}"/>
              </c:ext>
            </c:extLst>
          </c:dPt>
          <c:dLbls>
            <c:dLbl>
              <c:idx val="0"/>
              <c:layout>
                <c:manualLayout>
                  <c:x val="0.14863387978142076"/>
                  <c:y val="0.15277777777777779"/>
                </c:manualLayout>
              </c:layout>
              <c:showLegendKey val="0"/>
              <c:showVal val="0"/>
              <c:showCatName val="0"/>
              <c:showSerName val="0"/>
              <c:showPercent val="1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1-5A9E-4F8B-A42D-D0D01CD6DB91}"/>
                </c:ext>
              </c:extLst>
            </c:dLbl>
            <c:dLbl>
              <c:idx val="1"/>
              <c:layout>
                <c:manualLayout>
                  <c:x val="-0.14426229508196722"/>
                  <c:y val="-5.0925743657042867E-2"/>
                </c:manualLayout>
              </c:layout>
              <c:showLegendKey val="0"/>
              <c:showVal val="0"/>
              <c:showCatName val="0"/>
              <c:showSerName val="0"/>
              <c:showPercent val="1"/>
              <c:showBubbleSize val="0"/>
              <c:extLst>
                <c:ext xmlns:c15="http://schemas.microsoft.com/office/drawing/2012/chart" uri="{CE6537A1-D6FC-4f65-9D91-7224C49458BB}">
                  <c15:layout>
                    <c:manualLayout>
                      <c:w val="9.4775956284153001E-2"/>
                      <c:h val="6.4745552639253412E-2"/>
                    </c:manualLayout>
                  </c15:layout>
                </c:ext>
                <c:ext xmlns:c16="http://schemas.microsoft.com/office/drawing/2014/chart" uri="{C3380CC4-5D6E-409C-BE32-E72D297353CC}">
                  <c16:uniqueId val="{00000003-5A9E-4F8B-A42D-D0D01CD6DB91}"/>
                </c:ext>
              </c:extLst>
            </c:dLbl>
            <c:dLbl>
              <c:idx val="2"/>
              <c:layout>
                <c:manualLayout>
                  <c:x val="-0.16800947200211963"/>
                  <c:y val="-6.7249322918300547E-2"/>
                </c:manualLayout>
              </c:layout>
              <c:showLegendKey val="0"/>
              <c:showVal val="0"/>
              <c:showCatName val="0"/>
              <c:showSerName val="0"/>
              <c:showPercent val="1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5-5A9E-4F8B-A42D-D0D01CD6DB91}"/>
                </c:ext>
              </c:extLst>
            </c:dLbl>
            <c:dLbl>
              <c:idx val="3"/>
              <c:layout>
                <c:manualLayout>
                  <c:x val="-0.11210280102999748"/>
                  <c:y val="-0.10594639813449613"/>
                </c:manualLayout>
              </c:layout>
              <c:showLegendKey val="0"/>
              <c:showVal val="0"/>
              <c:showCatName val="0"/>
              <c:showSerName val="0"/>
              <c:showPercent val="1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7-5A9E-4F8B-A42D-D0D01CD6DB91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1" i="0" u="none" strike="noStrike" kern="1200" baseline="0">
                    <a:solidFill>
                      <a:schemeClr val="lt1"/>
                    </a:solidFill>
                    <a:latin typeface="+mn-lt"/>
                    <a:ea typeface="+mn-ea"/>
                    <a:cs typeface="+mn-cs"/>
                  </a:defRPr>
                </a:pPr>
                <a:endParaRPr lang="es-ES"/>
              </a:p>
            </c:txPr>
            <c:showLegendKey val="0"/>
            <c:showVal val="0"/>
            <c:showCatName val="0"/>
            <c:showSerName val="0"/>
            <c:showPercent val="1"/>
            <c:showBubbleSize val="0"/>
            <c:showLeaderLines val="1"/>
            <c:leaderLines>
              <c:spPr>
                <a:ln w="9525" cap="flat" cmpd="sng" algn="ctr">
                  <a:solidFill>
                    <a:schemeClr val="dk1">
                      <a:lumMod val="35000"/>
                      <a:lumOff val="65000"/>
                    </a:schemeClr>
                  </a:solidFill>
                  <a:round/>
                </a:ln>
                <a:effectLst/>
              </c:spPr>
            </c:leaderLines>
            <c:extLst>
              <c:ext xmlns:c15="http://schemas.microsoft.com/office/drawing/2012/chart" uri="{CE6537A1-D6FC-4f65-9D91-7224C49458BB}"/>
            </c:extLst>
          </c:dLbls>
          <c:cat>
            <c:strRef>
              <c:f>Graficas!$K$5:$K$9</c:f>
              <c:strCache>
                <c:ptCount val="4"/>
                <c:pt idx="0">
                  <c:v>Pagado</c:v>
                </c:pt>
                <c:pt idx="1">
                  <c:v>Pendiente</c:v>
                </c:pt>
                <c:pt idx="2">
                  <c:v>Cancelado</c:v>
                </c:pt>
                <c:pt idx="3">
                  <c:v>Rechazado</c:v>
                </c:pt>
              </c:strCache>
            </c:strRef>
          </c:cat>
          <c:val>
            <c:numRef>
              <c:f>Graficas!$L$5:$L$9</c:f>
              <c:numCache>
                <c:formatCode>_-* #,##0_-;\-* #,##0_-;_-* "-"??_-;_-@_-</c:formatCode>
                <c:ptCount val="4"/>
                <c:pt idx="0">
                  <c:v>701</c:v>
                </c:pt>
                <c:pt idx="1">
                  <c:v>161</c:v>
                </c:pt>
                <c:pt idx="2">
                  <c:v>70</c:v>
                </c:pt>
                <c:pt idx="3">
                  <c:v>70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8-5A9E-4F8B-A42D-D0D01CD6DB91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  <c:showLeaderLines val="1"/>
        </c:dLbls>
        <c:firstSliceAng val="360"/>
        <c:holeSize val="59"/>
      </c:doughnut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bg1"/>
              </a:solidFill>
              <a:latin typeface="+mn-lt"/>
              <a:ea typeface="+mn-ea"/>
              <a:cs typeface="+mn-cs"/>
            </a:defRPr>
          </a:pPr>
          <a:endParaRPr lang="es-E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rgbClr val="212D3F"/>
    </a:solidFill>
    <a:ln w="9525" cap="flat" cmpd="sng" algn="ctr">
      <a:noFill/>
      <a:round/>
    </a:ln>
    <a:effectLst/>
  </c:spPr>
  <c:txPr>
    <a:bodyPr/>
    <a:lstStyle/>
    <a:p>
      <a:pPr>
        <a:defRPr/>
      </a:pPr>
      <a:endParaRPr lang="es-ES"/>
    </a:p>
  </c:txPr>
  <c:externalData r:id="rId3">
    <c:autoUpdate val="0"/>
  </c:externalData>
  <c:extLst>
    <c:ext xmlns:c14="http://schemas.microsoft.com/office/drawing/2007/8/2/chart" uri="{781A3756-C4B2-4CAC-9D66-4F8BD8637D16}">
      <c14:pivotOptions>
        <c14:dropZoneFilter val="1"/>
        <c14:dropZoneCategories val="1"/>
        <c14:dropZoneData val="1"/>
        <c14:dropZoneSeries val="1"/>
      </c14:pivotOptions>
    </c:ext>
    <c:ext xmlns:c16="http://schemas.microsoft.com/office/drawing/2014/chart" uri="{E28EC0CA-F0BB-4C9C-879D-F8772B89E7AC}">
      <c16:pivotOptions16>
        <c16:showExpandCollapseFieldButtons val="1"/>
      </c16:pivotOptions16>
    </c:ext>
  </c:extLst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pivotSource>
    <c:name>[Análisis y Optimizacion Financiera Dashboard.xlsx]Graficas!1_Estados_por_Empresa_%</c:name>
    <c:fmtId val="-1"/>
  </c:pivotSource>
  <c:chart>
    <c:autoTitleDeleted val="0"/>
    <c:pivotFmts>
      <c:pivotFmt>
        <c:idx val="0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s-ES"/>
            </a:p>
          </c:txPr>
          <c:dLblPos val="ctr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s-ES"/>
            </a:p>
          </c:txPr>
          <c:dLblPos val="ctr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s-ES"/>
            </a:p>
          </c:txPr>
          <c:dLblPos val="ctr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3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s-ES"/>
            </a:p>
          </c:txPr>
          <c:dLblPos val="ctr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4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s-ES"/>
            </a:p>
          </c:txPr>
          <c:dLblPos val="ctr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5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s-ES"/>
            </a:p>
          </c:txPr>
          <c:dLblPos val="ctr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6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s-ES"/>
            </a:p>
          </c:txPr>
          <c:dLblPos val="ctr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7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s-ES"/>
            </a:p>
          </c:txPr>
          <c:dLblPos val="ctr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8"/>
        <c:spPr>
          <a:solidFill>
            <a:srgbClr val="008FEC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700" b="0" i="0" u="none" strike="noStrike" kern="1200" baseline="0">
                  <a:solidFill>
                    <a:schemeClr val="bg1"/>
                  </a:solidFill>
                  <a:latin typeface="+mn-lt"/>
                  <a:ea typeface="+mn-ea"/>
                  <a:cs typeface="+mn-cs"/>
                </a:defRPr>
              </a:pPr>
              <a:endParaRPr lang="es-ES"/>
            </a:p>
          </c:txPr>
          <c:dLblPos val="ctr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9"/>
        <c:spPr>
          <a:solidFill>
            <a:srgbClr val="F13636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700" b="0" i="0" u="none" strike="noStrike" kern="1200" baseline="0">
                  <a:solidFill>
                    <a:schemeClr val="bg1"/>
                  </a:solidFill>
                  <a:latin typeface="+mn-lt"/>
                  <a:ea typeface="+mn-ea"/>
                  <a:cs typeface="+mn-cs"/>
                </a:defRPr>
              </a:pPr>
              <a:endParaRPr lang="es-ES"/>
            </a:p>
          </c:txPr>
          <c:dLblPos val="ctr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0"/>
        <c:spPr>
          <a:solidFill>
            <a:srgbClr val="FFBA2F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700" b="0" i="0" u="none" strike="noStrike" kern="1200" baseline="0">
                  <a:solidFill>
                    <a:schemeClr val="bg1"/>
                  </a:solidFill>
                  <a:latin typeface="+mn-lt"/>
                  <a:ea typeface="+mn-ea"/>
                  <a:cs typeface="+mn-cs"/>
                </a:defRPr>
              </a:pPr>
              <a:endParaRPr lang="es-ES"/>
            </a:p>
          </c:txPr>
          <c:dLblPos val="ctr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1"/>
        <c:spPr>
          <a:solidFill>
            <a:srgbClr val="9013FE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700" b="0" i="0" u="none" strike="noStrike" kern="1200" baseline="0">
                  <a:solidFill>
                    <a:schemeClr val="bg1"/>
                  </a:solidFill>
                  <a:latin typeface="+mn-lt"/>
                  <a:ea typeface="+mn-ea"/>
                  <a:cs typeface="+mn-cs"/>
                </a:defRPr>
              </a:pPr>
              <a:endParaRPr lang="es-ES"/>
            </a:p>
          </c:txPr>
          <c:dLblPos val="ctr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2"/>
        <c:spPr>
          <a:solidFill>
            <a:srgbClr val="008FEC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700" b="0" i="0" u="none" strike="noStrike" kern="1200" baseline="0">
                  <a:solidFill>
                    <a:schemeClr val="bg1"/>
                  </a:solidFill>
                  <a:latin typeface="+mn-lt"/>
                  <a:ea typeface="+mn-ea"/>
                  <a:cs typeface="+mn-cs"/>
                </a:defRPr>
              </a:pPr>
              <a:endParaRPr lang="es-ES"/>
            </a:p>
          </c:txPr>
          <c:dLblPos val="ctr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3"/>
        <c:spPr>
          <a:solidFill>
            <a:srgbClr val="F13636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700" b="0" i="0" u="none" strike="noStrike" kern="1200" baseline="0">
                  <a:solidFill>
                    <a:schemeClr val="bg1"/>
                  </a:solidFill>
                  <a:latin typeface="+mn-lt"/>
                  <a:ea typeface="+mn-ea"/>
                  <a:cs typeface="+mn-cs"/>
                </a:defRPr>
              </a:pPr>
              <a:endParaRPr lang="es-ES"/>
            </a:p>
          </c:txPr>
          <c:dLblPos val="ctr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4"/>
        <c:spPr>
          <a:solidFill>
            <a:srgbClr val="FFBA2F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700" b="0" i="0" u="none" strike="noStrike" kern="1200" baseline="0">
                  <a:solidFill>
                    <a:schemeClr val="bg1"/>
                  </a:solidFill>
                  <a:latin typeface="+mn-lt"/>
                  <a:ea typeface="+mn-ea"/>
                  <a:cs typeface="+mn-cs"/>
                </a:defRPr>
              </a:pPr>
              <a:endParaRPr lang="es-ES"/>
            </a:p>
          </c:txPr>
          <c:dLblPos val="ctr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5"/>
        <c:spPr>
          <a:solidFill>
            <a:srgbClr val="9013FE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700" b="0" i="0" u="none" strike="noStrike" kern="1200" baseline="0">
                  <a:solidFill>
                    <a:schemeClr val="bg1"/>
                  </a:solidFill>
                  <a:latin typeface="+mn-lt"/>
                  <a:ea typeface="+mn-ea"/>
                  <a:cs typeface="+mn-cs"/>
                </a:defRPr>
              </a:pPr>
              <a:endParaRPr lang="es-ES"/>
            </a:p>
          </c:txPr>
          <c:dLblPos val="ctr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6"/>
        <c:spPr>
          <a:solidFill>
            <a:srgbClr val="008FEC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700" b="0" i="0" u="none" strike="noStrike" kern="1200" baseline="0">
                  <a:solidFill>
                    <a:schemeClr val="bg1"/>
                  </a:solidFill>
                  <a:latin typeface="+mn-lt"/>
                  <a:ea typeface="+mn-ea"/>
                  <a:cs typeface="+mn-cs"/>
                </a:defRPr>
              </a:pPr>
              <a:endParaRPr lang="es-ES"/>
            </a:p>
          </c:txPr>
          <c:dLblPos val="ctr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7"/>
        <c:spPr>
          <a:solidFill>
            <a:srgbClr val="F13636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700" b="0" i="0" u="none" strike="noStrike" kern="1200" baseline="0">
                  <a:solidFill>
                    <a:schemeClr val="bg1"/>
                  </a:solidFill>
                  <a:latin typeface="+mn-lt"/>
                  <a:ea typeface="+mn-ea"/>
                  <a:cs typeface="+mn-cs"/>
                </a:defRPr>
              </a:pPr>
              <a:endParaRPr lang="es-ES"/>
            </a:p>
          </c:txPr>
          <c:dLblPos val="ctr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8"/>
        <c:spPr>
          <a:solidFill>
            <a:srgbClr val="FFBA2F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700" b="0" i="0" u="none" strike="noStrike" kern="1200" baseline="0">
                  <a:solidFill>
                    <a:schemeClr val="bg1"/>
                  </a:solidFill>
                  <a:latin typeface="+mn-lt"/>
                  <a:ea typeface="+mn-ea"/>
                  <a:cs typeface="+mn-cs"/>
                </a:defRPr>
              </a:pPr>
              <a:endParaRPr lang="es-ES"/>
            </a:p>
          </c:txPr>
          <c:dLblPos val="ctr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9"/>
        <c:spPr>
          <a:solidFill>
            <a:srgbClr val="9013FE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700" b="0" i="0" u="none" strike="noStrike" kern="1200" baseline="0">
                  <a:solidFill>
                    <a:schemeClr val="bg1"/>
                  </a:solidFill>
                  <a:latin typeface="+mn-lt"/>
                  <a:ea typeface="+mn-ea"/>
                  <a:cs typeface="+mn-cs"/>
                </a:defRPr>
              </a:pPr>
              <a:endParaRPr lang="es-ES"/>
            </a:p>
          </c:txPr>
          <c:dLblPos val="ctr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</c:pivotFmts>
    <c:plotArea>
      <c:layout/>
      <c:barChart>
        <c:barDir val="bar"/>
        <c:grouping val="percentStacked"/>
        <c:varyColors val="0"/>
        <c:ser>
          <c:idx val="0"/>
          <c:order val="0"/>
          <c:tx>
            <c:strRef>
              <c:f>Graficas!$I$19</c:f>
              <c:strCache>
                <c:ptCount val="1"/>
                <c:pt idx="0">
                  <c:v>Importe Pagado</c:v>
                </c:pt>
              </c:strCache>
            </c:strRef>
          </c:tx>
          <c:spPr>
            <a:solidFill>
              <a:srgbClr val="008FEC"/>
            </a:solidFill>
            <a:ln>
              <a:noFill/>
            </a:ln>
            <a:effectLst/>
          </c:spPr>
          <c:invertIfNegative val="0"/>
          <c:dLbls>
            <c:delete val="1"/>
          </c:dLbls>
          <c:cat>
            <c:strRef>
              <c:f>Graficas!$H$20:$H$26</c:f>
              <c:strCache>
                <c:ptCount val="6"/>
                <c:pt idx="0">
                  <c:v>Andes Investments SL</c:v>
                </c:pt>
                <c:pt idx="1">
                  <c:v>Atlantic Holdings SL</c:v>
                </c:pt>
                <c:pt idx="2">
                  <c:v>Cresta Partners SA</c:v>
                </c:pt>
                <c:pt idx="3">
                  <c:v>Grupo Meridian SA</c:v>
                </c:pt>
                <c:pt idx="4">
                  <c:v>Iberia Finance SL</c:v>
                </c:pt>
                <c:pt idx="5">
                  <c:v>Nordic Capital SA</c:v>
                </c:pt>
              </c:strCache>
            </c:strRef>
          </c:cat>
          <c:val>
            <c:numRef>
              <c:f>Graficas!$I$20:$I$26</c:f>
              <c:numCache>
                <c:formatCode>_-* #,##0_-;\-* #,##0_-;_-* "-"??_-;_-@_-</c:formatCode>
                <c:ptCount val="6"/>
                <c:pt idx="0">
                  <c:v>2096015.47</c:v>
                </c:pt>
                <c:pt idx="1">
                  <c:v>1099120.0900000001</c:v>
                </c:pt>
                <c:pt idx="2">
                  <c:v>1265637.3899999999</c:v>
                </c:pt>
                <c:pt idx="3">
                  <c:v>830684.92</c:v>
                </c:pt>
                <c:pt idx="4">
                  <c:v>1091621.23</c:v>
                </c:pt>
                <c:pt idx="5">
                  <c:v>895765.64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6F85-47B1-8CC2-43E01F4D309E}"/>
            </c:ext>
          </c:extLst>
        </c:ser>
        <c:ser>
          <c:idx val="1"/>
          <c:order val="1"/>
          <c:tx>
            <c:strRef>
              <c:f>Graficas!$J$19</c:f>
              <c:strCache>
                <c:ptCount val="1"/>
                <c:pt idx="0">
                  <c:v>Importe Pendiente</c:v>
                </c:pt>
              </c:strCache>
            </c:strRef>
          </c:tx>
          <c:spPr>
            <a:solidFill>
              <a:srgbClr val="F13636"/>
            </a:solidFill>
            <a:ln>
              <a:noFill/>
            </a:ln>
            <a:effectLst/>
          </c:spPr>
          <c:invertIfNegative val="0"/>
          <c:dLbls>
            <c:delete val="1"/>
          </c:dLbls>
          <c:cat>
            <c:strRef>
              <c:f>Graficas!$H$20:$H$26</c:f>
              <c:strCache>
                <c:ptCount val="6"/>
                <c:pt idx="0">
                  <c:v>Andes Investments SL</c:v>
                </c:pt>
                <c:pt idx="1">
                  <c:v>Atlantic Holdings SL</c:v>
                </c:pt>
                <c:pt idx="2">
                  <c:v>Cresta Partners SA</c:v>
                </c:pt>
                <c:pt idx="3">
                  <c:v>Grupo Meridian SA</c:v>
                </c:pt>
                <c:pt idx="4">
                  <c:v>Iberia Finance SL</c:v>
                </c:pt>
                <c:pt idx="5">
                  <c:v>Nordic Capital SA</c:v>
                </c:pt>
              </c:strCache>
            </c:strRef>
          </c:cat>
          <c:val>
            <c:numRef>
              <c:f>Graficas!$J$20:$J$26</c:f>
              <c:numCache>
                <c:formatCode>_-* #,##0_-;\-* #,##0_-;_-* "-"??_-;_-@_-</c:formatCode>
                <c:ptCount val="6"/>
                <c:pt idx="0">
                  <c:v>654969.06999999995</c:v>
                </c:pt>
                <c:pt idx="1">
                  <c:v>124094.72</c:v>
                </c:pt>
                <c:pt idx="2">
                  <c:v>80234.09</c:v>
                </c:pt>
                <c:pt idx="3">
                  <c:v>82181.600000000006</c:v>
                </c:pt>
                <c:pt idx="4">
                  <c:v>59782.94</c:v>
                </c:pt>
                <c:pt idx="5">
                  <c:v>116069.98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6F85-47B1-8CC2-43E01F4D309E}"/>
            </c:ext>
          </c:extLst>
        </c:ser>
        <c:ser>
          <c:idx val="2"/>
          <c:order val="2"/>
          <c:tx>
            <c:strRef>
              <c:f>Graficas!$K$19</c:f>
              <c:strCache>
                <c:ptCount val="1"/>
                <c:pt idx="0">
                  <c:v>Importe Cancelado</c:v>
                </c:pt>
              </c:strCache>
            </c:strRef>
          </c:tx>
          <c:spPr>
            <a:solidFill>
              <a:srgbClr val="FFBA2F"/>
            </a:solidFill>
            <a:ln>
              <a:noFill/>
            </a:ln>
            <a:effectLst/>
          </c:spPr>
          <c:invertIfNegative val="0"/>
          <c:dLbls>
            <c:delete val="1"/>
          </c:dLbls>
          <c:cat>
            <c:strRef>
              <c:f>Graficas!$H$20:$H$26</c:f>
              <c:strCache>
                <c:ptCount val="6"/>
                <c:pt idx="0">
                  <c:v>Andes Investments SL</c:v>
                </c:pt>
                <c:pt idx="1">
                  <c:v>Atlantic Holdings SL</c:v>
                </c:pt>
                <c:pt idx="2">
                  <c:v>Cresta Partners SA</c:v>
                </c:pt>
                <c:pt idx="3">
                  <c:v>Grupo Meridian SA</c:v>
                </c:pt>
                <c:pt idx="4">
                  <c:v>Iberia Finance SL</c:v>
                </c:pt>
                <c:pt idx="5">
                  <c:v>Nordic Capital SA</c:v>
                </c:pt>
              </c:strCache>
            </c:strRef>
          </c:cat>
          <c:val>
            <c:numRef>
              <c:f>Graficas!$K$20:$K$26</c:f>
              <c:numCache>
                <c:formatCode>_-* #,##0_-;\-* #,##0_-;_-* "-"??_-;_-@_-</c:formatCode>
                <c:ptCount val="6"/>
                <c:pt idx="0">
                  <c:v>473666.69</c:v>
                </c:pt>
                <c:pt idx="1">
                  <c:v>24902.51</c:v>
                </c:pt>
                <c:pt idx="2">
                  <c:v>35157.370000000003</c:v>
                </c:pt>
                <c:pt idx="3">
                  <c:v>251930.87</c:v>
                </c:pt>
                <c:pt idx="4">
                  <c:v>107694.53</c:v>
                </c:pt>
                <c:pt idx="5">
                  <c:v>51100.7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6F85-47B1-8CC2-43E01F4D309E}"/>
            </c:ext>
          </c:extLst>
        </c:ser>
        <c:ser>
          <c:idx val="3"/>
          <c:order val="3"/>
          <c:tx>
            <c:strRef>
              <c:f>Graficas!$L$19</c:f>
              <c:strCache>
                <c:ptCount val="1"/>
                <c:pt idx="0">
                  <c:v>Importe Rechazado</c:v>
                </c:pt>
              </c:strCache>
            </c:strRef>
          </c:tx>
          <c:spPr>
            <a:solidFill>
              <a:srgbClr val="9013FE"/>
            </a:solidFill>
            <a:ln>
              <a:noFill/>
            </a:ln>
            <a:effectLst/>
          </c:spPr>
          <c:invertIfNegative val="0"/>
          <c:dLbls>
            <c:delete val="1"/>
          </c:dLbls>
          <c:cat>
            <c:strRef>
              <c:f>Graficas!$H$20:$H$26</c:f>
              <c:strCache>
                <c:ptCount val="6"/>
                <c:pt idx="0">
                  <c:v>Andes Investments SL</c:v>
                </c:pt>
                <c:pt idx="1">
                  <c:v>Atlantic Holdings SL</c:v>
                </c:pt>
                <c:pt idx="2">
                  <c:v>Cresta Partners SA</c:v>
                </c:pt>
                <c:pt idx="3">
                  <c:v>Grupo Meridian SA</c:v>
                </c:pt>
                <c:pt idx="4">
                  <c:v>Iberia Finance SL</c:v>
                </c:pt>
                <c:pt idx="5">
                  <c:v>Nordic Capital SA</c:v>
                </c:pt>
              </c:strCache>
            </c:strRef>
          </c:cat>
          <c:val>
            <c:numRef>
              <c:f>Graficas!$L$20:$L$26</c:f>
              <c:numCache>
                <c:formatCode>_-* #,##0_-;\-* #,##0_-;_-* "-"??_-;_-@_-</c:formatCode>
                <c:ptCount val="6"/>
                <c:pt idx="0">
                  <c:v>144035.46</c:v>
                </c:pt>
                <c:pt idx="1">
                  <c:v>53711.199999999997</c:v>
                </c:pt>
                <c:pt idx="2">
                  <c:v>34281.660000000003</c:v>
                </c:pt>
                <c:pt idx="3">
                  <c:v>32265.27</c:v>
                </c:pt>
                <c:pt idx="4">
                  <c:v>42162.82</c:v>
                </c:pt>
                <c:pt idx="5">
                  <c:v>60322.78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3-6F85-47B1-8CC2-43E01F4D309E}"/>
            </c:ext>
          </c:extLst>
        </c:ser>
        <c:dLbls>
          <c:dLblPos val="ctr"/>
          <c:showLegendKey val="0"/>
          <c:showVal val="1"/>
          <c:showCatName val="0"/>
          <c:showSerName val="0"/>
          <c:showPercent val="0"/>
          <c:showBubbleSize val="0"/>
        </c:dLbls>
        <c:gapWidth val="30"/>
        <c:overlap val="100"/>
        <c:axId val="404065104"/>
        <c:axId val="404069424"/>
      </c:barChart>
      <c:catAx>
        <c:axId val="404065104"/>
        <c:scaling>
          <c:orientation val="minMax"/>
        </c:scaling>
        <c:delete val="0"/>
        <c:axPos val="l"/>
        <c:numFmt formatCode="General" sourceLinked="1"/>
        <c:majorTickMark val="out"/>
        <c:minorTickMark val="none"/>
        <c:tickLblPos val="nextTo"/>
        <c:spPr>
          <a:noFill/>
          <a:ln w="9525" cap="flat" cmpd="sng" algn="ctr">
            <a:noFill/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bg1"/>
                </a:solidFill>
                <a:latin typeface="+mn-lt"/>
                <a:ea typeface="+mn-ea"/>
                <a:cs typeface="+mn-cs"/>
              </a:defRPr>
            </a:pPr>
            <a:endParaRPr lang="es-ES"/>
          </a:p>
        </c:txPr>
        <c:crossAx val="404069424"/>
        <c:crosses val="autoZero"/>
        <c:auto val="1"/>
        <c:lblAlgn val="ctr"/>
        <c:lblOffset val="100"/>
        <c:noMultiLvlLbl val="0"/>
      </c:catAx>
      <c:valAx>
        <c:axId val="404069424"/>
        <c:scaling>
          <c:orientation val="minMax"/>
        </c:scaling>
        <c:delete val="1"/>
        <c:axPos val="b"/>
        <c:numFmt formatCode="0%" sourceLinked="1"/>
        <c:majorTickMark val="out"/>
        <c:minorTickMark val="none"/>
        <c:tickLblPos val="nextTo"/>
        <c:crossAx val="404065104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t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bg1"/>
              </a:solidFill>
              <a:latin typeface="+mn-lt"/>
              <a:ea typeface="+mn-ea"/>
              <a:cs typeface="+mn-cs"/>
            </a:defRPr>
          </a:pPr>
          <a:endParaRPr lang="es-E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rgbClr val="212D3F"/>
    </a:solidFill>
    <a:ln w="9525" cap="flat" cmpd="sng" algn="ctr">
      <a:noFill/>
      <a:round/>
    </a:ln>
    <a:effectLst/>
  </c:spPr>
  <c:txPr>
    <a:bodyPr/>
    <a:lstStyle/>
    <a:p>
      <a:pPr>
        <a:defRPr/>
      </a:pPr>
      <a:endParaRPr lang="es-ES"/>
    </a:p>
  </c:txPr>
  <c:externalData r:id="rId3">
    <c:autoUpdate val="0"/>
  </c:externalData>
  <c:extLst>
    <c:ext xmlns:c14="http://schemas.microsoft.com/office/drawing/2007/8/2/chart" uri="{781A3756-C4B2-4CAC-9D66-4F8BD8637D16}">
      <c14:pivotOptions>
        <c14:dropZoneFilter val="1"/>
        <c14:dropZoneCategories val="1"/>
        <c14:dropZoneData val="1"/>
        <c14:dropZoneSeries val="1"/>
      </c14:pivotOptions>
    </c:ext>
    <c:ext xmlns:c16="http://schemas.microsoft.com/office/drawing/2014/chart" uri="{E28EC0CA-F0BB-4C9C-879D-F8772B89E7AC}">
      <c16:pivotOptions16>
        <c16:showExpandCollapseFieldButtons val="1"/>
      </c16:pivotOptions16>
    </c:ext>
  </c:extLst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pivotSource>
    <c:name>[Análisis y Optimizacion Financiera Dashboard.xlsx]Graficas!3_participacio_categoria_categoria</c:name>
    <c:fmtId val="-1"/>
  </c:pivotSource>
  <c:chart>
    <c:autoTitleDeleted val="1"/>
    <c:pivotFmts>
      <c:pivotFmt>
        <c:idx val="0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s-ES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s-ES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"/>
        <c:spPr>
          <a:solidFill>
            <a:srgbClr val="008FEC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bg1"/>
                  </a:solidFill>
                  <a:latin typeface="+mn-lt"/>
                  <a:ea typeface="+mn-ea"/>
                  <a:cs typeface="+mn-cs"/>
                </a:defRPr>
              </a:pPr>
              <a:endParaRPr lang="es-ES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3"/>
        <c:spPr>
          <a:solidFill>
            <a:srgbClr val="008FEC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bg1"/>
                  </a:solidFill>
                  <a:latin typeface="+mn-lt"/>
                  <a:ea typeface="+mn-ea"/>
                  <a:cs typeface="+mn-cs"/>
                </a:defRPr>
              </a:pPr>
              <a:endParaRPr lang="es-ES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4"/>
        <c:spPr>
          <a:solidFill>
            <a:srgbClr val="008FEC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bg1"/>
                  </a:solidFill>
                  <a:latin typeface="+mn-lt"/>
                  <a:ea typeface="+mn-ea"/>
                  <a:cs typeface="+mn-cs"/>
                </a:defRPr>
              </a:pPr>
              <a:endParaRPr lang="es-ES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</c:pivotFmts>
    <c:plotArea>
      <c:layout/>
      <c:barChart>
        <c:barDir val="bar"/>
        <c:grouping val="clustered"/>
        <c:varyColors val="0"/>
        <c:ser>
          <c:idx val="0"/>
          <c:order val="0"/>
          <c:tx>
            <c:strRef>
              <c:f>Graficas!$AL$4</c:f>
              <c:strCache>
                <c:ptCount val="1"/>
                <c:pt idx="0">
                  <c:v>Total</c:v>
                </c:pt>
              </c:strCache>
            </c:strRef>
          </c:tx>
          <c:spPr>
            <a:solidFill>
              <a:srgbClr val="008FEC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bg1"/>
                    </a:solidFill>
                    <a:latin typeface="+mn-lt"/>
                    <a:ea typeface="+mn-ea"/>
                    <a:cs typeface="+mn-cs"/>
                  </a:defRPr>
                </a:pPr>
                <a:endParaRPr lang="es-ES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Graficas!$AK$5:$AK$15</c:f>
              <c:strCache>
                <c:ptCount val="10"/>
                <c:pt idx="0">
                  <c:v>Ventas</c:v>
                </c:pt>
                <c:pt idx="1">
                  <c:v>Servicios</c:v>
                </c:pt>
                <c:pt idx="2">
                  <c:v>Marketing</c:v>
                </c:pt>
                <c:pt idx="3">
                  <c:v>Nómina</c:v>
                </c:pt>
                <c:pt idx="4">
                  <c:v>Consultoría</c:v>
                </c:pt>
                <c:pt idx="5">
                  <c:v>Logística</c:v>
                </c:pt>
                <c:pt idx="6">
                  <c:v>Impuestos</c:v>
                </c:pt>
                <c:pt idx="7">
                  <c:v>Financiación</c:v>
                </c:pt>
                <c:pt idx="8">
                  <c:v>Otros</c:v>
                </c:pt>
                <c:pt idx="9">
                  <c:v>Suministros</c:v>
                </c:pt>
              </c:strCache>
            </c:strRef>
          </c:cat>
          <c:val>
            <c:numRef>
              <c:f>Graficas!$AL$5:$AL$15</c:f>
              <c:numCache>
                <c:formatCode>0.00%</c:formatCode>
                <c:ptCount val="10"/>
                <c:pt idx="0">
                  <c:v>3.1499131224334675E-2</c:v>
                </c:pt>
                <c:pt idx="1">
                  <c:v>3.2276388927795364E-2</c:v>
                </c:pt>
                <c:pt idx="2">
                  <c:v>3.3424107696678897E-2</c:v>
                </c:pt>
                <c:pt idx="3">
                  <c:v>3.8921486128751473E-2</c:v>
                </c:pt>
                <c:pt idx="4">
                  <c:v>0.10375884793543703</c:v>
                </c:pt>
                <c:pt idx="5">
                  <c:v>0.11101139842868551</c:v>
                </c:pt>
                <c:pt idx="6">
                  <c:v>0.13786153256165404</c:v>
                </c:pt>
                <c:pt idx="7">
                  <c:v>0.15459048979500437</c:v>
                </c:pt>
                <c:pt idx="8">
                  <c:v>0.19846597896291679</c:v>
                </c:pt>
                <c:pt idx="9">
                  <c:v>0.22453079430200323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9266-4D40-B675-79598EA92F37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30"/>
        <c:axId val="1896562607"/>
        <c:axId val="1896565007"/>
      </c:barChart>
      <c:catAx>
        <c:axId val="1896562607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noFill/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bg1"/>
                </a:solidFill>
                <a:latin typeface="+mn-lt"/>
                <a:ea typeface="+mn-ea"/>
                <a:cs typeface="+mn-cs"/>
              </a:defRPr>
            </a:pPr>
            <a:endParaRPr lang="es-ES"/>
          </a:p>
        </c:txPr>
        <c:crossAx val="1896565007"/>
        <c:crosses val="autoZero"/>
        <c:auto val="1"/>
        <c:lblAlgn val="ctr"/>
        <c:lblOffset val="100"/>
        <c:noMultiLvlLbl val="0"/>
      </c:catAx>
      <c:valAx>
        <c:axId val="1896565007"/>
        <c:scaling>
          <c:orientation val="minMax"/>
        </c:scaling>
        <c:delete val="1"/>
        <c:axPos val="b"/>
        <c:numFmt formatCode="0.00%" sourceLinked="1"/>
        <c:majorTickMark val="none"/>
        <c:minorTickMark val="none"/>
        <c:tickLblPos val="nextTo"/>
        <c:crossAx val="1896562607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rgbClr val="212D3F"/>
    </a:solidFill>
    <a:ln w="9525" cap="flat" cmpd="sng" algn="ctr">
      <a:noFill/>
      <a:round/>
    </a:ln>
    <a:effectLst/>
  </c:spPr>
  <c:txPr>
    <a:bodyPr/>
    <a:lstStyle/>
    <a:p>
      <a:pPr>
        <a:defRPr/>
      </a:pPr>
      <a:endParaRPr lang="es-ES"/>
    </a:p>
  </c:txPr>
  <c:externalData r:id="rId3">
    <c:autoUpdate val="0"/>
  </c:externalData>
  <c:extLst>
    <c:ext xmlns:c14="http://schemas.microsoft.com/office/drawing/2007/8/2/chart" uri="{781A3756-C4B2-4CAC-9D66-4F8BD8637D16}">
      <c14:pivotOptions>
        <c14:dropZoneFilter val="1"/>
        <c14:dropZoneCategories val="1"/>
        <c14:dropZoneData val="1"/>
      </c14:pivotOptions>
    </c:ext>
    <c:ext xmlns:c16="http://schemas.microsoft.com/office/drawing/2014/chart" uri="{E28EC0CA-F0BB-4C9C-879D-F8772B89E7AC}">
      <c16:pivotOptions16>
        <c16:showExpandCollapseFieldButtons val="1"/>
      </c16:pivotOptions16>
    </c:ext>
  </c:extLst>
</c:chartSpace>
</file>

<file path=word/charts/chart5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pivotSource>
    <c:name>[Análisis y Optimizacion Financiera Dashboard.xlsx]Graficas!1_Estados_por_Canal_Pago_%</c:name>
    <c:fmtId val="-1"/>
  </c:pivotSource>
  <c:chart>
    <c:autoTitleDeleted val="0"/>
    <c:pivotFmts>
      <c:pivotFmt>
        <c:idx val="0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s-E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s-E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s-E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3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s-E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4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s-E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5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s-E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6"/>
        <c:spPr>
          <a:solidFill>
            <a:srgbClr val="F13636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700" b="0" i="0" u="none" strike="noStrike" kern="1200" baseline="0">
                  <a:solidFill>
                    <a:schemeClr val="bg1"/>
                  </a:solidFill>
                  <a:latin typeface="+mn-lt"/>
                  <a:ea typeface="+mn-ea"/>
                  <a:cs typeface="+mn-cs"/>
                </a:defRPr>
              </a:pPr>
              <a:endParaRPr lang="es-ES"/>
            </a:p>
          </c:txPr>
          <c:dLblPos val="ctr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7"/>
        <c:spPr>
          <a:solidFill>
            <a:srgbClr val="FFBA2F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700" b="0" i="0" u="none" strike="noStrike" kern="1200" baseline="0">
                  <a:solidFill>
                    <a:schemeClr val="bg1"/>
                  </a:solidFill>
                  <a:latin typeface="+mn-lt"/>
                  <a:ea typeface="+mn-ea"/>
                  <a:cs typeface="+mn-cs"/>
                </a:defRPr>
              </a:pPr>
              <a:endParaRPr lang="es-ES"/>
            </a:p>
          </c:txPr>
          <c:dLblPos val="ctr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8"/>
        <c:spPr>
          <a:solidFill>
            <a:srgbClr val="9013FE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700" b="0" i="0" u="none" strike="noStrike" kern="1200" baseline="0">
                  <a:solidFill>
                    <a:schemeClr val="bg1"/>
                  </a:solidFill>
                  <a:latin typeface="+mn-lt"/>
                  <a:ea typeface="+mn-ea"/>
                  <a:cs typeface="+mn-cs"/>
                </a:defRPr>
              </a:pPr>
              <a:endParaRPr lang="es-ES"/>
            </a:p>
          </c:txPr>
          <c:dLblPos val="ctr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9"/>
        <c:spPr>
          <a:solidFill>
            <a:srgbClr val="F13636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700" b="0" i="0" u="none" strike="noStrike" kern="1200" baseline="0">
                  <a:solidFill>
                    <a:schemeClr val="bg1"/>
                  </a:solidFill>
                  <a:latin typeface="+mn-lt"/>
                  <a:ea typeface="+mn-ea"/>
                  <a:cs typeface="+mn-cs"/>
                </a:defRPr>
              </a:pPr>
              <a:endParaRPr lang="es-ES"/>
            </a:p>
          </c:txPr>
          <c:dLblPos val="ctr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0"/>
        <c:spPr>
          <a:solidFill>
            <a:srgbClr val="FFBA2F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700" b="0" i="0" u="none" strike="noStrike" kern="1200" baseline="0">
                  <a:solidFill>
                    <a:schemeClr val="bg1"/>
                  </a:solidFill>
                  <a:latin typeface="+mn-lt"/>
                  <a:ea typeface="+mn-ea"/>
                  <a:cs typeface="+mn-cs"/>
                </a:defRPr>
              </a:pPr>
              <a:endParaRPr lang="es-ES"/>
            </a:p>
          </c:txPr>
          <c:dLblPos val="ctr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1"/>
        <c:spPr>
          <a:solidFill>
            <a:srgbClr val="9013FE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700" b="0" i="0" u="none" strike="noStrike" kern="1200" baseline="0">
                  <a:solidFill>
                    <a:schemeClr val="bg1"/>
                  </a:solidFill>
                  <a:latin typeface="+mn-lt"/>
                  <a:ea typeface="+mn-ea"/>
                  <a:cs typeface="+mn-cs"/>
                </a:defRPr>
              </a:pPr>
              <a:endParaRPr lang="es-ES"/>
            </a:p>
          </c:txPr>
          <c:dLblPos val="ctr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2"/>
        <c:spPr>
          <a:solidFill>
            <a:srgbClr val="F13636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700" b="0" i="0" u="none" strike="noStrike" kern="1200" baseline="0">
                  <a:solidFill>
                    <a:schemeClr val="bg1"/>
                  </a:solidFill>
                  <a:latin typeface="+mn-lt"/>
                  <a:ea typeface="+mn-ea"/>
                  <a:cs typeface="+mn-cs"/>
                </a:defRPr>
              </a:pPr>
              <a:endParaRPr lang="es-ES"/>
            </a:p>
          </c:txPr>
          <c:dLblPos val="ctr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3"/>
        <c:spPr>
          <a:solidFill>
            <a:srgbClr val="FFBA2F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700" b="0" i="0" u="none" strike="noStrike" kern="1200" baseline="0">
                  <a:solidFill>
                    <a:schemeClr val="bg1"/>
                  </a:solidFill>
                  <a:latin typeface="+mn-lt"/>
                  <a:ea typeface="+mn-ea"/>
                  <a:cs typeface="+mn-cs"/>
                </a:defRPr>
              </a:pPr>
              <a:endParaRPr lang="es-ES"/>
            </a:p>
          </c:txPr>
          <c:dLblPos val="ctr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4"/>
        <c:spPr>
          <a:solidFill>
            <a:srgbClr val="9013FE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700" b="0" i="0" u="none" strike="noStrike" kern="1200" baseline="0">
                  <a:solidFill>
                    <a:schemeClr val="bg1"/>
                  </a:solidFill>
                  <a:latin typeface="+mn-lt"/>
                  <a:ea typeface="+mn-ea"/>
                  <a:cs typeface="+mn-cs"/>
                </a:defRPr>
              </a:pPr>
              <a:endParaRPr lang="es-ES"/>
            </a:p>
          </c:txPr>
          <c:dLblPos val="ctr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</c:pivotFmts>
    <c:plotArea>
      <c:layout/>
      <c:barChart>
        <c:barDir val="bar"/>
        <c:grouping val="percentStacked"/>
        <c:varyColors val="0"/>
        <c:ser>
          <c:idx val="0"/>
          <c:order val="0"/>
          <c:tx>
            <c:strRef>
              <c:f>Graficas!$O$13</c:f>
              <c:strCache>
                <c:ptCount val="1"/>
                <c:pt idx="0">
                  <c:v>Importe Pendiente</c:v>
                </c:pt>
              </c:strCache>
            </c:strRef>
          </c:tx>
          <c:spPr>
            <a:solidFill>
              <a:srgbClr val="F13636"/>
            </a:solidFill>
            <a:ln>
              <a:noFill/>
            </a:ln>
            <a:effectLst/>
          </c:spPr>
          <c:invertIfNegative val="0"/>
          <c:dLbls>
            <c:delete val="1"/>
          </c:dLbls>
          <c:cat>
            <c:strRef>
              <c:f>Graficas!$N$14:$N$20</c:f>
              <c:strCache>
                <c:ptCount val="6"/>
                <c:pt idx="0">
                  <c:v>Bizum</c:v>
                </c:pt>
                <c:pt idx="1">
                  <c:v>Efectivo</c:v>
                </c:pt>
                <c:pt idx="2">
                  <c:v>Paypal</c:v>
                </c:pt>
                <c:pt idx="3">
                  <c:v>SEPA</c:v>
                </c:pt>
                <c:pt idx="4">
                  <c:v>Tarjeta</c:v>
                </c:pt>
                <c:pt idx="5">
                  <c:v>Transferencia</c:v>
                </c:pt>
              </c:strCache>
            </c:strRef>
          </c:cat>
          <c:val>
            <c:numRef>
              <c:f>Graficas!$O$14:$O$20</c:f>
              <c:numCache>
                <c:formatCode>_-* #,##0_-;\-* #,##0_-;_-* "-"??_-;_-@_-</c:formatCode>
                <c:ptCount val="6"/>
                <c:pt idx="0">
                  <c:v>666371.09</c:v>
                </c:pt>
                <c:pt idx="1">
                  <c:v>73744.47</c:v>
                </c:pt>
                <c:pt idx="2">
                  <c:v>95116.6</c:v>
                </c:pt>
                <c:pt idx="3">
                  <c:v>85071.29</c:v>
                </c:pt>
                <c:pt idx="4">
                  <c:v>102107.85</c:v>
                </c:pt>
                <c:pt idx="5">
                  <c:v>94921.1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EE62-441B-B8CD-4D80D5A50236}"/>
            </c:ext>
          </c:extLst>
        </c:ser>
        <c:ser>
          <c:idx val="1"/>
          <c:order val="1"/>
          <c:tx>
            <c:strRef>
              <c:f>Graficas!$P$13</c:f>
              <c:strCache>
                <c:ptCount val="1"/>
                <c:pt idx="0">
                  <c:v>Importe Cancelado</c:v>
                </c:pt>
              </c:strCache>
            </c:strRef>
          </c:tx>
          <c:spPr>
            <a:solidFill>
              <a:srgbClr val="FFBA2F"/>
            </a:solidFill>
            <a:ln>
              <a:noFill/>
            </a:ln>
            <a:effectLst/>
          </c:spPr>
          <c:invertIfNegative val="0"/>
          <c:dLbls>
            <c:delete val="1"/>
          </c:dLbls>
          <c:cat>
            <c:strRef>
              <c:f>Graficas!$N$14:$N$20</c:f>
              <c:strCache>
                <c:ptCount val="6"/>
                <c:pt idx="0">
                  <c:v>Bizum</c:v>
                </c:pt>
                <c:pt idx="1">
                  <c:v>Efectivo</c:v>
                </c:pt>
                <c:pt idx="2">
                  <c:v>Paypal</c:v>
                </c:pt>
                <c:pt idx="3">
                  <c:v>SEPA</c:v>
                </c:pt>
                <c:pt idx="4">
                  <c:v>Tarjeta</c:v>
                </c:pt>
                <c:pt idx="5">
                  <c:v>Transferencia</c:v>
                </c:pt>
              </c:strCache>
            </c:strRef>
          </c:cat>
          <c:val>
            <c:numRef>
              <c:f>Graficas!$P$14:$P$20</c:f>
              <c:numCache>
                <c:formatCode>_-* #,##0_-;\-* #,##0_-;_-* "-"??_-;_-@_-</c:formatCode>
                <c:ptCount val="6"/>
                <c:pt idx="0">
                  <c:v>36553.879999999997</c:v>
                </c:pt>
                <c:pt idx="1">
                  <c:v>247895.03</c:v>
                </c:pt>
                <c:pt idx="2">
                  <c:v>116368.49</c:v>
                </c:pt>
                <c:pt idx="3">
                  <c:v>35916.82</c:v>
                </c:pt>
                <c:pt idx="4">
                  <c:v>22767.81</c:v>
                </c:pt>
                <c:pt idx="5">
                  <c:v>484950.64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EE62-441B-B8CD-4D80D5A50236}"/>
            </c:ext>
          </c:extLst>
        </c:ser>
        <c:ser>
          <c:idx val="2"/>
          <c:order val="2"/>
          <c:tx>
            <c:strRef>
              <c:f>Graficas!$Q$13</c:f>
              <c:strCache>
                <c:ptCount val="1"/>
                <c:pt idx="0">
                  <c:v>Importe Rechazado</c:v>
                </c:pt>
              </c:strCache>
            </c:strRef>
          </c:tx>
          <c:spPr>
            <a:solidFill>
              <a:srgbClr val="9013FE"/>
            </a:solidFill>
            <a:ln>
              <a:noFill/>
            </a:ln>
            <a:effectLst/>
          </c:spPr>
          <c:invertIfNegative val="0"/>
          <c:dLbls>
            <c:delete val="1"/>
          </c:dLbls>
          <c:cat>
            <c:strRef>
              <c:f>Graficas!$N$14:$N$20</c:f>
              <c:strCache>
                <c:ptCount val="6"/>
                <c:pt idx="0">
                  <c:v>Bizum</c:v>
                </c:pt>
                <c:pt idx="1">
                  <c:v>Efectivo</c:v>
                </c:pt>
                <c:pt idx="2">
                  <c:v>Paypal</c:v>
                </c:pt>
                <c:pt idx="3">
                  <c:v>SEPA</c:v>
                </c:pt>
                <c:pt idx="4">
                  <c:v>Tarjeta</c:v>
                </c:pt>
                <c:pt idx="5">
                  <c:v>Transferencia</c:v>
                </c:pt>
              </c:strCache>
            </c:strRef>
          </c:cat>
          <c:val>
            <c:numRef>
              <c:f>Graficas!$Q$14:$Q$20</c:f>
              <c:numCache>
                <c:formatCode>_-* #,##0_-;\-* #,##0_-;_-* "-"??_-;_-@_-</c:formatCode>
                <c:ptCount val="6"/>
                <c:pt idx="0">
                  <c:v>180902.38</c:v>
                </c:pt>
                <c:pt idx="1">
                  <c:v>38340.94</c:v>
                </c:pt>
                <c:pt idx="2">
                  <c:v>25919.26</c:v>
                </c:pt>
                <c:pt idx="3">
                  <c:v>45715.55</c:v>
                </c:pt>
                <c:pt idx="4">
                  <c:v>35314.089999999997</c:v>
                </c:pt>
                <c:pt idx="5">
                  <c:v>40586.97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EE62-441B-B8CD-4D80D5A50236}"/>
            </c:ext>
          </c:extLst>
        </c:ser>
        <c:dLbls>
          <c:dLblPos val="ctr"/>
          <c:showLegendKey val="0"/>
          <c:showVal val="1"/>
          <c:showCatName val="0"/>
          <c:showSerName val="0"/>
          <c:showPercent val="0"/>
          <c:showBubbleSize val="0"/>
        </c:dLbls>
        <c:gapWidth val="30"/>
        <c:overlap val="100"/>
        <c:axId val="2023103376"/>
        <c:axId val="2023103792"/>
      </c:barChart>
      <c:catAx>
        <c:axId val="2023103376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noFill/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800" b="0" i="0" u="none" strike="noStrike" kern="1200" baseline="0">
                <a:solidFill>
                  <a:schemeClr val="bg1"/>
                </a:solidFill>
                <a:latin typeface="+mn-lt"/>
                <a:ea typeface="+mn-ea"/>
                <a:cs typeface="+mn-cs"/>
              </a:defRPr>
            </a:pPr>
            <a:endParaRPr lang="es-ES"/>
          </a:p>
        </c:txPr>
        <c:crossAx val="2023103792"/>
        <c:crosses val="autoZero"/>
        <c:auto val="1"/>
        <c:lblAlgn val="ctr"/>
        <c:lblOffset val="100"/>
        <c:noMultiLvlLbl val="0"/>
      </c:catAx>
      <c:valAx>
        <c:axId val="2023103792"/>
        <c:scaling>
          <c:orientation val="minMax"/>
        </c:scaling>
        <c:delete val="1"/>
        <c:axPos val="b"/>
        <c:numFmt formatCode="0%" sourceLinked="1"/>
        <c:majorTickMark val="none"/>
        <c:minorTickMark val="none"/>
        <c:tickLblPos val="nextTo"/>
        <c:crossAx val="2023103376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rgbClr val="212D3F"/>
    </a:solidFill>
    <a:ln w="9525" cap="flat" cmpd="sng" algn="ctr">
      <a:noFill/>
      <a:round/>
    </a:ln>
    <a:effectLst/>
  </c:spPr>
  <c:txPr>
    <a:bodyPr/>
    <a:lstStyle/>
    <a:p>
      <a:pPr>
        <a:defRPr/>
      </a:pPr>
      <a:endParaRPr lang="es-ES"/>
    </a:p>
  </c:txPr>
  <c:externalData r:id="rId3">
    <c:autoUpdate val="0"/>
  </c:externalData>
  <c:extLst>
    <c:ext xmlns:c14="http://schemas.microsoft.com/office/drawing/2007/8/2/chart" uri="{781A3756-C4B2-4CAC-9D66-4F8BD8637D16}">
      <c14:pivotOptions>
        <c14:dropZoneFilter val="1"/>
        <c14:dropZoneCategories val="1"/>
        <c14:dropZoneData val="1"/>
      </c14:pivotOptions>
    </c:ext>
    <c:ext xmlns:c16="http://schemas.microsoft.com/office/drawing/2014/chart" uri="{E28EC0CA-F0BB-4C9C-879D-F8772B89E7AC}">
      <c16:pivotOptions16>
        <c16:showExpandCollapseFieldButtons val="1"/>
      </c16:pivotOptions16>
    </c:ext>
  </c:extLst>
</c:chartSpace>
</file>

<file path=word/charts/chart6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pivotSource>
    <c:name>[Análisis y Optimizacion Financiera Dashboard.xlsx]Graficas!1_Estados_por_País_%</c:name>
    <c:fmtId val="-1"/>
  </c:pivotSource>
  <c:chart>
    <c:autoTitleDeleted val="0"/>
    <c:pivotFmts>
      <c:pivotFmt>
        <c:idx val="0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s-E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s-E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s-E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3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s-E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4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s-E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5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s-E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6"/>
        <c:spPr>
          <a:solidFill>
            <a:srgbClr val="F13636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700" b="0" i="0" u="none" strike="noStrike" kern="1200" baseline="0">
                  <a:solidFill>
                    <a:schemeClr val="bg1"/>
                  </a:solidFill>
                  <a:latin typeface="+mn-lt"/>
                  <a:ea typeface="+mn-ea"/>
                  <a:cs typeface="+mn-cs"/>
                </a:defRPr>
              </a:pPr>
              <a:endParaRPr lang="es-ES"/>
            </a:p>
          </c:txPr>
          <c:dLblPos val="ctr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7"/>
        <c:spPr>
          <a:solidFill>
            <a:srgbClr val="FFBA2F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700" b="0" i="0" u="none" strike="noStrike" kern="1200" baseline="0">
                  <a:solidFill>
                    <a:schemeClr val="bg1"/>
                  </a:solidFill>
                  <a:latin typeface="+mn-lt"/>
                  <a:ea typeface="+mn-ea"/>
                  <a:cs typeface="+mn-cs"/>
                </a:defRPr>
              </a:pPr>
              <a:endParaRPr lang="es-ES"/>
            </a:p>
          </c:txPr>
          <c:dLblPos val="ctr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8"/>
        <c:spPr>
          <a:solidFill>
            <a:srgbClr val="9013FE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700" b="0" i="0" u="none" strike="noStrike" kern="1200" baseline="0">
                  <a:solidFill>
                    <a:schemeClr val="bg1"/>
                  </a:solidFill>
                  <a:latin typeface="+mn-lt"/>
                  <a:ea typeface="+mn-ea"/>
                  <a:cs typeface="+mn-cs"/>
                </a:defRPr>
              </a:pPr>
              <a:endParaRPr lang="es-ES"/>
            </a:p>
          </c:txPr>
          <c:dLblPos val="ctr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9"/>
        <c:spPr>
          <a:solidFill>
            <a:srgbClr val="F13636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700" b="0" i="0" u="none" strike="noStrike" kern="1200" baseline="0">
                  <a:solidFill>
                    <a:schemeClr val="bg1"/>
                  </a:solidFill>
                  <a:latin typeface="+mn-lt"/>
                  <a:ea typeface="+mn-ea"/>
                  <a:cs typeface="+mn-cs"/>
                </a:defRPr>
              </a:pPr>
              <a:endParaRPr lang="es-ES"/>
            </a:p>
          </c:txPr>
          <c:dLblPos val="ctr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0"/>
        <c:spPr>
          <a:solidFill>
            <a:srgbClr val="FFBA2F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700" b="0" i="0" u="none" strike="noStrike" kern="1200" baseline="0">
                  <a:solidFill>
                    <a:schemeClr val="bg1"/>
                  </a:solidFill>
                  <a:latin typeface="+mn-lt"/>
                  <a:ea typeface="+mn-ea"/>
                  <a:cs typeface="+mn-cs"/>
                </a:defRPr>
              </a:pPr>
              <a:endParaRPr lang="es-ES"/>
            </a:p>
          </c:txPr>
          <c:dLblPos val="ctr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1"/>
        <c:spPr>
          <a:solidFill>
            <a:srgbClr val="9013FE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700" b="0" i="0" u="none" strike="noStrike" kern="1200" baseline="0">
                  <a:solidFill>
                    <a:schemeClr val="bg1"/>
                  </a:solidFill>
                  <a:latin typeface="+mn-lt"/>
                  <a:ea typeface="+mn-ea"/>
                  <a:cs typeface="+mn-cs"/>
                </a:defRPr>
              </a:pPr>
              <a:endParaRPr lang="es-ES"/>
            </a:p>
          </c:txPr>
          <c:dLblPos val="ctr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2"/>
        <c:spPr>
          <a:solidFill>
            <a:srgbClr val="F13636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700" b="0" i="0" u="none" strike="noStrike" kern="1200" baseline="0">
                  <a:solidFill>
                    <a:schemeClr val="bg1"/>
                  </a:solidFill>
                  <a:latin typeface="+mn-lt"/>
                  <a:ea typeface="+mn-ea"/>
                  <a:cs typeface="+mn-cs"/>
                </a:defRPr>
              </a:pPr>
              <a:endParaRPr lang="es-ES"/>
            </a:p>
          </c:txPr>
          <c:dLblPos val="ctr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3"/>
        <c:spPr>
          <a:solidFill>
            <a:srgbClr val="FFBA2F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700" b="0" i="0" u="none" strike="noStrike" kern="1200" baseline="0">
                  <a:solidFill>
                    <a:schemeClr val="bg1"/>
                  </a:solidFill>
                  <a:latin typeface="+mn-lt"/>
                  <a:ea typeface="+mn-ea"/>
                  <a:cs typeface="+mn-cs"/>
                </a:defRPr>
              </a:pPr>
              <a:endParaRPr lang="es-ES"/>
            </a:p>
          </c:txPr>
          <c:dLblPos val="ctr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4"/>
        <c:spPr>
          <a:solidFill>
            <a:srgbClr val="9013FE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700" b="0" i="0" u="none" strike="noStrike" kern="1200" baseline="0">
                  <a:solidFill>
                    <a:schemeClr val="bg1"/>
                  </a:solidFill>
                  <a:latin typeface="+mn-lt"/>
                  <a:ea typeface="+mn-ea"/>
                  <a:cs typeface="+mn-cs"/>
                </a:defRPr>
              </a:pPr>
              <a:endParaRPr lang="es-ES"/>
            </a:p>
          </c:txPr>
          <c:dLblPos val="ctr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</c:pivotFmts>
    <c:plotArea>
      <c:layout/>
      <c:barChart>
        <c:barDir val="bar"/>
        <c:grouping val="percentStacked"/>
        <c:varyColors val="0"/>
        <c:ser>
          <c:idx val="0"/>
          <c:order val="0"/>
          <c:tx>
            <c:strRef>
              <c:f>Graficas!$O$22</c:f>
              <c:strCache>
                <c:ptCount val="1"/>
                <c:pt idx="0">
                  <c:v>Importe Pendiente</c:v>
                </c:pt>
              </c:strCache>
            </c:strRef>
          </c:tx>
          <c:spPr>
            <a:solidFill>
              <a:srgbClr val="F13636"/>
            </a:solidFill>
            <a:ln>
              <a:noFill/>
            </a:ln>
            <a:effectLst/>
          </c:spPr>
          <c:invertIfNegative val="0"/>
          <c:dLbls>
            <c:delete val="1"/>
          </c:dLbls>
          <c:cat>
            <c:strRef>
              <c:f>Graficas!$N$23:$N$28</c:f>
              <c:strCache>
                <c:ptCount val="5"/>
                <c:pt idx="0">
                  <c:v>Alemania</c:v>
                </c:pt>
                <c:pt idx="1">
                  <c:v>España</c:v>
                </c:pt>
                <c:pt idx="2">
                  <c:v>Francia</c:v>
                </c:pt>
                <c:pt idx="3">
                  <c:v>Italia</c:v>
                </c:pt>
                <c:pt idx="4">
                  <c:v>Portugal</c:v>
                </c:pt>
              </c:strCache>
            </c:strRef>
          </c:cat>
          <c:val>
            <c:numRef>
              <c:f>Graficas!$O$23:$O$28</c:f>
              <c:numCache>
                <c:formatCode>_-* #,##0_-;\-* #,##0_-;_-* "-"??_-;_-@_-</c:formatCode>
                <c:ptCount val="5"/>
                <c:pt idx="0">
                  <c:v>32743.759999999998</c:v>
                </c:pt>
                <c:pt idx="1">
                  <c:v>949321.72</c:v>
                </c:pt>
                <c:pt idx="2">
                  <c:v>44802.11</c:v>
                </c:pt>
                <c:pt idx="3">
                  <c:v>30653.79</c:v>
                </c:pt>
                <c:pt idx="4">
                  <c:v>59811.02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CCA4-4808-AFAF-A743F2E096B0}"/>
            </c:ext>
          </c:extLst>
        </c:ser>
        <c:ser>
          <c:idx val="1"/>
          <c:order val="1"/>
          <c:tx>
            <c:strRef>
              <c:f>Graficas!$P$22</c:f>
              <c:strCache>
                <c:ptCount val="1"/>
                <c:pt idx="0">
                  <c:v>Importe Cancelado</c:v>
                </c:pt>
              </c:strCache>
            </c:strRef>
          </c:tx>
          <c:spPr>
            <a:solidFill>
              <a:srgbClr val="FFBA2F"/>
            </a:solidFill>
            <a:ln>
              <a:noFill/>
            </a:ln>
            <a:effectLst/>
          </c:spPr>
          <c:invertIfNegative val="0"/>
          <c:dLbls>
            <c:delete val="1"/>
          </c:dLbls>
          <c:cat>
            <c:strRef>
              <c:f>Graficas!$N$23:$N$28</c:f>
              <c:strCache>
                <c:ptCount val="5"/>
                <c:pt idx="0">
                  <c:v>Alemania</c:v>
                </c:pt>
                <c:pt idx="1">
                  <c:v>España</c:v>
                </c:pt>
                <c:pt idx="2">
                  <c:v>Francia</c:v>
                </c:pt>
                <c:pt idx="3">
                  <c:v>Italia</c:v>
                </c:pt>
                <c:pt idx="4">
                  <c:v>Portugal</c:v>
                </c:pt>
              </c:strCache>
            </c:strRef>
          </c:cat>
          <c:val>
            <c:numRef>
              <c:f>Graficas!$P$23:$P$28</c:f>
              <c:numCache>
                <c:formatCode>_-* #,##0_-;\-* #,##0_-;_-* "-"??_-;_-@_-</c:formatCode>
                <c:ptCount val="5"/>
                <c:pt idx="0">
                  <c:v>11404.2</c:v>
                </c:pt>
                <c:pt idx="1">
                  <c:v>871826.28</c:v>
                </c:pt>
                <c:pt idx="2">
                  <c:v>10856.47</c:v>
                </c:pt>
                <c:pt idx="3">
                  <c:v>20601.82</c:v>
                </c:pt>
                <c:pt idx="4">
                  <c:v>29763.9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CCA4-4808-AFAF-A743F2E096B0}"/>
            </c:ext>
          </c:extLst>
        </c:ser>
        <c:ser>
          <c:idx val="2"/>
          <c:order val="2"/>
          <c:tx>
            <c:strRef>
              <c:f>Graficas!$Q$22</c:f>
              <c:strCache>
                <c:ptCount val="1"/>
                <c:pt idx="0">
                  <c:v>Importe Rechazado</c:v>
                </c:pt>
              </c:strCache>
            </c:strRef>
          </c:tx>
          <c:spPr>
            <a:solidFill>
              <a:srgbClr val="9013FE"/>
            </a:solidFill>
            <a:ln>
              <a:noFill/>
            </a:ln>
            <a:effectLst/>
          </c:spPr>
          <c:invertIfNegative val="0"/>
          <c:dLbls>
            <c:delete val="1"/>
          </c:dLbls>
          <c:cat>
            <c:strRef>
              <c:f>Graficas!$N$23:$N$28</c:f>
              <c:strCache>
                <c:ptCount val="5"/>
                <c:pt idx="0">
                  <c:v>Alemania</c:v>
                </c:pt>
                <c:pt idx="1">
                  <c:v>España</c:v>
                </c:pt>
                <c:pt idx="2">
                  <c:v>Francia</c:v>
                </c:pt>
                <c:pt idx="3">
                  <c:v>Italia</c:v>
                </c:pt>
                <c:pt idx="4">
                  <c:v>Portugal</c:v>
                </c:pt>
              </c:strCache>
            </c:strRef>
          </c:cat>
          <c:val>
            <c:numRef>
              <c:f>Graficas!$Q$23:$Q$28</c:f>
              <c:numCache>
                <c:formatCode>_-* #,##0_-;\-* #,##0_-;_-* "-"??_-;_-@_-</c:formatCode>
                <c:ptCount val="5"/>
                <c:pt idx="0">
                  <c:v>13213.6</c:v>
                </c:pt>
                <c:pt idx="1">
                  <c:v>146883.72</c:v>
                </c:pt>
                <c:pt idx="2">
                  <c:v>39326.18</c:v>
                </c:pt>
                <c:pt idx="3">
                  <c:v>124781.37</c:v>
                </c:pt>
                <c:pt idx="4">
                  <c:v>42574.32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CCA4-4808-AFAF-A743F2E096B0}"/>
            </c:ext>
          </c:extLst>
        </c:ser>
        <c:dLbls>
          <c:dLblPos val="ctr"/>
          <c:showLegendKey val="0"/>
          <c:showVal val="1"/>
          <c:showCatName val="0"/>
          <c:showSerName val="0"/>
          <c:showPercent val="0"/>
          <c:showBubbleSize val="0"/>
        </c:dLbls>
        <c:gapWidth val="30"/>
        <c:overlap val="100"/>
        <c:axId val="2093700096"/>
        <c:axId val="2093694688"/>
      </c:barChart>
      <c:catAx>
        <c:axId val="2093700096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noFill/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800" b="0" i="0" u="none" strike="noStrike" kern="1200" baseline="0">
                <a:solidFill>
                  <a:schemeClr val="bg1"/>
                </a:solidFill>
                <a:latin typeface="+mn-lt"/>
                <a:ea typeface="+mn-ea"/>
                <a:cs typeface="+mn-cs"/>
              </a:defRPr>
            </a:pPr>
            <a:endParaRPr lang="es-ES"/>
          </a:p>
        </c:txPr>
        <c:crossAx val="2093694688"/>
        <c:crosses val="autoZero"/>
        <c:auto val="1"/>
        <c:lblAlgn val="ctr"/>
        <c:lblOffset val="100"/>
        <c:noMultiLvlLbl val="0"/>
      </c:catAx>
      <c:valAx>
        <c:axId val="2093694688"/>
        <c:scaling>
          <c:orientation val="minMax"/>
        </c:scaling>
        <c:delete val="1"/>
        <c:axPos val="b"/>
        <c:numFmt formatCode="0%" sourceLinked="1"/>
        <c:majorTickMark val="none"/>
        <c:minorTickMark val="none"/>
        <c:tickLblPos val="nextTo"/>
        <c:crossAx val="2093700096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rgbClr val="212D3F"/>
    </a:solidFill>
    <a:ln w="9525" cap="flat" cmpd="sng" algn="ctr">
      <a:noFill/>
      <a:round/>
    </a:ln>
    <a:effectLst/>
  </c:spPr>
  <c:txPr>
    <a:bodyPr/>
    <a:lstStyle/>
    <a:p>
      <a:pPr>
        <a:defRPr/>
      </a:pPr>
      <a:endParaRPr lang="es-ES"/>
    </a:p>
  </c:txPr>
  <c:externalData r:id="rId3">
    <c:autoUpdate val="0"/>
  </c:externalData>
  <c:extLst>
    <c:ext xmlns:c14="http://schemas.microsoft.com/office/drawing/2007/8/2/chart" uri="{781A3756-C4B2-4CAC-9D66-4F8BD8637D16}">
      <c14:pivotOptions>
        <c14:dropZoneFilter val="1"/>
        <c14:dropZoneCategories val="1"/>
        <c14:dropZoneData val="1"/>
      </c14:pivotOptions>
    </c:ext>
    <c:ext xmlns:c16="http://schemas.microsoft.com/office/drawing/2014/chart" uri="{E28EC0CA-F0BB-4C9C-879D-F8772B89E7AC}">
      <c16:pivotOptions16>
        <c16:showExpandCollapseFieldButtons val="1"/>
      </c16:pivotOptions16>
    </c:ext>
  </c:extLst>
</c:chartSpace>
</file>

<file path=word/charts/chart7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pivotSource>
    <c:name>[Análisis y Optimizacion Financiera Dashboard.xlsx]Graficas!2_margen_neto_categoria</c:name>
    <c:fmtId val="-1"/>
  </c:pivotSource>
  <c:chart>
    <c:autoTitleDeleted val="1"/>
    <c:pivotFmts>
      <c:pivotFmt>
        <c:idx val="0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s-ES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s-ES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"/>
        <c:spPr>
          <a:solidFill>
            <a:srgbClr val="008FEC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overflow" horzOverflow="overflow" vert="horz" wrap="non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bg1"/>
                  </a:solidFill>
                  <a:latin typeface="+mn-lt"/>
                  <a:ea typeface="+mn-ea"/>
                  <a:cs typeface="+mn-cs"/>
                </a:defRPr>
              </a:pPr>
              <a:endParaRPr lang="es-ES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>
              <c15:spPr xmlns:c15="http://schemas.microsoft.com/office/drawing/2012/chart">
                <a:prstGeom prst="rect">
                  <a:avLst/>
                </a:prstGeom>
                <a:noFill/>
                <a:ln>
                  <a:noFill/>
                </a:ln>
              </c15:spPr>
            </c:ext>
          </c:extLst>
        </c:dLbl>
      </c:pivotFmt>
      <c:pivotFmt>
        <c:idx val="3"/>
        <c:spPr>
          <a:solidFill>
            <a:srgbClr val="008FEC"/>
          </a:solidFill>
          <a:ln>
            <a:noFill/>
          </a:ln>
          <a:effectLst/>
        </c:spPr>
      </c:pivotFmt>
      <c:pivotFmt>
        <c:idx val="4"/>
        <c:spPr>
          <a:solidFill>
            <a:srgbClr val="008FEC"/>
          </a:solidFill>
          <a:ln>
            <a:noFill/>
          </a:ln>
          <a:effectLst/>
        </c:spPr>
      </c:pivotFmt>
      <c:pivotFmt>
        <c:idx val="5"/>
        <c:spPr>
          <a:solidFill>
            <a:srgbClr val="008FEC"/>
          </a:solidFill>
          <a:ln>
            <a:noFill/>
          </a:ln>
          <a:effectLst/>
        </c:spPr>
      </c:pivotFmt>
      <c:pivotFmt>
        <c:idx val="6"/>
        <c:spPr>
          <a:solidFill>
            <a:srgbClr val="008FEC"/>
          </a:solidFill>
          <a:ln>
            <a:noFill/>
          </a:ln>
          <a:effectLst/>
        </c:spPr>
      </c:pivotFmt>
      <c:pivotFmt>
        <c:idx val="7"/>
        <c:spPr>
          <a:solidFill>
            <a:srgbClr val="008FEC"/>
          </a:solidFill>
          <a:ln>
            <a:noFill/>
          </a:ln>
          <a:effectLst/>
        </c:spPr>
      </c:pivotFmt>
      <c:pivotFmt>
        <c:idx val="8"/>
        <c:spPr>
          <a:solidFill>
            <a:srgbClr val="008FEC"/>
          </a:solidFill>
          <a:ln>
            <a:noFill/>
          </a:ln>
          <a:effectLst/>
        </c:spPr>
      </c:pivotFmt>
      <c:pivotFmt>
        <c:idx val="9"/>
        <c:spPr>
          <a:solidFill>
            <a:srgbClr val="008FEC"/>
          </a:solidFill>
          <a:ln>
            <a:noFill/>
          </a:ln>
          <a:effectLst/>
        </c:spPr>
      </c:pivotFmt>
      <c:pivotFmt>
        <c:idx val="10"/>
        <c:spPr>
          <a:solidFill>
            <a:srgbClr val="008FEC"/>
          </a:solidFill>
          <a:ln>
            <a:noFill/>
          </a:ln>
          <a:effectLst/>
        </c:spPr>
      </c:pivotFmt>
      <c:pivotFmt>
        <c:idx val="11"/>
        <c:spPr>
          <a:solidFill>
            <a:srgbClr val="008FEC"/>
          </a:solidFill>
          <a:ln>
            <a:noFill/>
          </a:ln>
          <a:effectLst/>
        </c:spPr>
      </c:pivotFmt>
      <c:pivotFmt>
        <c:idx val="12"/>
        <c:spPr>
          <a:solidFill>
            <a:srgbClr val="008FEC"/>
          </a:solidFill>
          <a:ln>
            <a:noFill/>
          </a:ln>
          <a:effectLst/>
        </c:spPr>
      </c:pivotFmt>
      <c:pivotFmt>
        <c:idx val="13"/>
        <c:spPr>
          <a:solidFill>
            <a:srgbClr val="008FEC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overflow" horzOverflow="overflow" vert="horz" wrap="non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bg1"/>
                  </a:solidFill>
                  <a:latin typeface="+mn-lt"/>
                  <a:ea typeface="+mn-ea"/>
                  <a:cs typeface="+mn-cs"/>
                </a:defRPr>
              </a:pPr>
              <a:endParaRPr lang="es-ES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>
              <c15:spPr xmlns:c15="http://schemas.microsoft.com/office/drawing/2012/chart">
                <a:prstGeom prst="rect">
                  <a:avLst/>
                </a:prstGeom>
                <a:noFill/>
                <a:ln>
                  <a:noFill/>
                </a:ln>
              </c15:spPr>
            </c:ext>
          </c:extLst>
        </c:dLbl>
      </c:pivotFmt>
      <c:pivotFmt>
        <c:idx val="14"/>
        <c:spPr>
          <a:solidFill>
            <a:srgbClr val="008FEC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overflow" horzOverflow="overflow" vert="horz" wrap="non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bg1"/>
                  </a:solidFill>
                  <a:latin typeface="+mn-lt"/>
                  <a:ea typeface="+mn-ea"/>
                  <a:cs typeface="+mn-cs"/>
                </a:defRPr>
              </a:pPr>
              <a:endParaRPr lang="es-ES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>
              <c15:spPr xmlns:c15="http://schemas.microsoft.com/office/drawing/2012/chart">
                <a:prstGeom prst="rect">
                  <a:avLst/>
                </a:prstGeom>
                <a:noFill/>
                <a:ln>
                  <a:noFill/>
                </a:ln>
              </c15:spPr>
            </c:ext>
          </c:extLst>
        </c:dLbl>
      </c:pivotFmt>
    </c:pivotFmts>
    <c:plotArea>
      <c:layout>
        <c:manualLayout>
          <c:layoutTarget val="inner"/>
          <c:xMode val="edge"/>
          <c:yMode val="edge"/>
          <c:x val="3.3333333333333333E-2"/>
          <c:y val="5.0925925925925923E-2"/>
          <c:w val="0.93888888888888888"/>
          <c:h val="0.89814814814814814"/>
        </c:manualLayout>
      </c:layout>
      <c:barChart>
        <c:barDir val="bar"/>
        <c:grouping val="clustered"/>
        <c:varyColors val="0"/>
        <c:ser>
          <c:idx val="0"/>
          <c:order val="0"/>
          <c:tx>
            <c:strRef>
              <c:f>Graficas!$W$18</c:f>
              <c:strCache>
                <c:ptCount val="1"/>
                <c:pt idx="0">
                  <c:v>Total</c:v>
                </c:pt>
              </c:strCache>
            </c:strRef>
          </c:tx>
          <c:spPr>
            <a:solidFill>
              <a:srgbClr val="008FEC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overflow" horzOverflow="overflow" vert="horz" wrap="non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bg1"/>
                    </a:solidFill>
                    <a:latin typeface="+mn-lt"/>
                    <a:ea typeface="+mn-ea"/>
                    <a:cs typeface="+mn-cs"/>
                  </a:defRPr>
                </a:pPr>
                <a:endParaRPr lang="es-ES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pPr xmlns:c15="http://schemas.microsoft.com/office/drawing/2012/chart">
                  <a:prstGeom prst="rect">
                    <a:avLst/>
                  </a:prstGeom>
                  <a:noFill/>
                  <a:ln>
                    <a:noFill/>
                  </a:ln>
                </c15:spPr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Graficas!$V$19:$V$29</c:f>
              <c:strCache>
                <c:ptCount val="10"/>
                <c:pt idx="0">
                  <c:v>Otros</c:v>
                </c:pt>
                <c:pt idx="1">
                  <c:v>Financiación</c:v>
                </c:pt>
                <c:pt idx="2">
                  <c:v>Suministros</c:v>
                </c:pt>
                <c:pt idx="3">
                  <c:v>Impuestos</c:v>
                </c:pt>
                <c:pt idx="4">
                  <c:v>Consultoría</c:v>
                </c:pt>
                <c:pt idx="5">
                  <c:v>Nómina</c:v>
                </c:pt>
                <c:pt idx="6">
                  <c:v>Servicios</c:v>
                </c:pt>
                <c:pt idx="7">
                  <c:v>Ventas</c:v>
                </c:pt>
                <c:pt idx="8">
                  <c:v>Logística</c:v>
                </c:pt>
                <c:pt idx="9">
                  <c:v>Marketing</c:v>
                </c:pt>
              </c:strCache>
            </c:strRef>
          </c:cat>
          <c:val>
            <c:numRef>
              <c:f>Graficas!$W$19:$W$29</c:f>
              <c:numCache>
                <c:formatCode>[$€-2]\ #,##0</c:formatCode>
                <c:ptCount val="10"/>
                <c:pt idx="0">
                  <c:v>-617221.82000000007</c:v>
                </c:pt>
                <c:pt idx="1">
                  <c:v>-225613.78000000003</c:v>
                </c:pt>
                <c:pt idx="2">
                  <c:v>-200462.18999999994</c:v>
                </c:pt>
                <c:pt idx="3">
                  <c:v>-198757.28999999998</c:v>
                </c:pt>
                <c:pt idx="4">
                  <c:v>-140469.10999999999</c:v>
                </c:pt>
                <c:pt idx="5">
                  <c:v>-28060.709999999992</c:v>
                </c:pt>
                <c:pt idx="6">
                  <c:v>21455.390000000014</c:v>
                </c:pt>
                <c:pt idx="7">
                  <c:v>207636.28000000003</c:v>
                </c:pt>
                <c:pt idx="8">
                  <c:v>410913.45999999996</c:v>
                </c:pt>
                <c:pt idx="9">
                  <c:v>458921.97000000003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B67C-43F5-9648-EEBE9EA1EA50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30"/>
        <c:axId val="404048927"/>
        <c:axId val="404009567"/>
      </c:barChart>
      <c:catAx>
        <c:axId val="404048927"/>
        <c:scaling>
          <c:orientation val="minMax"/>
        </c:scaling>
        <c:delete val="1"/>
        <c:axPos val="l"/>
        <c:numFmt formatCode="General" sourceLinked="1"/>
        <c:majorTickMark val="out"/>
        <c:minorTickMark val="none"/>
        <c:tickLblPos val="nextTo"/>
        <c:crossAx val="404009567"/>
        <c:crosses val="autoZero"/>
        <c:auto val="1"/>
        <c:lblAlgn val="ctr"/>
        <c:lblOffset val="100"/>
        <c:noMultiLvlLbl val="0"/>
      </c:catAx>
      <c:valAx>
        <c:axId val="404009567"/>
        <c:scaling>
          <c:orientation val="minMax"/>
        </c:scaling>
        <c:delete val="1"/>
        <c:axPos val="b"/>
        <c:numFmt formatCode="[$€-2]\ #,##0" sourceLinked="1"/>
        <c:majorTickMark val="none"/>
        <c:minorTickMark val="none"/>
        <c:tickLblPos val="nextTo"/>
        <c:crossAx val="404048927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rgbClr val="212D3F"/>
    </a:solidFill>
    <a:ln w="9525" cap="flat" cmpd="sng" algn="ctr">
      <a:noFill/>
      <a:round/>
    </a:ln>
    <a:effectLst/>
  </c:spPr>
  <c:txPr>
    <a:bodyPr/>
    <a:lstStyle/>
    <a:p>
      <a:pPr>
        <a:defRPr/>
      </a:pPr>
      <a:endParaRPr lang="es-ES"/>
    </a:p>
  </c:txPr>
  <c:externalData r:id="rId3">
    <c:autoUpdate val="0"/>
  </c:externalData>
  <c:extLst>
    <c:ext xmlns:c14="http://schemas.microsoft.com/office/drawing/2007/8/2/chart" uri="{781A3756-C4B2-4CAC-9D66-4F8BD8637D16}">
      <c14:pivotOptions>
        <c14:dropZoneFilter val="1"/>
        <c14:dropZoneCategories val="1"/>
        <c14:dropZoneData val="1"/>
      </c14:pivotOptions>
    </c:ext>
    <c:ext xmlns:c16="http://schemas.microsoft.com/office/drawing/2014/chart" uri="{E28EC0CA-F0BB-4C9C-879D-F8772B89E7AC}">
      <c16:pivotOptions16>
        <c16:showExpandCollapseFieldButtons val="1"/>
      </c16:pivotOptions16>
    </c:ext>
  </c:extLst>
</c:chartSpace>
</file>

<file path=word/charts/chart8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pivotSource>
    <c:name>[Análisis y Optimizacion Financiera Dashboard.xlsx]Graficas!2_margen_neto_categoria_%</c:name>
    <c:fmtId val="-1"/>
  </c:pivotSource>
  <c:chart>
    <c:autoTitleDeleted val="1"/>
    <c:pivotFmts>
      <c:pivotFmt>
        <c:idx val="0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s-ES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s-ES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"/>
        <c:spPr>
          <a:solidFill>
            <a:srgbClr val="008FEC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bg1"/>
                  </a:solidFill>
                  <a:latin typeface="+mn-lt"/>
                  <a:ea typeface="+mn-ea"/>
                  <a:cs typeface="+mn-cs"/>
                </a:defRPr>
              </a:pPr>
              <a:endParaRPr lang="es-ES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3"/>
        <c:spPr>
          <a:solidFill>
            <a:srgbClr val="008FEC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bg1"/>
                  </a:solidFill>
                  <a:latin typeface="+mn-lt"/>
                  <a:ea typeface="+mn-ea"/>
                  <a:cs typeface="+mn-cs"/>
                </a:defRPr>
              </a:pPr>
              <a:endParaRPr lang="es-ES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4"/>
        <c:spPr>
          <a:solidFill>
            <a:srgbClr val="008FEC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bg1"/>
                  </a:solidFill>
                  <a:latin typeface="+mn-lt"/>
                  <a:ea typeface="+mn-ea"/>
                  <a:cs typeface="+mn-cs"/>
                </a:defRPr>
              </a:pPr>
              <a:endParaRPr lang="es-ES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</c:pivotFmts>
    <c:plotArea>
      <c:layout/>
      <c:barChart>
        <c:barDir val="bar"/>
        <c:grouping val="clustered"/>
        <c:varyColors val="0"/>
        <c:ser>
          <c:idx val="0"/>
          <c:order val="0"/>
          <c:tx>
            <c:strRef>
              <c:f>Graficas!$Z$18</c:f>
              <c:strCache>
                <c:ptCount val="1"/>
                <c:pt idx="0">
                  <c:v>Total</c:v>
                </c:pt>
              </c:strCache>
            </c:strRef>
          </c:tx>
          <c:spPr>
            <a:solidFill>
              <a:srgbClr val="008FEC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bg1"/>
                    </a:solidFill>
                    <a:latin typeface="+mn-lt"/>
                    <a:ea typeface="+mn-ea"/>
                    <a:cs typeface="+mn-cs"/>
                  </a:defRPr>
                </a:pPr>
                <a:endParaRPr lang="es-ES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Graficas!$Y$19:$Y$29</c:f>
              <c:strCache>
                <c:ptCount val="10"/>
                <c:pt idx="0">
                  <c:v>Otros</c:v>
                </c:pt>
                <c:pt idx="1">
                  <c:v>Financiación</c:v>
                </c:pt>
                <c:pt idx="2">
                  <c:v>Impuestos</c:v>
                </c:pt>
                <c:pt idx="3">
                  <c:v>Consultoría</c:v>
                </c:pt>
                <c:pt idx="4">
                  <c:v>Suministros</c:v>
                </c:pt>
                <c:pt idx="5">
                  <c:v>Nómina</c:v>
                </c:pt>
                <c:pt idx="6">
                  <c:v>Servicios</c:v>
                </c:pt>
                <c:pt idx="7">
                  <c:v>Logística</c:v>
                </c:pt>
                <c:pt idx="8">
                  <c:v>Ventas</c:v>
                </c:pt>
                <c:pt idx="9">
                  <c:v>Marketing</c:v>
                </c:pt>
              </c:strCache>
            </c:strRef>
          </c:cat>
          <c:val>
            <c:numRef>
              <c:f>Graficas!$Z$19:$Z$29</c:f>
              <c:numCache>
                <c:formatCode>0.00%</c:formatCode>
                <c:ptCount val="10"/>
                <c:pt idx="0">
                  <c:v>-1.9585224860069914</c:v>
                </c:pt>
                <c:pt idx="1">
                  <c:v>-0.45065692918312983</c:v>
                </c:pt>
                <c:pt idx="2">
                  <c:v>-0.44276612843725394</c:v>
                </c:pt>
                <c:pt idx="3">
                  <c:v>-0.40483689050904087</c:v>
                </c:pt>
                <c:pt idx="4">
                  <c:v>-0.23463555658999341</c:v>
                </c:pt>
                <c:pt idx="5">
                  <c:v>-0.18128526970411513</c:v>
                </c:pt>
                <c:pt idx="6">
                  <c:v>0.12395808207314471</c:v>
                </c:pt>
                <c:pt idx="7">
                  <c:v>0.44069038015887929</c:v>
                </c:pt>
                <c:pt idx="8">
                  <c:v>0.58387896043162157</c:v>
                </c:pt>
                <c:pt idx="9">
                  <c:v>0.74507060517017232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FE7F-4243-ADC1-DA8C75D5A7DF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30"/>
        <c:axId val="1521666351"/>
        <c:axId val="1521654831"/>
      </c:barChart>
      <c:catAx>
        <c:axId val="1521666351"/>
        <c:scaling>
          <c:orientation val="minMax"/>
        </c:scaling>
        <c:delete val="1"/>
        <c:axPos val="l"/>
        <c:numFmt formatCode="General" sourceLinked="1"/>
        <c:majorTickMark val="none"/>
        <c:minorTickMark val="none"/>
        <c:tickLblPos val="nextTo"/>
        <c:crossAx val="1521654831"/>
        <c:crosses val="autoZero"/>
        <c:auto val="1"/>
        <c:lblAlgn val="ctr"/>
        <c:lblOffset val="100"/>
        <c:noMultiLvlLbl val="0"/>
      </c:catAx>
      <c:valAx>
        <c:axId val="1521654831"/>
        <c:scaling>
          <c:orientation val="minMax"/>
        </c:scaling>
        <c:delete val="1"/>
        <c:axPos val="b"/>
        <c:numFmt formatCode="0.00%" sourceLinked="1"/>
        <c:majorTickMark val="none"/>
        <c:minorTickMark val="none"/>
        <c:tickLblPos val="nextTo"/>
        <c:crossAx val="1521666351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rgbClr val="212D3F"/>
    </a:solidFill>
    <a:ln w="9525" cap="flat" cmpd="sng" algn="ctr">
      <a:noFill/>
      <a:round/>
    </a:ln>
    <a:effectLst/>
  </c:spPr>
  <c:txPr>
    <a:bodyPr/>
    <a:lstStyle/>
    <a:p>
      <a:pPr>
        <a:defRPr/>
      </a:pPr>
      <a:endParaRPr lang="es-ES"/>
    </a:p>
  </c:txPr>
  <c:externalData r:id="rId3">
    <c:autoUpdate val="0"/>
  </c:externalData>
  <c:extLst>
    <c:ext xmlns:c14="http://schemas.microsoft.com/office/drawing/2007/8/2/chart" uri="{781A3756-C4B2-4CAC-9D66-4F8BD8637D16}">
      <c14:pivotOptions>
        <c14:dropZoneFilter val="1"/>
        <c14:dropZoneCategories val="1"/>
        <c14:dropZoneData val="1"/>
      </c14:pivotOptions>
    </c:ext>
    <c:ext xmlns:c16="http://schemas.microsoft.com/office/drawing/2014/chart" uri="{E28EC0CA-F0BB-4C9C-879D-F8772B89E7AC}">
      <c16:pivotOptions16>
        <c16:showExpandCollapseFieldButtons val="1"/>
      </c16:pivotOptions16>
    </c:ext>
  </c:extLst>
</c:chartSpace>
</file>

<file path=word/charts/chart9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pivotSource>
    <c:name>[Análisis y Optimizacion Financiera Dashboard.xlsx]Graficas!1_Transacciones_por_Estado</c:name>
    <c:fmtId val="-1"/>
  </c:pivotSource>
  <c:chart>
    <c:autoTitleDeleted val="1"/>
    <c:pivotFmts>
      <c:pivotFmt>
        <c:idx val="0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s-E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s-E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"/>
        <c:spPr>
          <a:solidFill>
            <a:srgbClr val="008FEC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bg1"/>
                  </a:solidFill>
                  <a:latin typeface="+mn-lt"/>
                  <a:ea typeface="+mn-ea"/>
                  <a:cs typeface="+mn-cs"/>
                </a:defRPr>
              </a:pPr>
              <a:endParaRPr lang="es-ES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3"/>
        <c:spPr>
          <a:solidFill>
            <a:srgbClr val="008FEC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bg1"/>
                  </a:solidFill>
                  <a:latin typeface="+mn-lt"/>
                  <a:ea typeface="+mn-ea"/>
                  <a:cs typeface="+mn-cs"/>
                </a:defRPr>
              </a:pPr>
              <a:endParaRPr lang="es-ES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4"/>
        <c:spPr>
          <a:solidFill>
            <a:srgbClr val="008FEC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bg1"/>
                  </a:solidFill>
                  <a:latin typeface="+mn-lt"/>
                  <a:ea typeface="+mn-ea"/>
                  <a:cs typeface="+mn-cs"/>
                </a:defRPr>
              </a:pPr>
              <a:endParaRPr lang="es-ES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</c:pivotFmts>
    <c:plotArea>
      <c:layout/>
      <c:barChart>
        <c:barDir val="bar"/>
        <c:grouping val="clustered"/>
        <c:varyColors val="0"/>
        <c:ser>
          <c:idx val="0"/>
          <c:order val="0"/>
          <c:tx>
            <c:strRef>
              <c:f>Graficas!$I$12</c:f>
              <c:strCache>
                <c:ptCount val="1"/>
                <c:pt idx="0">
                  <c:v>Total</c:v>
                </c:pt>
              </c:strCache>
            </c:strRef>
          </c:tx>
          <c:spPr>
            <a:solidFill>
              <a:srgbClr val="008FEC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bg1"/>
                    </a:solidFill>
                    <a:latin typeface="+mn-lt"/>
                    <a:ea typeface="+mn-ea"/>
                    <a:cs typeface="+mn-cs"/>
                  </a:defRPr>
                </a:pPr>
                <a:endParaRPr lang="es-ES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Graficas!$H$13:$H$17</c:f>
              <c:strCache>
                <c:ptCount val="4"/>
                <c:pt idx="0">
                  <c:v>Cancelado</c:v>
                </c:pt>
                <c:pt idx="1">
                  <c:v>Rechazado</c:v>
                </c:pt>
                <c:pt idx="2">
                  <c:v>Pendiente</c:v>
                </c:pt>
                <c:pt idx="3">
                  <c:v>Pagado</c:v>
                </c:pt>
              </c:strCache>
            </c:strRef>
          </c:cat>
          <c:val>
            <c:numRef>
              <c:f>Graficas!$I$13:$I$17</c:f>
              <c:numCache>
                <c:formatCode>_-* #,##0_-;\-* #,##0_-;_-* "-"??_-;_-@_-</c:formatCode>
                <c:ptCount val="4"/>
                <c:pt idx="0">
                  <c:v>70</c:v>
                </c:pt>
                <c:pt idx="1">
                  <c:v>70</c:v>
                </c:pt>
                <c:pt idx="2">
                  <c:v>161</c:v>
                </c:pt>
                <c:pt idx="3">
                  <c:v>701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C544-45ED-BE93-351F6FE3B026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30"/>
        <c:axId val="404096784"/>
        <c:axId val="404106384"/>
      </c:barChart>
      <c:catAx>
        <c:axId val="404096784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noFill/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bg1"/>
                </a:solidFill>
                <a:latin typeface="+mn-lt"/>
                <a:ea typeface="+mn-ea"/>
                <a:cs typeface="+mn-cs"/>
              </a:defRPr>
            </a:pPr>
            <a:endParaRPr lang="es-ES"/>
          </a:p>
        </c:txPr>
        <c:crossAx val="404106384"/>
        <c:crosses val="autoZero"/>
        <c:auto val="1"/>
        <c:lblAlgn val="ctr"/>
        <c:lblOffset val="100"/>
        <c:noMultiLvlLbl val="0"/>
      </c:catAx>
      <c:valAx>
        <c:axId val="404106384"/>
        <c:scaling>
          <c:orientation val="minMax"/>
        </c:scaling>
        <c:delete val="1"/>
        <c:axPos val="b"/>
        <c:numFmt formatCode="_-* #,##0_-;\-* #,##0_-;_-* &quot;-&quot;??_-;_-@_-" sourceLinked="1"/>
        <c:majorTickMark val="none"/>
        <c:minorTickMark val="none"/>
        <c:tickLblPos val="nextTo"/>
        <c:crossAx val="404096784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rgbClr val="212D3F"/>
    </a:solidFill>
    <a:ln w="9525" cap="flat" cmpd="sng" algn="ctr">
      <a:noFill/>
      <a:round/>
    </a:ln>
    <a:effectLst/>
  </c:spPr>
  <c:txPr>
    <a:bodyPr/>
    <a:lstStyle/>
    <a:p>
      <a:pPr>
        <a:defRPr/>
      </a:pPr>
      <a:endParaRPr lang="es-ES"/>
    </a:p>
  </c:txPr>
  <c:externalData r:id="rId3">
    <c:autoUpdate val="0"/>
  </c:externalData>
  <c:extLst>
    <c:ext xmlns:c14="http://schemas.microsoft.com/office/drawing/2007/8/2/chart" uri="{781A3756-C4B2-4CAC-9D66-4F8BD8637D16}">
      <c14:pivotOptions>
        <c14:dropZoneFilter val="1"/>
        <c14:dropZoneCategories val="1"/>
        <c14:dropZoneData val="1"/>
      </c14:pivotOptions>
    </c:ext>
    <c:ext xmlns:c16="http://schemas.microsoft.com/office/drawing/2014/chart" uri="{E28EC0CA-F0BB-4C9C-879D-F8772B89E7AC}">
      <c16:pivotOptions16>
        <c16:showExpandCollapseFieldButtons val="1"/>
      </c16:pivotOptions16>
    </c:ext>
  </c:extLst>
</c:chartSpace>
</file>

<file path=word/charts/chart10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pivotSource>
    <c:name>[Análisis y Optimizacion Financiera Dashboard.xlsx]Graficas!3_importe_centro_coste_categoria</c:name>
    <c:fmtId val="-1"/>
  </c:pivotSource>
  <c:chart>
    <c:autoTitleDeleted val="1"/>
    <c:pivotFmts>
      <c:pivotFmt>
        <c:idx val="0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s-ES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s-ES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"/>
        <c:spPr>
          <a:solidFill>
            <a:srgbClr val="008FEC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non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bg1"/>
                  </a:solidFill>
                  <a:latin typeface="+mn-lt"/>
                  <a:ea typeface="+mn-ea"/>
                  <a:cs typeface="+mn-cs"/>
                </a:defRPr>
              </a:pPr>
              <a:endParaRPr lang="es-ES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>
              <c15:spPr xmlns:c15="http://schemas.microsoft.com/office/drawing/2012/chart">
                <a:prstGeom prst="rect">
                  <a:avLst/>
                </a:prstGeom>
              </c15:spPr>
            </c:ext>
          </c:extLst>
        </c:dLbl>
      </c:pivotFmt>
      <c:pivotFmt>
        <c:idx val="3"/>
        <c:spPr>
          <a:solidFill>
            <a:srgbClr val="008FEC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non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bg1"/>
                  </a:solidFill>
                  <a:latin typeface="+mn-lt"/>
                  <a:ea typeface="+mn-ea"/>
                  <a:cs typeface="+mn-cs"/>
                </a:defRPr>
              </a:pPr>
              <a:endParaRPr lang="es-ES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>
              <c15:spPr xmlns:c15="http://schemas.microsoft.com/office/drawing/2012/chart">
                <a:prstGeom prst="rect">
                  <a:avLst/>
                </a:prstGeom>
              </c15:spPr>
            </c:ext>
          </c:extLst>
        </c:dLbl>
      </c:pivotFmt>
      <c:pivotFmt>
        <c:idx val="4"/>
        <c:spPr>
          <a:solidFill>
            <a:srgbClr val="008FEC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non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bg1"/>
                  </a:solidFill>
                  <a:latin typeface="+mn-lt"/>
                  <a:ea typeface="+mn-ea"/>
                  <a:cs typeface="+mn-cs"/>
                </a:defRPr>
              </a:pPr>
              <a:endParaRPr lang="es-ES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>
              <c15:spPr xmlns:c15="http://schemas.microsoft.com/office/drawing/2012/chart">
                <a:prstGeom prst="rect">
                  <a:avLst/>
                </a:prstGeom>
              </c15:spPr>
            </c:ext>
          </c:extLst>
        </c:dLbl>
      </c:pivotFmt>
    </c:pivotFmts>
    <c:plotArea>
      <c:layout/>
      <c:barChart>
        <c:barDir val="bar"/>
        <c:grouping val="clustered"/>
        <c:varyColors val="0"/>
        <c:ser>
          <c:idx val="0"/>
          <c:order val="0"/>
          <c:tx>
            <c:strRef>
              <c:f>Graficas!$AI$18</c:f>
              <c:strCache>
                <c:ptCount val="1"/>
                <c:pt idx="0">
                  <c:v>Total</c:v>
                </c:pt>
              </c:strCache>
            </c:strRef>
          </c:tx>
          <c:spPr>
            <a:solidFill>
              <a:srgbClr val="008FEC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non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bg1"/>
                    </a:solidFill>
                    <a:latin typeface="+mn-lt"/>
                    <a:ea typeface="+mn-ea"/>
                    <a:cs typeface="+mn-cs"/>
                  </a:defRPr>
                </a:pPr>
                <a:endParaRPr lang="es-ES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pPr xmlns:c15="http://schemas.microsoft.com/office/drawing/2012/chart">
                  <a:prstGeom prst="rect">
                    <a:avLst/>
                  </a:prstGeom>
                </c15:spPr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Graficas!$AH$19:$AH$25</c:f>
              <c:strCache>
                <c:ptCount val="6"/>
                <c:pt idx="0">
                  <c:v>Comercial</c:v>
                </c:pt>
                <c:pt idx="1">
                  <c:v>RRHH</c:v>
                </c:pt>
                <c:pt idx="2">
                  <c:v>Finanzas</c:v>
                </c:pt>
                <c:pt idx="3">
                  <c:v>Operaciones</c:v>
                </c:pt>
                <c:pt idx="4">
                  <c:v>TI</c:v>
                </c:pt>
                <c:pt idx="5">
                  <c:v>Dirección</c:v>
                </c:pt>
              </c:strCache>
            </c:strRef>
          </c:cat>
          <c:val>
            <c:numRef>
              <c:f>Graficas!$AI$19:$AI$25</c:f>
              <c:numCache>
                <c:formatCode>[$€-2]\ #,##0</c:formatCode>
                <c:ptCount val="6"/>
                <c:pt idx="0">
                  <c:v>457124.51</c:v>
                </c:pt>
                <c:pt idx="1">
                  <c:v>617708.03</c:v>
                </c:pt>
                <c:pt idx="2">
                  <c:v>820113.76</c:v>
                </c:pt>
                <c:pt idx="3">
                  <c:v>846229.94</c:v>
                </c:pt>
                <c:pt idx="4">
                  <c:v>1130009.23</c:v>
                </c:pt>
                <c:pt idx="5">
                  <c:v>1138347.93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AAC6-4986-A719-867E76D7678D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30"/>
        <c:axId val="923634623"/>
        <c:axId val="1896559727"/>
      </c:barChart>
      <c:catAx>
        <c:axId val="923634623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noFill/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bg1"/>
                </a:solidFill>
                <a:latin typeface="+mn-lt"/>
                <a:ea typeface="+mn-ea"/>
                <a:cs typeface="+mn-cs"/>
              </a:defRPr>
            </a:pPr>
            <a:endParaRPr lang="es-ES"/>
          </a:p>
        </c:txPr>
        <c:crossAx val="1896559727"/>
        <c:crosses val="autoZero"/>
        <c:auto val="1"/>
        <c:lblAlgn val="ctr"/>
        <c:lblOffset val="100"/>
        <c:noMultiLvlLbl val="0"/>
      </c:catAx>
      <c:valAx>
        <c:axId val="1896559727"/>
        <c:scaling>
          <c:orientation val="minMax"/>
        </c:scaling>
        <c:delete val="1"/>
        <c:axPos val="b"/>
        <c:numFmt formatCode="[$€-2]\ #,##0" sourceLinked="1"/>
        <c:majorTickMark val="none"/>
        <c:minorTickMark val="none"/>
        <c:tickLblPos val="nextTo"/>
        <c:crossAx val="923634623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rgbClr val="212D3F"/>
    </a:solidFill>
    <a:ln w="9525" cap="flat" cmpd="sng" algn="ctr">
      <a:noFill/>
      <a:round/>
    </a:ln>
    <a:effectLst/>
  </c:spPr>
  <c:txPr>
    <a:bodyPr/>
    <a:lstStyle/>
    <a:p>
      <a:pPr>
        <a:defRPr/>
      </a:pPr>
      <a:endParaRPr lang="es-ES"/>
    </a:p>
  </c:txPr>
  <c:externalData r:id="rId1">
    <c:autoUpdate val="0"/>
  </c:externalData>
  <c:extLst>
    <c:ext xmlns:c14="http://schemas.microsoft.com/office/drawing/2007/8/2/chart" uri="{781A3756-C4B2-4CAC-9D66-4F8BD8637D16}">
      <c14:pivotOptions>
        <c14:dropZoneFilter val="1"/>
        <c14:dropZoneCategories val="1"/>
        <c14:dropZoneData val="1"/>
      </c14:pivotOptions>
    </c:ext>
    <c:ext xmlns:c16="http://schemas.microsoft.com/office/drawing/2014/chart" uri="{E28EC0CA-F0BB-4C9C-879D-F8772B89E7AC}">
      <c16:pivotOptions16>
        <c16:showExpandCollapseFieldButtons val="1"/>
      </c16:pivotOptions16>
    </c:ext>
  </c:extLst>
</c:chartSpace>
</file>

<file path=word/charts/chart1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pivotSource>
    <c:name>[Análisis y Optimizacion Financiera Dashboard.xlsx]Graficas!3_participaion_centro_coste_categoria</c:name>
    <c:fmtId val="-1"/>
  </c:pivotSource>
  <c:chart>
    <c:autoTitleDeleted val="1"/>
    <c:pivotFmts>
      <c:pivotFmt>
        <c:idx val="0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s-ES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s-ES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"/>
        <c:spPr>
          <a:solidFill>
            <a:srgbClr val="008FEC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bg1"/>
                  </a:solidFill>
                  <a:latin typeface="+mn-lt"/>
                  <a:ea typeface="+mn-ea"/>
                  <a:cs typeface="+mn-cs"/>
                </a:defRPr>
              </a:pPr>
              <a:endParaRPr lang="es-ES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3"/>
        <c:spPr>
          <a:solidFill>
            <a:srgbClr val="008FEC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bg1"/>
                  </a:solidFill>
                  <a:latin typeface="+mn-lt"/>
                  <a:ea typeface="+mn-ea"/>
                  <a:cs typeface="+mn-cs"/>
                </a:defRPr>
              </a:pPr>
              <a:endParaRPr lang="es-ES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4"/>
        <c:spPr>
          <a:solidFill>
            <a:srgbClr val="008FEC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bg1"/>
                  </a:solidFill>
                  <a:latin typeface="+mn-lt"/>
                  <a:ea typeface="+mn-ea"/>
                  <a:cs typeface="+mn-cs"/>
                </a:defRPr>
              </a:pPr>
              <a:endParaRPr lang="es-ES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</c:pivotFmts>
    <c:plotArea>
      <c:layout/>
      <c:barChart>
        <c:barDir val="bar"/>
        <c:grouping val="clustered"/>
        <c:varyColors val="0"/>
        <c:ser>
          <c:idx val="0"/>
          <c:order val="0"/>
          <c:tx>
            <c:strRef>
              <c:f>Graficas!$AL$18</c:f>
              <c:strCache>
                <c:ptCount val="1"/>
                <c:pt idx="0">
                  <c:v>Total</c:v>
                </c:pt>
              </c:strCache>
            </c:strRef>
          </c:tx>
          <c:spPr>
            <a:solidFill>
              <a:srgbClr val="008FEC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bg1"/>
                    </a:solidFill>
                    <a:latin typeface="+mn-lt"/>
                    <a:ea typeface="+mn-ea"/>
                    <a:cs typeface="+mn-cs"/>
                  </a:defRPr>
                </a:pPr>
                <a:endParaRPr lang="es-ES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Graficas!$AK$19:$AK$25</c:f>
              <c:strCache>
                <c:ptCount val="6"/>
                <c:pt idx="0">
                  <c:v>Comercial</c:v>
                </c:pt>
                <c:pt idx="1">
                  <c:v>RRHH</c:v>
                </c:pt>
                <c:pt idx="2">
                  <c:v>Finanzas</c:v>
                </c:pt>
                <c:pt idx="3">
                  <c:v>Operaciones</c:v>
                </c:pt>
                <c:pt idx="4">
                  <c:v>TI</c:v>
                </c:pt>
                <c:pt idx="5">
                  <c:v>Dirección</c:v>
                </c:pt>
              </c:strCache>
            </c:strRef>
          </c:cat>
          <c:val>
            <c:numRef>
              <c:f>Graficas!$AL$19:$AL$25</c:f>
              <c:numCache>
                <c:formatCode>0.00%</c:formatCode>
                <c:ptCount val="6"/>
                <c:pt idx="0">
                  <c:v>9.1250915704045407E-2</c:v>
                </c:pt>
                <c:pt idx="1">
                  <c:v>0.12330649996265121</c:v>
                </c:pt>
                <c:pt idx="2">
                  <c:v>0.16371060825744768</c:v>
                </c:pt>
                <c:pt idx="3">
                  <c:v>0.16892390417039638</c:v>
                </c:pt>
                <c:pt idx="4">
                  <c:v>0.22557175285027542</c:v>
                </c:pt>
                <c:pt idx="5">
                  <c:v>0.22723631905518382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D830-4FEC-9B7F-847F2E33A707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30"/>
        <c:axId val="1872531327"/>
        <c:axId val="1872544287"/>
      </c:barChart>
      <c:catAx>
        <c:axId val="1872531327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noFill/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bg1"/>
                </a:solidFill>
                <a:latin typeface="+mn-lt"/>
                <a:ea typeface="+mn-ea"/>
                <a:cs typeface="+mn-cs"/>
              </a:defRPr>
            </a:pPr>
            <a:endParaRPr lang="es-ES"/>
          </a:p>
        </c:txPr>
        <c:crossAx val="1872544287"/>
        <c:crosses val="autoZero"/>
        <c:auto val="1"/>
        <c:lblAlgn val="ctr"/>
        <c:lblOffset val="100"/>
        <c:noMultiLvlLbl val="0"/>
      </c:catAx>
      <c:valAx>
        <c:axId val="1872544287"/>
        <c:scaling>
          <c:orientation val="minMax"/>
        </c:scaling>
        <c:delete val="1"/>
        <c:axPos val="b"/>
        <c:numFmt formatCode="0.00%" sourceLinked="1"/>
        <c:majorTickMark val="none"/>
        <c:minorTickMark val="none"/>
        <c:tickLblPos val="nextTo"/>
        <c:crossAx val="1872531327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rgbClr val="212D3F"/>
    </a:solidFill>
    <a:ln w="9525" cap="flat" cmpd="sng" algn="ctr">
      <a:noFill/>
      <a:round/>
    </a:ln>
    <a:effectLst/>
  </c:spPr>
  <c:txPr>
    <a:bodyPr/>
    <a:lstStyle/>
    <a:p>
      <a:pPr>
        <a:defRPr/>
      </a:pPr>
      <a:endParaRPr lang="es-ES"/>
    </a:p>
  </c:txPr>
  <c:externalData r:id="rId3">
    <c:autoUpdate val="0"/>
  </c:externalData>
  <c:extLst>
    <c:ext xmlns:c14="http://schemas.microsoft.com/office/drawing/2007/8/2/chart" uri="{781A3756-C4B2-4CAC-9D66-4F8BD8637D16}">
      <c14:pivotOptions>
        <c14:dropZoneFilter val="1"/>
        <c14:dropZoneCategories val="1"/>
        <c14:dropZoneData val="1"/>
      </c14:pivotOptions>
    </c:ext>
    <c:ext xmlns:c16="http://schemas.microsoft.com/office/drawing/2014/chart" uri="{E28EC0CA-F0BB-4C9C-879D-F8772B89E7AC}">
      <c16:pivotOptions16>
        <c16:showExpandCollapseFieldButtons val="1"/>
      </c16:pivotOptions16>
    </c:ext>
  </c:extLst>
</c:chartSpace>
</file>

<file path=word/charts/chartEx1.xml><?xml version="1.0" encoding="utf-8"?>
<cx:chartSpace xmlns:a="http://schemas.openxmlformats.org/drawingml/2006/main" xmlns:r="http://schemas.openxmlformats.org/officeDocument/2006/relationships" xmlns:cx="http://schemas.microsoft.com/office/drawing/2014/chartex">
  <cx:chartData>
    <cx:externalData r:id="rId1" cx:autoUpdate="0"/>
    <cx:data id="0">
      <cx:strDim type="cat">
        <cx:f>Graficas!$AQ$40:$AQ$52</cx:f>
        <cx:lvl ptCount="12">
          <cx:pt idx="0"> 1 </cx:pt>
          <cx:pt idx="1"> 2 </cx:pt>
          <cx:pt idx="2"> 3 </cx:pt>
          <cx:pt idx="3"> 4 </cx:pt>
          <cx:pt idx="4"> 5 </cx:pt>
          <cx:pt idx="5"> 6 </cx:pt>
          <cx:pt idx="6"> 7 </cx:pt>
          <cx:pt idx="7"> 8 </cx:pt>
          <cx:pt idx="8"> 9 </cx:pt>
          <cx:pt idx="9"> 10 </cx:pt>
          <cx:pt idx="10"> 11 </cx:pt>
          <cx:pt idx="11"> 12 </cx:pt>
        </cx:lvl>
      </cx:strDim>
      <cx:numDim type="val">
        <cx:f>Graficas!$AR$40:$AR$52</cx:f>
        <cx:lvl ptCount="12" formatCode="[$€-x-euro2]\ #.##0">
          <cx:pt idx="0">152960.25</cx:pt>
          <cx:pt idx="1">1021955.87</cx:pt>
          <cx:pt idx="2">730518.45999999996</cx:pt>
          <cx:pt idx="3">203789.88</cx:pt>
          <cx:pt idx="4">183278.98999999999</cx:pt>
          <cx:pt idx="5">102560.72</cx:pt>
          <cx:pt idx="6">1007032.04</cx:pt>
          <cx:pt idx="7">376836.82000000001</cx:pt>
          <cx:pt idx="8">127800.92</cx:pt>
          <cx:pt idx="9">402233.84999999998</cx:pt>
          <cx:pt idx="10">120970.47</cx:pt>
          <cx:pt idx="11">579595.13</cx:pt>
        </cx:lvl>
      </cx:numDim>
    </cx:data>
  </cx:chartData>
  <cx:chart>
    <cx:plotArea>
      <cx:plotAreaRegion>
        <cx:series layoutId="waterfall" uniqueId="{0A0C2F55-A301-4016-AB45-255F884D99DE}">
          <cx:tx>
            <cx:txData>
              <cx:f>Graficas!$AR$39</cx:f>
              <cx:v> Gastos </cx:v>
            </cx:txData>
          </cx:tx>
          <cx:spPr>
            <a:solidFill>
              <a:srgbClr val="008FEC"/>
            </a:solidFill>
          </cx:spPr>
          <cx:dataLabels>
            <cx:txPr>
              <a:bodyPr spcFirstLastPara="1" vertOverflow="ellipsis" horzOverflow="overflow" wrap="square" lIns="0" tIns="0" rIns="0" bIns="0" anchor="ctr" anchorCtr="1"/>
              <a:lstStyle/>
              <a:p>
                <a:pPr algn="ctr" rtl="0">
                  <a:defRPr>
                    <a:solidFill>
                      <a:schemeClr val="bg1"/>
                    </a:solidFill>
                  </a:defRPr>
                </a:pPr>
                <a:endParaRPr lang="en-US" sz="900" b="0" i="0" u="none" strike="noStrike" baseline="0">
                  <a:solidFill>
                    <a:schemeClr val="bg1"/>
                  </a:solidFill>
                  <a:latin typeface="Calibri" panose="020F0502020204030204"/>
                </a:endParaRPr>
              </a:p>
            </cx:txPr>
            <cx:visibility seriesName="0" categoryName="0" value="1"/>
          </cx:dataLabels>
          <cx:dataId val="0"/>
          <cx:layoutPr>
            <cx:subtotals/>
          </cx:layoutPr>
        </cx:series>
      </cx:plotAreaRegion>
      <cx:axis id="0">
        <cx:catScaling gapWidth="0.5"/>
        <cx:tickLabels/>
        <cx:spPr>
          <a:ln>
            <a:noFill/>
          </a:ln>
        </cx:spPr>
        <cx:txPr>
          <a:bodyPr spcFirstLastPara="1" vertOverflow="ellipsis" horzOverflow="overflow" wrap="square" lIns="0" tIns="0" rIns="0" bIns="0" anchor="ctr" anchorCtr="1"/>
          <a:lstStyle/>
          <a:p>
            <a:pPr algn="ctr" rtl="0">
              <a:defRPr>
                <a:solidFill>
                  <a:schemeClr val="bg1"/>
                </a:solidFill>
              </a:defRPr>
            </a:pPr>
            <a:endParaRPr lang="en-US" sz="900" b="0" i="0" u="none" strike="noStrike" baseline="0">
              <a:solidFill>
                <a:schemeClr val="bg1"/>
              </a:solidFill>
              <a:latin typeface="Calibri" panose="020F0502020204030204"/>
            </a:endParaRPr>
          </a:p>
        </cx:txPr>
      </cx:axis>
      <cx:axis id="1" hidden="1">
        <cx:valScaling/>
        <cx:tickLabels/>
      </cx:axis>
    </cx:plotArea>
  </cx:chart>
  <cx:spPr>
    <a:solidFill>
      <a:srgbClr val="212D3F"/>
    </a:solidFill>
    <a:ln>
      <a:noFill/>
    </a:ln>
  </cx:spPr>
</cx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5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6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7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8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9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0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61">
  <cs:axisTitle>
    <cs:lnRef idx="0"/>
    <cs:fillRef idx="0"/>
    <cs:effectRef idx="0"/>
    <cs:fontRef idx="minor">
      <a:schemeClr val="dk1">
        <a:lumMod val="65000"/>
        <a:lumOff val="35000"/>
      </a:schemeClr>
    </cs:fontRef>
    <cs:defRPr sz="900" kern="1200"/>
  </cs:axisTitle>
  <cs:categoryAxis>
    <cs:lnRef idx="0"/>
    <cs:fillRef idx="0"/>
    <cs:effectRef idx="0"/>
    <cs:fontRef idx="minor">
      <a:schemeClr val="dk1">
        <a:lumMod val="65000"/>
        <a:lumOff val="35000"/>
      </a:schemeClr>
    </cs:fontRef>
    <cs:defRPr sz="900" kern="1200"/>
  </cs:categoryAxis>
  <cs:chartArea>
    <cs:lnRef idx="0"/>
    <cs:fillRef idx="0"/>
    <cs:effectRef idx="0"/>
    <cs:fontRef idx="minor">
      <a:schemeClr val="dk1"/>
    </cs:fontRef>
    <cs:spPr>
      <a:pattFill prst="dkDnDiag">
        <a:fgClr>
          <a:schemeClr val="lt1">
            <a:lumMod val="95000"/>
          </a:schemeClr>
        </a:fgClr>
        <a:bgClr>
          <a:schemeClr val="lt1"/>
        </a:bgClr>
      </a:pattFill>
      <a:ln w="9525" cap="flat" cmpd="sng" algn="ctr">
        <a:solidFill>
          <a:schemeClr val="dk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lt1"/>
    </cs:fontRef>
    <cs:defRPr sz="900" b="1" i="0" u="none" strike="noStrike" kern="1200" baseline="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>
          <a:alpha val="75000"/>
        </a:schemeClr>
      </a:solidFill>
      <a:ln w="9525"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effectLst>
        <a:outerShdw blurRad="317500" algn="ctr" rotWithShape="0">
          <a:prstClr val="black">
            <a:alpha val="25000"/>
          </a:prstClr>
        </a:outerShdw>
      </a:effectLst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effectLst>
        <a:outerShdw blurRad="88900" sx="102000" sy="102000" algn="ctr" rotWithShape="0">
          <a:prstClr val="black">
            <a:alpha val="20000"/>
          </a:prstClr>
        </a:outerShdw>
      </a:effectLst>
      <a:scene3d>
        <a:camera prst="orthographicFront"/>
        <a:lightRig rig="threePt" dir="t"/>
      </a:scene3d>
      <a:sp3d prstMaterial="matte"/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28575" cap="rnd">
        <a:solidFill>
          <a:schemeClr val="phClr"/>
        </a:solidFill>
        <a:round/>
      </a:ln>
    </cs:spPr>
  </cs:dataPointLine>
  <cs:dataPointMarker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ln w="9525">
        <a:solidFill>
          <a:schemeClr val="lt1"/>
        </a:solidFill>
      </a:ln>
    </cs:spPr>
  </cs:dataPointMarker>
  <cs:dataPointMarkerLayout symbol="circle" size="6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dk1">
        <a:lumMod val="65000"/>
        <a:lumOff val="35000"/>
      </a:schemeClr>
    </cs:fontRef>
    <cs:spPr>
      <a:noFill/>
      <a:ln w="9525" cap="flat" cmpd="sng" algn="ctr">
        <a:solidFill>
          <a:schemeClr val="dk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dk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dk1"/>
    </cs:fontRef>
    <cs:spPr>
      <a:ln w="9525" cap="flat" cmpd="sng" algn="ctr">
        <a:solidFill>
          <a:schemeClr val="dk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dk1"/>
    </cs:fontRef>
    <cs:spPr>
      <a:ln w="9525" cap="flat" cmpd="sng" algn="ctr">
        <a:solidFill>
          <a:schemeClr val="dk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dk1"/>
    </cs:fontRef>
    <cs:spPr>
      <a:ln w="9525" cap="flat" cmpd="sng" algn="ctr">
        <a:solidFill>
          <a:schemeClr val="dk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dk1"/>
    </cs:fontRef>
    <cs:spPr>
      <a:ln w="9525" cap="flat" cmpd="sng" algn="ctr">
        <a:solidFill>
          <a:schemeClr val="dk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dk1"/>
    </cs:fontRef>
    <cs:spPr>
      <a:ln w="9525" cap="flat" cmpd="sng" algn="ctr">
        <a:solidFill>
          <a:schemeClr val="dk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dk1"/>
    </cs:fontRef>
    <cs:spPr>
      <a:ln w="9525" cap="flat" cmpd="sng" algn="ctr">
        <a:solidFill>
          <a:schemeClr val="dk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>
          <a:alpha val="78000"/>
        </a:schemeClr>
      </a:solidFill>
    </cs:spPr>
    <cs:defRPr sz="900" kern="1200"/>
  </cs:legend>
  <cs:plotArea mods="allowNoFillOverride allowNoLineOverride">
    <cs:lnRef idx="0"/>
    <cs:fillRef idx="0"/>
    <cs:effectRef idx="0"/>
    <cs:fontRef idx="minor">
      <a:schemeClr val="dk1"/>
    </cs:fontRef>
  </cs:plotArea>
  <cs:plotArea3D mods="allowNoFillOverride allowNoLineOverride"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dk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dk1"/>
    </cs:fontRef>
    <cs:spPr>
      <a:ln w="9525" cap="flat" cmpd="sng" algn="ctr">
        <a:solidFill>
          <a:schemeClr val="dk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dk1">
        <a:lumMod val="65000"/>
        <a:lumOff val="35000"/>
      </a:schemeClr>
    </cs:fontRef>
    <cs:defRPr sz="1800" b="1" kern="1200" baseline="0"/>
  </cs:title>
  <cs:trendline>
    <cs:lnRef idx="0">
      <cs:styleClr val="auto"/>
    </cs:lnRef>
    <cs:fillRef idx="0"/>
    <cs:effectRef idx="0"/>
    <cs:fontRef idx="minor">
      <a:schemeClr val="dk1"/>
    </cs:fontRef>
    <cs:spPr>
      <a:ln w="19050" cap="rnd">
        <a:solidFill>
          <a:schemeClr val="phClr"/>
        </a:solidFill>
        <a:prstDash val="sysDash"/>
      </a:ln>
    </cs:spPr>
  </cs:trendline>
  <cs:trendlineLabel>
    <cs:lnRef idx="0"/>
    <cs:fillRef idx="0"/>
    <cs:effectRef idx="0"/>
    <cs:fontRef idx="minor">
      <a:schemeClr val="dk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 cap="flat" cmpd="sng" algn="ctr">
        <a:solidFill>
          <a:schemeClr val="dk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dk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charts/style2.xml><?xml version="1.0" encoding="utf-8"?>
<cs:chartStyle xmlns:cs="http://schemas.microsoft.com/office/drawing/2012/chartStyle" xmlns:a="http://schemas.openxmlformats.org/drawingml/2006/main" id="261">
  <cs:axisTitle>
    <cs:lnRef idx="0"/>
    <cs:fillRef idx="0"/>
    <cs:effectRef idx="0"/>
    <cs:fontRef idx="minor">
      <a:schemeClr val="dk1">
        <a:lumMod val="65000"/>
        <a:lumOff val="35000"/>
      </a:schemeClr>
    </cs:fontRef>
    <cs:defRPr sz="900" kern="1200"/>
  </cs:axisTitle>
  <cs:categoryAxis>
    <cs:lnRef idx="0"/>
    <cs:fillRef idx="0"/>
    <cs:effectRef idx="0"/>
    <cs:fontRef idx="minor">
      <a:schemeClr val="dk1">
        <a:lumMod val="65000"/>
        <a:lumOff val="35000"/>
      </a:schemeClr>
    </cs:fontRef>
    <cs:defRPr sz="900" kern="1200"/>
  </cs:categoryAxis>
  <cs:chartArea>
    <cs:lnRef idx="0"/>
    <cs:fillRef idx="0"/>
    <cs:effectRef idx="0"/>
    <cs:fontRef idx="minor">
      <a:schemeClr val="dk1"/>
    </cs:fontRef>
    <cs:spPr>
      <a:pattFill prst="dkDnDiag">
        <a:fgClr>
          <a:schemeClr val="lt1">
            <a:lumMod val="95000"/>
          </a:schemeClr>
        </a:fgClr>
        <a:bgClr>
          <a:schemeClr val="lt1"/>
        </a:bgClr>
      </a:pattFill>
      <a:ln w="9525" cap="flat" cmpd="sng" algn="ctr">
        <a:solidFill>
          <a:schemeClr val="dk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lt1"/>
    </cs:fontRef>
    <cs:defRPr sz="900" b="1" i="0" u="none" strike="noStrike" kern="1200" baseline="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>
          <a:alpha val="75000"/>
        </a:schemeClr>
      </a:solidFill>
      <a:ln w="9525"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effectLst>
        <a:outerShdw blurRad="317500" algn="ctr" rotWithShape="0">
          <a:prstClr val="black">
            <a:alpha val="25000"/>
          </a:prstClr>
        </a:outerShdw>
      </a:effectLst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effectLst>
        <a:outerShdw blurRad="88900" sx="102000" sy="102000" algn="ctr" rotWithShape="0">
          <a:prstClr val="black">
            <a:alpha val="20000"/>
          </a:prstClr>
        </a:outerShdw>
      </a:effectLst>
      <a:scene3d>
        <a:camera prst="orthographicFront"/>
        <a:lightRig rig="threePt" dir="t"/>
      </a:scene3d>
      <a:sp3d prstMaterial="matte"/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28575" cap="rnd">
        <a:solidFill>
          <a:schemeClr val="phClr"/>
        </a:solidFill>
        <a:round/>
      </a:ln>
    </cs:spPr>
  </cs:dataPointLine>
  <cs:dataPointMarker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ln w="9525">
        <a:solidFill>
          <a:schemeClr val="lt1"/>
        </a:solidFill>
      </a:ln>
    </cs:spPr>
  </cs:dataPointMarker>
  <cs:dataPointMarkerLayout symbol="circle" size="6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dk1">
        <a:lumMod val="65000"/>
        <a:lumOff val="35000"/>
      </a:schemeClr>
    </cs:fontRef>
    <cs:spPr>
      <a:noFill/>
      <a:ln w="9525" cap="flat" cmpd="sng" algn="ctr">
        <a:solidFill>
          <a:schemeClr val="dk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dk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dk1"/>
    </cs:fontRef>
    <cs:spPr>
      <a:ln w="9525" cap="flat" cmpd="sng" algn="ctr">
        <a:solidFill>
          <a:schemeClr val="dk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dk1"/>
    </cs:fontRef>
    <cs:spPr>
      <a:ln w="9525" cap="flat" cmpd="sng" algn="ctr">
        <a:solidFill>
          <a:schemeClr val="dk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dk1"/>
    </cs:fontRef>
    <cs:spPr>
      <a:ln w="9525" cap="flat" cmpd="sng" algn="ctr">
        <a:solidFill>
          <a:schemeClr val="dk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dk1"/>
    </cs:fontRef>
    <cs:spPr>
      <a:ln w="9525" cap="flat" cmpd="sng" algn="ctr">
        <a:solidFill>
          <a:schemeClr val="dk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dk1"/>
    </cs:fontRef>
    <cs:spPr>
      <a:ln w="9525" cap="flat" cmpd="sng" algn="ctr">
        <a:solidFill>
          <a:schemeClr val="dk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dk1"/>
    </cs:fontRef>
    <cs:spPr>
      <a:ln w="9525" cap="flat" cmpd="sng" algn="ctr">
        <a:solidFill>
          <a:schemeClr val="dk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>
          <a:alpha val="78000"/>
        </a:schemeClr>
      </a:solidFill>
    </cs:spPr>
    <cs:defRPr sz="900" kern="1200"/>
  </cs:legend>
  <cs:plotArea mods="allowNoFillOverride allowNoLineOverride">
    <cs:lnRef idx="0"/>
    <cs:fillRef idx="0"/>
    <cs:effectRef idx="0"/>
    <cs:fontRef idx="minor">
      <a:schemeClr val="dk1"/>
    </cs:fontRef>
  </cs:plotArea>
  <cs:plotArea3D mods="allowNoFillOverride allowNoLineOverride"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dk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dk1"/>
    </cs:fontRef>
    <cs:spPr>
      <a:ln w="9525" cap="flat" cmpd="sng" algn="ctr">
        <a:solidFill>
          <a:schemeClr val="dk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dk1">
        <a:lumMod val="65000"/>
        <a:lumOff val="35000"/>
      </a:schemeClr>
    </cs:fontRef>
    <cs:defRPr sz="1800" b="1" kern="1200" baseline="0"/>
  </cs:title>
  <cs:trendline>
    <cs:lnRef idx="0">
      <cs:styleClr val="auto"/>
    </cs:lnRef>
    <cs:fillRef idx="0"/>
    <cs:effectRef idx="0"/>
    <cs:fontRef idx="minor">
      <a:schemeClr val="dk1"/>
    </cs:fontRef>
    <cs:spPr>
      <a:ln w="19050" cap="rnd">
        <a:solidFill>
          <a:schemeClr val="phClr"/>
        </a:solidFill>
        <a:prstDash val="sysDash"/>
      </a:ln>
    </cs:spPr>
  </cs:trendline>
  <cs:trendlineLabel>
    <cs:lnRef idx="0"/>
    <cs:fillRef idx="0"/>
    <cs:effectRef idx="0"/>
    <cs:fontRef idx="minor">
      <a:schemeClr val="dk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 cap="flat" cmpd="sng" algn="ctr">
        <a:solidFill>
          <a:schemeClr val="dk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dk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charts/style3.xml><?xml version="1.0" encoding="utf-8"?>
<cs:chartStyle xmlns:cs="http://schemas.microsoft.com/office/drawing/2012/chartStyle" xmlns:a="http://schemas.openxmlformats.org/drawingml/2006/main" id="29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.xml><?xml version="1.0" encoding="utf-8"?>
<cs:chartStyle xmlns:cs="http://schemas.microsoft.com/office/drawing/2012/chartStyle" xmlns:a="http://schemas.openxmlformats.org/drawingml/2006/main" id="216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5.xml><?xml version="1.0" encoding="utf-8"?>
<cs:chartStyle xmlns:cs="http://schemas.microsoft.com/office/drawing/2012/chartStyle" xmlns:a="http://schemas.openxmlformats.org/drawingml/2006/main" id="29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6.xml><?xml version="1.0" encoding="utf-8"?>
<cs:chartStyle xmlns:cs="http://schemas.microsoft.com/office/drawing/2012/chartStyle" xmlns:a="http://schemas.openxmlformats.org/drawingml/2006/main" id="29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7.xml><?xml version="1.0" encoding="utf-8"?>
<cs:chartStyle xmlns:cs="http://schemas.microsoft.com/office/drawing/2012/chartStyle" xmlns:a="http://schemas.openxmlformats.org/drawingml/2006/main" id="216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8.xml><?xml version="1.0" encoding="utf-8"?>
<cs:chartStyle xmlns:cs="http://schemas.microsoft.com/office/drawing/2012/chartStyle" xmlns:a="http://schemas.openxmlformats.org/drawingml/2006/main" id="216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9.xml><?xml version="1.0" encoding="utf-8"?>
<cs:chartStyle xmlns:cs="http://schemas.microsoft.com/office/drawing/2012/chartStyle" xmlns:a="http://schemas.openxmlformats.org/drawingml/2006/main" id="216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10.xml><?xml version="1.0" encoding="utf-8"?>
<cs:chartStyle xmlns:cs="http://schemas.microsoft.com/office/drawing/2012/chartStyle" xmlns:a="http://schemas.openxmlformats.org/drawingml/2006/main" id="216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11.xml><?xml version="1.0" encoding="utf-8"?>
<cs:chartStyle xmlns:cs="http://schemas.microsoft.com/office/drawing/2012/chartStyle" xmlns:a="http://schemas.openxmlformats.org/drawingml/2006/main" id="395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/>
  </cs:chartArea>
  <cs:dataLabel>
    <cs:lnRef idx="0"/>
    <cs:fillRef idx="0"/>
    <cs:effectRef idx="0"/>
    <cs:fontRef idx="minor">
      <a:schemeClr val="tx1">
        <a:lumMod val="65000"/>
        <a:lumOff val="35000"/>
      </a:schemeClr>
    </cs:fontRef>
    <cs:defRPr sz="9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0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/>
    <cs:fillRef idx="0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lt1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ln w="9525">
        <a:solidFill>
          <a:schemeClr val="tx1">
            <a:lumMod val="15000"/>
            <a:lumOff val="85000"/>
          </a:schemeClr>
        </a:solidFill>
      </a:ln>
    </cs:spPr>
    <cs:defRPr sz="9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/>
  </cs:seriesAxis>
  <cs:seriesLine>
    <cs:lnRef idx="0"/>
    <cs:fillRef idx="0"/>
    <cs:effectRef idx="0"/>
    <cs:fontRef idx="minor">
      <a:schemeClr val="tx1"/>
    </cs:fontRef>
    <cs:spPr>
      <a:ln w="9525" cap="flat">
        <a:solidFill>
          <a:srgbClr val="D9D9D9"/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ash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/>
  </cs:valueAxis>
  <cs:wall>
    <cs:lnRef idx="0"/>
    <cs:fillRef idx="0"/>
    <cs:effectRef idx="0"/>
    <cs:fontRef idx="minor">
      <a:schemeClr val="tx1"/>
    </cs:fontRef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5</Pages>
  <Words>716</Words>
  <Characters>3939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DAVID</cp:lastModifiedBy>
  <cp:revision>57</cp:revision>
  <dcterms:created xsi:type="dcterms:W3CDTF">2026-05-31T01:33:00Z</dcterms:created>
  <dcterms:modified xsi:type="dcterms:W3CDTF">2026-06-17T20:07:00Z</dcterms:modified>
  <cp:contentStatus/>
</cp:coreProperties>
</file>