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0F45B" w14:textId="0679B9CE" w:rsidR="00D526EC" w:rsidRDefault="00AE65C9" w:rsidP="00AE65C9">
      <w:pPr>
        <w:pStyle w:val="Title"/>
        <w:jc w:val="center"/>
      </w:pPr>
      <w:r>
        <w:rPr>
          <w:rFonts w:eastAsia="source serif 4"/>
        </w:rPr>
        <w:t>Reporte para “</w:t>
      </w:r>
      <w:r w:rsidR="008362E9">
        <w:rPr>
          <w:rFonts w:eastAsia="source serif 4"/>
        </w:rPr>
        <w:t>E</w:t>
      </w:r>
      <w:r>
        <w:rPr>
          <w:rFonts w:eastAsia="source serif 4"/>
        </w:rPr>
        <w:t xml:space="preserve">stados de las </w:t>
      </w:r>
      <w:r w:rsidR="008362E9">
        <w:rPr>
          <w:rFonts w:eastAsia="source serif 4"/>
        </w:rPr>
        <w:t>T</w:t>
      </w:r>
      <w:r>
        <w:rPr>
          <w:rFonts w:eastAsia="source serif 4"/>
        </w:rPr>
        <w:t>ransacciones”</w:t>
      </w:r>
    </w:p>
    <w:p w14:paraId="43D42658" w14:textId="77777777" w:rsidR="00AE65C9" w:rsidRDefault="00AE65C9">
      <w:pPr>
        <w:spacing w:before="315" w:after="105" w:line="360" w:lineRule="auto"/>
        <w:ind w:left="-30"/>
        <w:rPr>
          <w:rFonts w:ascii="source serif 4" w:eastAsia="source serif 4" w:hAnsi="source serif 4" w:cs="source serif 4"/>
          <w:b/>
          <w:color w:val="000000"/>
          <w:sz w:val="24"/>
        </w:rPr>
      </w:pPr>
      <w:bookmarkStart w:id="0" w:name="reporte_estados_de_las_transacciones"/>
    </w:p>
    <w:p w14:paraId="3C4B3162" w14:textId="41891AC1" w:rsidR="00D526EC" w:rsidRDefault="00000000">
      <w:pPr>
        <w:spacing w:before="315" w:after="105" w:line="360" w:lineRule="auto"/>
        <w:ind w:left="-30"/>
      </w:pPr>
      <w:r>
        <w:rPr>
          <w:rFonts w:ascii="source serif 4" w:eastAsia="source serif 4" w:hAnsi="source serif 4" w:cs="source serif 4"/>
          <w:b/>
          <w:color w:val="000000"/>
          <w:sz w:val="24"/>
        </w:rPr>
        <w:t>Reporte: estados de las transacciones</w:t>
      </w:r>
      <w:bookmarkEnd w:id="0"/>
    </w:p>
    <w:p w14:paraId="2BB24CC7" w14:textId="77777777" w:rsidR="00D526EC" w:rsidRDefault="00000000">
      <w:pPr>
        <w:spacing w:before="315" w:after="105" w:line="360" w:lineRule="auto"/>
        <w:ind w:left="-30"/>
      </w:pPr>
      <w:bookmarkStart w:id="1" w:name="qué_pasó"/>
      <w:r>
        <w:rPr>
          <w:rFonts w:ascii="source serif 4" w:eastAsia="source serif 4" w:hAnsi="source serif 4" w:cs="source serif 4"/>
          <w:b/>
          <w:color w:val="000000"/>
          <w:sz w:val="24"/>
        </w:rPr>
        <w:t>¿Qué pasó?</w:t>
      </w:r>
      <w:bookmarkEnd w:id="1"/>
    </w:p>
    <w:p w14:paraId="72382F67" w14:textId="61164210" w:rsidR="00D526E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El dataset muestra transacciones en cuatro estados principales: </w:t>
      </w:r>
      <w:r>
        <w:rPr>
          <w:rFonts w:ascii="source serif 4" w:eastAsia="source serif 4" w:hAnsi="source serif 4" w:cs="source serif 4"/>
          <w:b/>
          <w:color w:val="000000"/>
        </w:rPr>
        <w:t>Pagado, Pendiente, Cancelado y Rechazado</w:t>
      </w:r>
      <w:r>
        <w:rPr>
          <w:rFonts w:ascii="source serif 4" w:eastAsia="source serif 4" w:hAnsi="source serif 4" w:cs="source serif 4"/>
          <w:color w:val="000000"/>
        </w:rPr>
        <w:t>.</w:t>
      </w:r>
      <w:bookmarkStart w:id="2" w:name="fnref2_1"/>
      <w:bookmarkEnd w:id="2"/>
      <w:r w:rsidR="00841A95"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br/>
        <w:t>Eso indica que no todo el flujo financiero está cerrado, y que existen operaciones cuyo ciclo aún no termina o se interrumpe antes de completarse.</w:t>
      </w:r>
      <w:bookmarkStart w:id="3" w:name="fnref2_2"/>
      <w:bookmarkEnd w:id="3"/>
      <w:r w:rsidR="009D6C83">
        <w:t xml:space="preserve"> </w:t>
      </w:r>
    </w:p>
    <w:p w14:paraId="707F7CB3" w14:textId="77777777" w:rsidR="00D526EC" w:rsidRDefault="00000000">
      <w:pPr>
        <w:spacing w:before="315" w:after="105" w:line="360" w:lineRule="auto"/>
        <w:ind w:left="-30"/>
      </w:pPr>
      <w:bookmarkStart w:id="4" w:name="dónde_pasó"/>
      <w:r>
        <w:rPr>
          <w:rFonts w:ascii="source serif 4" w:eastAsia="source serif 4" w:hAnsi="source serif 4" w:cs="source serif 4"/>
          <w:b/>
          <w:color w:val="000000"/>
          <w:sz w:val="24"/>
        </w:rPr>
        <w:t>¿Dónde pasó?</w:t>
      </w:r>
      <w:bookmarkEnd w:id="4"/>
    </w:p>
    <w:p w14:paraId="65DFC9A6" w14:textId="29685E26" w:rsidR="00D526E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El comportamiento aparece distribuido entre varias empresas, países, canales de pago y centros de coste, porque la columna de estado está presente en todo el dataset.</w:t>
      </w:r>
      <w:bookmarkStart w:id="5" w:name="fnref2_3"/>
      <w:bookmarkEnd w:id="5"/>
      <w:r w:rsidR="003F146C"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br/>
        <w:t>En la práctica, esto significa que el problema no pertenece a una sola área: puede estar ocurriendo en procesos de cobro, validación, autorización o conciliación.</w:t>
      </w:r>
      <w:bookmarkStart w:id="6" w:name="fnref2_4"/>
      <w:bookmarkEnd w:id="6"/>
      <w:r w:rsidR="003F146C">
        <w:t xml:space="preserve"> </w:t>
      </w:r>
    </w:p>
    <w:p w14:paraId="5547D16D" w14:textId="77777777" w:rsidR="00D526EC" w:rsidRDefault="00000000">
      <w:pPr>
        <w:spacing w:before="315" w:after="105" w:line="360" w:lineRule="auto"/>
        <w:ind w:left="-30"/>
      </w:pPr>
      <w:bookmarkStart w:id="7" w:name="con_quién_pasó"/>
      <w:r>
        <w:rPr>
          <w:rFonts w:ascii="source serif 4" w:eastAsia="source serif 4" w:hAnsi="source serif 4" w:cs="source serif 4"/>
          <w:b/>
          <w:color w:val="000000"/>
          <w:sz w:val="24"/>
        </w:rPr>
        <w:t>¿Con quién pasó?</w:t>
      </w:r>
      <w:bookmarkEnd w:id="7"/>
    </w:p>
    <w:p w14:paraId="3F3A208F" w14:textId="33D4134F" w:rsidR="00D526E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Ocurre con distintas combinaciones de </w:t>
      </w:r>
      <w:r w:rsidRPr="00111DD6">
        <w:rPr>
          <w:rFonts w:ascii="Consolas" w:eastAsia="source serif 4" w:hAnsi="Consolas" w:cs="source serif 4"/>
          <w:bCs/>
          <w:color w:val="000000"/>
          <w:highlight w:val="darkGray"/>
        </w:rPr>
        <w:t>empresa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 w:rsidRPr="00111DD6">
        <w:rPr>
          <w:rFonts w:ascii="Consolas" w:eastAsia="source serif 4" w:hAnsi="Consolas" w:cs="source serif 4"/>
          <w:bCs/>
          <w:color w:val="000000"/>
          <w:highlight w:val="darkGray"/>
        </w:rPr>
        <w:t>cliente</w:t>
      </w:r>
      <w:r w:rsidR="00111DD6" w:rsidRPr="00111DD6">
        <w:rPr>
          <w:rFonts w:ascii="Consolas" w:eastAsia="source serif 4" w:hAnsi="Consolas" w:cs="source serif 4"/>
          <w:bCs/>
          <w:color w:val="000000"/>
          <w:highlight w:val="darkGray"/>
        </w:rPr>
        <w:t>_</w:t>
      </w:r>
      <w:r w:rsidRPr="00111DD6">
        <w:rPr>
          <w:rFonts w:ascii="Consolas" w:eastAsia="source serif 4" w:hAnsi="Consolas" w:cs="source serif 4"/>
          <w:bCs/>
          <w:color w:val="000000"/>
          <w:highlight w:val="darkGray"/>
        </w:rPr>
        <w:t>proveedor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 w:rsidRPr="00111DD6">
        <w:rPr>
          <w:rFonts w:ascii="Consolas" w:eastAsia="source serif 4" w:hAnsi="Consolas" w:cs="source serif 4"/>
          <w:bCs/>
          <w:color w:val="000000"/>
          <w:highlight w:val="darkGray"/>
        </w:rPr>
        <w:t>canal</w:t>
      </w:r>
      <w:r w:rsidR="00111DD6" w:rsidRPr="00111DD6">
        <w:rPr>
          <w:rFonts w:ascii="Consolas" w:eastAsia="source serif 4" w:hAnsi="Consolas" w:cs="source serif 4"/>
          <w:bCs/>
          <w:color w:val="000000"/>
          <w:highlight w:val="darkGray"/>
        </w:rPr>
        <w:t>_</w:t>
      </w:r>
      <w:r w:rsidRPr="00111DD6">
        <w:rPr>
          <w:rFonts w:ascii="Consolas" w:eastAsia="source serif 4" w:hAnsi="Consolas" w:cs="source serif 4"/>
          <w:bCs/>
          <w:color w:val="000000"/>
          <w:highlight w:val="darkGray"/>
        </w:rPr>
        <w:t>de</w:t>
      </w:r>
      <w:r w:rsidR="00111DD6" w:rsidRPr="00111DD6">
        <w:rPr>
          <w:rFonts w:ascii="Consolas" w:eastAsia="source serif 4" w:hAnsi="Consolas" w:cs="source serif 4"/>
          <w:bCs/>
          <w:color w:val="000000"/>
          <w:highlight w:val="darkGray"/>
        </w:rPr>
        <w:t>_</w:t>
      </w:r>
      <w:r w:rsidRPr="00111DD6">
        <w:rPr>
          <w:rFonts w:ascii="Consolas" w:eastAsia="source serif 4" w:hAnsi="Consolas" w:cs="source serif 4"/>
          <w:bCs/>
          <w:color w:val="000000"/>
          <w:highlight w:val="darkGray"/>
        </w:rPr>
        <w:t>pago</w:t>
      </w:r>
      <w:r>
        <w:rPr>
          <w:rFonts w:ascii="source serif 4" w:eastAsia="source serif 4" w:hAnsi="source serif 4" w:cs="source serif 4"/>
          <w:color w:val="000000"/>
        </w:rPr>
        <w:t xml:space="preserve"> y </w:t>
      </w:r>
      <w:r w:rsidRPr="00111DD6">
        <w:rPr>
          <w:rFonts w:ascii="Consolas" w:eastAsia="source serif 4" w:hAnsi="Consolas" w:cs="source serif 4"/>
          <w:bCs/>
          <w:color w:val="000000"/>
          <w:highlight w:val="darkGray"/>
        </w:rPr>
        <w:t>centro</w:t>
      </w:r>
      <w:r w:rsidR="00111DD6" w:rsidRPr="00111DD6">
        <w:rPr>
          <w:rFonts w:ascii="Consolas" w:eastAsia="source serif 4" w:hAnsi="Consolas" w:cs="source serif 4"/>
          <w:bCs/>
          <w:color w:val="000000"/>
          <w:highlight w:val="darkGray"/>
        </w:rPr>
        <w:t>_</w:t>
      </w:r>
      <w:r w:rsidRPr="00111DD6">
        <w:rPr>
          <w:rFonts w:ascii="Consolas" w:eastAsia="source serif 4" w:hAnsi="Consolas" w:cs="source serif 4"/>
          <w:bCs/>
          <w:color w:val="000000"/>
          <w:highlight w:val="darkGray"/>
        </w:rPr>
        <w:t>coste</w:t>
      </w:r>
      <w:r>
        <w:rPr>
          <w:rFonts w:ascii="source serif 4" w:eastAsia="source serif 4" w:hAnsi="source serif 4" w:cs="source serif 4"/>
          <w:color w:val="000000"/>
        </w:rPr>
        <w:t>.</w:t>
      </w:r>
      <w:bookmarkStart w:id="8" w:name="fnref2_5"/>
      <w:bookmarkEnd w:id="8"/>
      <w:r w:rsidR="00AC5470"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br/>
        <w:t>Por ejemplo, hay operaciones de Nordics Capital SA, Iberia Finance SL, Cresta Partners SA, Atlantic Holdings SL, Andes Investments SL y Grupo Meridian SA en estados mixtos, lo que sugiere que el comportamiento depende más del proceso que de una sola empresa.</w:t>
      </w:r>
      <w:bookmarkStart w:id="9" w:name="fnref2_6"/>
      <w:bookmarkEnd w:id="9"/>
      <w:r w:rsidR="00AC5470">
        <w:t xml:space="preserve"> </w:t>
      </w:r>
    </w:p>
    <w:p w14:paraId="33FFDF3F" w14:textId="77777777" w:rsidR="00D526EC" w:rsidRDefault="00000000">
      <w:pPr>
        <w:spacing w:before="315" w:after="105" w:line="360" w:lineRule="auto"/>
        <w:ind w:left="-30"/>
      </w:pPr>
      <w:bookmarkStart w:id="10" w:name="por_qué_pasó"/>
      <w:r>
        <w:rPr>
          <w:rFonts w:ascii="source serif 4" w:eastAsia="source serif 4" w:hAnsi="source serif 4" w:cs="source serif 4"/>
          <w:b/>
          <w:color w:val="000000"/>
          <w:sz w:val="24"/>
        </w:rPr>
        <w:t>¿Por qué pasó?</w:t>
      </w:r>
      <w:bookmarkEnd w:id="10"/>
    </w:p>
    <w:p w14:paraId="7A2450CB" w14:textId="5068FFC2" w:rsidR="00D526E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nivel de dataset, la causa visible no es textual, pero sí se pueden inferir hipótesis: algunos pagos están en canales más propensos a fricción, algunos registros están incompletos o marcados como </w:t>
      </w:r>
      <w:r>
        <w:rPr>
          <w:rFonts w:ascii="source serif 4" w:eastAsia="source serif 4" w:hAnsi="source serif 4" w:cs="source serif 4"/>
          <w:b/>
          <w:color w:val="000000"/>
        </w:rPr>
        <w:t>DESCONOCIDO</w:t>
      </w:r>
      <w:r>
        <w:rPr>
          <w:rFonts w:ascii="source serif 4" w:eastAsia="source serif 4" w:hAnsi="source serif 4" w:cs="source serif 4"/>
          <w:color w:val="000000"/>
        </w:rPr>
        <w:t>, y hay mezcla de tipos de movimiento e importes altos que pueden requerir validación extra.</w:t>
      </w:r>
      <w:bookmarkStart w:id="11" w:name="fnref2_7"/>
      <w:bookmarkEnd w:id="11"/>
      <w:r w:rsidR="001E1230">
        <w:rPr>
          <w:rFonts w:ascii="source serif 4" w:eastAsia="source serif 4" w:hAnsi="source serif 4" w:cs="source serif 4"/>
          <w:color w:val="000000"/>
        </w:rPr>
        <w:t xml:space="preserve"> </w:t>
      </w:r>
      <w:r>
        <w:rPr>
          <w:rFonts w:ascii="source serif 4" w:eastAsia="source serif 4" w:hAnsi="source serif 4" w:cs="source serif 4"/>
          <w:color w:val="000000"/>
        </w:rPr>
        <w:br/>
        <w:t>En análisis de negocio, esto suele apuntar a problemas de aprobación, validación documental, conciliación bancaria o tiempos de respuesta en el procesamiento.</w:t>
      </w:r>
      <w:bookmarkStart w:id="12" w:name="fnref1_1"/>
      <w:bookmarkEnd w:id="1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</w:p>
    <w:p w14:paraId="5E3C84F0" w14:textId="77777777" w:rsidR="00D526EC" w:rsidRDefault="00000000">
      <w:pPr>
        <w:spacing w:before="315" w:after="105" w:line="360" w:lineRule="auto"/>
        <w:ind w:left="-30"/>
      </w:pPr>
      <w:bookmarkStart w:id="13" w:name="insight_accionable"/>
      <w:r>
        <w:rPr>
          <w:rFonts w:ascii="source serif 4" w:eastAsia="source serif 4" w:hAnsi="source serif 4" w:cs="source serif 4"/>
          <w:b/>
          <w:color w:val="000000"/>
          <w:sz w:val="24"/>
        </w:rPr>
        <w:t>Insight accionable</w:t>
      </w:r>
      <w:bookmarkEnd w:id="13"/>
    </w:p>
    <w:p w14:paraId="52C4DB81" w14:textId="77777777" w:rsidR="00D526E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El insight más fuerte es este:</w:t>
      </w:r>
    </w:p>
    <w:p w14:paraId="6525C86A" w14:textId="01BD2FE4" w:rsidR="00D526E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La organización no tiene un problema solo de ventas o gasto, sino de conversión operativa del flujo financiero: una parte de las transacciones no llega a estado final, lo que puede afectar caja, control y previsión financiera</w:t>
      </w:r>
      <w:r>
        <w:rPr>
          <w:rFonts w:ascii="source serif 4" w:eastAsia="source serif 4" w:hAnsi="source serif 4" w:cs="source serif 4"/>
          <w:color w:val="000000"/>
        </w:rPr>
        <w:t>.</w:t>
      </w:r>
      <w:bookmarkStart w:id="14" w:name="fnref2_8"/>
      <w:bookmarkEnd w:id="14"/>
      <w:r w:rsidR="003B7E97">
        <w:t xml:space="preserve"> </w:t>
      </w:r>
    </w:p>
    <w:p w14:paraId="75868191" w14:textId="77777777" w:rsidR="00D526EC" w:rsidRDefault="00000000">
      <w:pPr>
        <w:spacing w:before="315" w:after="105" w:line="360" w:lineRule="auto"/>
        <w:ind w:left="-30"/>
      </w:pPr>
      <w:bookmarkStart w:id="15" w:name="acción_recomendada"/>
      <w:r>
        <w:rPr>
          <w:rFonts w:ascii="source serif 4" w:eastAsia="source serif 4" w:hAnsi="source serif 4" w:cs="source serif 4"/>
          <w:b/>
          <w:color w:val="000000"/>
          <w:sz w:val="24"/>
        </w:rPr>
        <w:t>Acción recomendada</w:t>
      </w:r>
      <w:bookmarkEnd w:id="15"/>
    </w:p>
    <w:p w14:paraId="44258991" w14:textId="77777777" w:rsidR="00D526E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Priorizar seguimiento de las transacciones </w:t>
      </w:r>
      <w:r>
        <w:rPr>
          <w:rFonts w:ascii="source serif 4" w:eastAsia="source serif 4" w:hAnsi="source serif 4" w:cs="source serif 4"/>
          <w:b/>
          <w:color w:val="000000"/>
        </w:rPr>
        <w:t>Pendientes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6F1B5D1C" w14:textId="77777777" w:rsidR="00D526E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Revisar causas de </w:t>
      </w:r>
      <w:r>
        <w:rPr>
          <w:rFonts w:ascii="source serif 4" w:eastAsia="source serif 4" w:hAnsi="source serif 4" w:cs="source serif 4"/>
          <w:b/>
          <w:color w:val="000000"/>
        </w:rPr>
        <w:t>Cancelado</w:t>
      </w:r>
      <w:r>
        <w:rPr>
          <w:rFonts w:ascii="source serif 4" w:eastAsia="source serif 4" w:hAnsi="source serif 4" w:cs="source serif 4"/>
          <w:color w:val="000000"/>
        </w:rPr>
        <w:t xml:space="preserve"> y </w:t>
      </w:r>
      <w:r>
        <w:rPr>
          <w:rFonts w:ascii="source serif 4" w:eastAsia="source serif 4" w:hAnsi="source serif 4" w:cs="source serif 4"/>
          <w:b/>
          <w:color w:val="000000"/>
        </w:rPr>
        <w:t>Rechazado</w:t>
      </w:r>
      <w:r>
        <w:rPr>
          <w:rFonts w:ascii="source serif 4" w:eastAsia="source serif 4" w:hAnsi="source serif 4" w:cs="source serif 4"/>
          <w:color w:val="000000"/>
        </w:rPr>
        <w:t xml:space="preserve"> por canal de pago, país y empresa.</w:t>
      </w:r>
    </w:p>
    <w:p w14:paraId="07CFE86C" w14:textId="77777777" w:rsidR="00D526E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Crear un KPI de </w:t>
      </w:r>
      <w:r>
        <w:rPr>
          <w:rFonts w:ascii="source serif 4" w:eastAsia="source serif 4" w:hAnsi="source serif 4" w:cs="source serif 4"/>
          <w:b/>
          <w:color w:val="000000"/>
        </w:rPr>
        <w:t>tasa de cierre por estado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4E14246A" w14:textId="77777777" w:rsidR="00D526E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Revisar operaciones de mayor importe primero, porque un pendiente grande tiene más impacto en liquidez.</w:t>
      </w:r>
      <w:bookmarkStart w:id="16" w:name="fnref2_9"/>
      <w:bookmarkEnd w:id="16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[2]</w:t>
      </w:r>
      <w:r>
        <w:fldChar w:fldCharType="end"/>
      </w:r>
    </w:p>
    <w:p w14:paraId="75C5E4A6" w14:textId="3734098F" w:rsidR="00D526EC" w:rsidRDefault="00000000">
      <w:pPr>
        <w:spacing w:before="315" w:after="105" w:line="360" w:lineRule="auto"/>
        <w:ind w:left="-30"/>
      </w:pPr>
      <w:bookmarkStart w:id="17" w:name="gráficas_que_deberías_incluir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Gráficas que </w:t>
      </w:r>
      <w:r w:rsidR="00594389">
        <w:rPr>
          <w:rFonts w:ascii="source serif 4" w:eastAsia="source serif 4" w:hAnsi="source serif 4" w:cs="source serif 4"/>
          <w:b/>
          <w:color w:val="000000"/>
          <w:sz w:val="24"/>
        </w:rPr>
        <w:t xml:space="preserve">se 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>debe</w:t>
      </w:r>
      <w:r w:rsidR="00594389">
        <w:rPr>
          <w:rFonts w:ascii="source serif 4" w:eastAsia="source serif 4" w:hAnsi="source serif 4" w:cs="source serif 4"/>
          <w:b/>
          <w:color w:val="000000"/>
          <w:sz w:val="24"/>
        </w:rPr>
        <w:t>n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incluir</w:t>
      </w:r>
      <w:bookmarkEnd w:id="17"/>
    </w:p>
    <w:p w14:paraId="43E1B4F5" w14:textId="77777777" w:rsidR="00D526E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Para este tema, las mejores gráficas son:</w:t>
      </w:r>
    </w:p>
    <w:p w14:paraId="44E7F033" w14:textId="77955963" w:rsidR="00D526E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Barras apiladas por estado</w:t>
      </w:r>
      <w:r>
        <w:rPr>
          <w:rFonts w:ascii="source serif 4" w:eastAsia="source serif 4" w:hAnsi="source serif 4" w:cs="source serif 4"/>
          <w:color w:val="000000"/>
        </w:rPr>
        <w:t xml:space="preserve"> para ver el volumen de Pagado, Pendiente, Cancelado y Rechazado.</w:t>
      </w:r>
      <w:bookmarkStart w:id="18" w:name="fnref2_10"/>
      <w:bookmarkEnd w:id="18"/>
      <w:r w:rsidR="003D2F84">
        <w:t xml:space="preserve"> </w:t>
      </w:r>
    </w:p>
    <w:p w14:paraId="10F69C29" w14:textId="20B8A74E" w:rsidR="00D526E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Donut o pie</w:t>
      </w:r>
      <w:r>
        <w:rPr>
          <w:rFonts w:ascii="source serif 4" w:eastAsia="source serif 4" w:hAnsi="source serif 4" w:cs="source serif 4"/>
          <w:color w:val="000000"/>
        </w:rPr>
        <w:t xml:space="preserve"> para mostrar la proporción de cada estado.</w:t>
      </w:r>
      <w:bookmarkStart w:id="19" w:name="fnref2_11"/>
      <w:bookmarkEnd w:id="19"/>
      <w:r w:rsidR="003D2F84">
        <w:t xml:space="preserve"> </w:t>
      </w:r>
    </w:p>
    <w:p w14:paraId="5FD19D3F" w14:textId="2ECF356F" w:rsidR="00D526E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Barras por empresa</w:t>
      </w:r>
      <w:r>
        <w:rPr>
          <w:rFonts w:ascii="source serif 4" w:eastAsia="source serif 4" w:hAnsi="source serif 4" w:cs="source serif 4"/>
          <w:color w:val="000000"/>
        </w:rPr>
        <w:t xml:space="preserve"> con color por estado para identificar dónde se concentran los problemas.</w:t>
      </w:r>
      <w:bookmarkStart w:id="20" w:name="fnref2_12"/>
      <w:bookmarkEnd w:id="20"/>
      <w:r w:rsidR="003D2F84">
        <w:t xml:space="preserve"> </w:t>
      </w:r>
    </w:p>
    <w:p w14:paraId="078A5740" w14:textId="19F1B238" w:rsidR="00D526E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Barras por canal de pago</w:t>
      </w:r>
      <w:r>
        <w:rPr>
          <w:rFonts w:ascii="source serif 4" w:eastAsia="source serif 4" w:hAnsi="source serif 4" w:cs="source serif 4"/>
          <w:color w:val="000000"/>
        </w:rPr>
        <w:t xml:space="preserve"> para ver si ciertos canales tienen más rechazos o pendientes.</w:t>
      </w:r>
      <w:bookmarkStart w:id="21" w:name="fnref2_13"/>
      <w:bookmarkEnd w:id="21"/>
      <w:r w:rsidR="003D2F84">
        <w:t xml:space="preserve"> </w:t>
      </w:r>
    </w:p>
    <w:p w14:paraId="6141F22A" w14:textId="52E37C28" w:rsidR="003D2F84" w:rsidRDefault="00000000" w:rsidP="003D2F84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Barras por país</w:t>
      </w:r>
      <w:r>
        <w:rPr>
          <w:rFonts w:ascii="source serif 4" w:eastAsia="source serif 4" w:hAnsi="source serif 4" w:cs="source serif 4"/>
          <w:color w:val="000000"/>
        </w:rPr>
        <w:t xml:space="preserve"> para detectar diferencias geográficas.</w:t>
      </w:r>
      <w:bookmarkStart w:id="22" w:name="fnref2_14"/>
      <w:bookmarkEnd w:id="22"/>
    </w:p>
    <w:p w14:paraId="629AE7C3" w14:textId="3BABB7EF" w:rsidR="00D526EC" w:rsidRDefault="00D526EC">
      <w:pPr>
        <w:spacing w:after="210" w:line="360" w:lineRule="auto"/>
      </w:pPr>
    </w:p>
    <w:sectPr w:rsidR="00D526EC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source sans 3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474F5"/>
    <w:multiLevelType w:val="hybridMultilevel"/>
    <w:tmpl w:val="47B0C1AC"/>
    <w:lvl w:ilvl="0" w:tplc="6BD681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6428BA0">
      <w:numFmt w:val="decimal"/>
      <w:lvlText w:val=""/>
      <w:lvlJc w:val="left"/>
    </w:lvl>
    <w:lvl w:ilvl="2" w:tplc="DCFC4F5C">
      <w:numFmt w:val="decimal"/>
      <w:lvlText w:val=""/>
      <w:lvlJc w:val="left"/>
    </w:lvl>
    <w:lvl w:ilvl="3" w:tplc="DC566D4E">
      <w:numFmt w:val="decimal"/>
      <w:lvlText w:val=""/>
      <w:lvlJc w:val="left"/>
    </w:lvl>
    <w:lvl w:ilvl="4" w:tplc="B8C27736">
      <w:numFmt w:val="decimal"/>
      <w:lvlText w:val=""/>
      <w:lvlJc w:val="left"/>
    </w:lvl>
    <w:lvl w:ilvl="5" w:tplc="B1DCDAEE">
      <w:numFmt w:val="decimal"/>
      <w:lvlText w:val=""/>
      <w:lvlJc w:val="left"/>
    </w:lvl>
    <w:lvl w:ilvl="6" w:tplc="8E609928">
      <w:numFmt w:val="decimal"/>
      <w:lvlText w:val=""/>
      <w:lvlJc w:val="left"/>
    </w:lvl>
    <w:lvl w:ilvl="7" w:tplc="FB8EF86E">
      <w:numFmt w:val="decimal"/>
      <w:lvlText w:val=""/>
      <w:lvlJc w:val="left"/>
    </w:lvl>
    <w:lvl w:ilvl="8" w:tplc="5DA62D8A">
      <w:numFmt w:val="decimal"/>
      <w:lvlText w:val=""/>
      <w:lvlJc w:val="left"/>
    </w:lvl>
  </w:abstractNum>
  <w:abstractNum w:abstractNumId="1" w15:restartNumberingAfterBreak="0">
    <w:nsid w:val="396D543F"/>
    <w:multiLevelType w:val="hybridMultilevel"/>
    <w:tmpl w:val="70C25A04"/>
    <w:lvl w:ilvl="0" w:tplc="DCF2DE54">
      <w:numFmt w:val="decimal"/>
      <w:lvlText w:val=""/>
      <w:lvlJc w:val="left"/>
    </w:lvl>
    <w:lvl w:ilvl="1" w:tplc="BC80FD26">
      <w:numFmt w:val="decimal"/>
      <w:lvlText w:val=""/>
      <w:lvlJc w:val="left"/>
    </w:lvl>
    <w:lvl w:ilvl="2" w:tplc="4FC0D1EE">
      <w:numFmt w:val="decimal"/>
      <w:lvlText w:val=""/>
      <w:lvlJc w:val="left"/>
    </w:lvl>
    <w:lvl w:ilvl="3" w:tplc="28CEB71E">
      <w:numFmt w:val="decimal"/>
      <w:lvlText w:val=""/>
      <w:lvlJc w:val="left"/>
    </w:lvl>
    <w:lvl w:ilvl="4" w:tplc="8FDC65C4">
      <w:numFmt w:val="decimal"/>
      <w:lvlText w:val=""/>
      <w:lvlJc w:val="left"/>
    </w:lvl>
    <w:lvl w:ilvl="5" w:tplc="9166707C">
      <w:numFmt w:val="decimal"/>
      <w:lvlText w:val=""/>
      <w:lvlJc w:val="left"/>
    </w:lvl>
    <w:lvl w:ilvl="6" w:tplc="E92259C2">
      <w:numFmt w:val="decimal"/>
      <w:lvlText w:val=""/>
      <w:lvlJc w:val="left"/>
    </w:lvl>
    <w:lvl w:ilvl="7" w:tplc="F3D4A318">
      <w:numFmt w:val="decimal"/>
      <w:lvlText w:val=""/>
      <w:lvlJc w:val="left"/>
    </w:lvl>
    <w:lvl w:ilvl="8" w:tplc="74846C58">
      <w:numFmt w:val="decimal"/>
      <w:lvlText w:val=""/>
      <w:lvlJc w:val="left"/>
    </w:lvl>
  </w:abstractNum>
  <w:abstractNum w:abstractNumId="2" w15:restartNumberingAfterBreak="0">
    <w:nsid w:val="409715DA"/>
    <w:multiLevelType w:val="hybridMultilevel"/>
    <w:tmpl w:val="C758F0C6"/>
    <w:lvl w:ilvl="0" w:tplc="5D920D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4EAA50E">
      <w:numFmt w:val="decimal"/>
      <w:lvlText w:val=""/>
      <w:lvlJc w:val="left"/>
    </w:lvl>
    <w:lvl w:ilvl="2" w:tplc="AD4CB60E">
      <w:numFmt w:val="decimal"/>
      <w:lvlText w:val=""/>
      <w:lvlJc w:val="left"/>
    </w:lvl>
    <w:lvl w:ilvl="3" w:tplc="CAF46F9E">
      <w:numFmt w:val="decimal"/>
      <w:lvlText w:val=""/>
      <w:lvlJc w:val="left"/>
    </w:lvl>
    <w:lvl w:ilvl="4" w:tplc="6FDA9B56">
      <w:numFmt w:val="decimal"/>
      <w:lvlText w:val=""/>
      <w:lvlJc w:val="left"/>
    </w:lvl>
    <w:lvl w:ilvl="5" w:tplc="994EE3B4">
      <w:numFmt w:val="decimal"/>
      <w:lvlText w:val=""/>
      <w:lvlJc w:val="left"/>
    </w:lvl>
    <w:lvl w:ilvl="6" w:tplc="F95010FA">
      <w:numFmt w:val="decimal"/>
      <w:lvlText w:val=""/>
      <w:lvlJc w:val="left"/>
    </w:lvl>
    <w:lvl w:ilvl="7" w:tplc="980CB158">
      <w:numFmt w:val="decimal"/>
      <w:lvlText w:val=""/>
      <w:lvlJc w:val="left"/>
    </w:lvl>
    <w:lvl w:ilvl="8" w:tplc="157A49E0">
      <w:numFmt w:val="decimal"/>
      <w:lvlText w:val=""/>
      <w:lvlJc w:val="left"/>
    </w:lvl>
  </w:abstractNum>
  <w:abstractNum w:abstractNumId="3" w15:restartNumberingAfterBreak="0">
    <w:nsid w:val="4B7B6284"/>
    <w:multiLevelType w:val="hybridMultilevel"/>
    <w:tmpl w:val="6D5E4ACA"/>
    <w:lvl w:ilvl="0" w:tplc="BFD025B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4A83AE0">
      <w:numFmt w:val="decimal"/>
      <w:lvlText w:val=""/>
      <w:lvlJc w:val="left"/>
    </w:lvl>
    <w:lvl w:ilvl="2" w:tplc="F6E8D6BE">
      <w:numFmt w:val="decimal"/>
      <w:lvlText w:val=""/>
      <w:lvlJc w:val="left"/>
    </w:lvl>
    <w:lvl w:ilvl="3" w:tplc="C8DE7CF2">
      <w:numFmt w:val="decimal"/>
      <w:lvlText w:val=""/>
      <w:lvlJc w:val="left"/>
    </w:lvl>
    <w:lvl w:ilvl="4" w:tplc="E3B077A6">
      <w:numFmt w:val="decimal"/>
      <w:lvlText w:val=""/>
      <w:lvlJc w:val="left"/>
    </w:lvl>
    <w:lvl w:ilvl="5" w:tplc="83B6508A">
      <w:numFmt w:val="decimal"/>
      <w:lvlText w:val=""/>
      <w:lvlJc w:val="left"/>
    </w:lvl>
    <w:lvl w:ilvl="6" w:tplc="57EE9ADA">
      <w:numFmt w:val="decimal"/>
      <w:lvlText w:val=""/>
      <w:lvlJc w:val="left"/>
    </w:lvl>
    <w:lvl w:ilvl="7" w:tplc="1EB09D12">
      <w:numFmt w:val="decimal"/>
      <w:lvlText w:val=""/>
      <w:lvlJc w:val="left"/>
    </w:lvl>
    <w:lvl w:ilvl="8" w:tplc="52AE506E">
      <w:numFmt w:val="decimal"/>
      <w:lvlText w:val=""/>
      <w:lvlJc w:val="left"/>
    </w:lvl>
  </w:abstractNum>
  <w:abstractNum w:abstractNumId="4" w15:restartNumberingAfterBreak="0">
    <w:nsid w:val="6BAE3ADE"/>
    <w:multiLevelType w:val="hybridMultilevel"/>
    <w:tmpl w:val="4386CE54"/>
    <w:lvl w:ilvl="0" w:tplc="EC98021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494F020">
      <w:numFmt w:val="decimal"/>
      <w:lvlText w:val=""/>
      <w:lvlJc w:val="left"/>
    </w:lvl>
    <w:lvl w:ilvl="2" w:tplc="A404AFFC">
      <w:numFmt w:val="decimal"/>
      <w:lvlText w:val=""/>
      <w:lvlJc w:val="left"/>
    </w:lvl>
    <w:lvl w:ilvl="3" w:tplc="C88A073C">
      <w:numFmt w:val="decimal"/>
      <w:lvlText w:val=""/>
      <w:lvlJc w:val="left"/>
    </w:lvl>
    <w:lvl w:ilvl="4" w:tplc="F7B80B4C">
      <w:numFmt w:val="decimal"/>
      <w:lvlText w:val=""/>
      <w:lvlJc w:val="left"/>
    </w:lvl>
    <w:lvl w:ilvl="5" w:tplc="C14C09A8">
      <w:numFmt w:val="decimal"/>
      <w:lvlText w:val=""/>
      <w:lvlJc w:val="left"/>
    </w:lvl>
    <w:lvl w:ilvl="6" w:tplc="F11A1818">
      <w:numFmt w:val="decimal"/>
      <w:lvlText w:val=""/>
      <w:lvlJc w:val="left"/>
    </w:lvl>
    <w:lvl w:ilvl="7" w:tplc="C4BE5CAA">
      <w:numFmt w:val="decimal"/>
      <w:lvlText w:val=""/>
      <w:lvlJc w:val="left"/>
    </w:lvl>
    <w:lvl w:ilvl="8" w:tplc="4CF25544">
      <w:numFmt w:val="decimal"/>
      <w:lvlText w:val=""/>
      <w:lvlJc w:val="left"/>
    </w:lvl>
  </w:abstractNum>
  <w:num w:numId="1" w16cid:durableId="321012695">
    <w:abstractNumId w:val="2"/>
  </w:num>
  <w:num w:numId="2" w16cid:durableId="1318606390">
    <w:abstractNumId w:val="3"/>
  </w:num>
  <w:num w:numId="3" w16cid:durableId="1682001225">
    <w:abstractNumId w:val="4"/>
  </w:num>
  <w:num w:numId="4" w16cid:durableId="2116165886">
    <w:abstractNumId w:val="1"/>
  </w:num>
  <w:num w:numId="5" w16cid:durableId="631786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6EC"/>
    <w:rsid w:val="00111DD6"/>
    <w:rsid w:val="001E1230"/>
    <w:rsid w:val="003B7E97"/>
    <w:rsid w:val="003D2F84"/>
    <w:rsid w:val="003F146C"/>
    <w:rsid w:val="00517D6B"/>
    <w:rsid w:val="00594389"/>
    <w:rsid w:val="008362E9"/>
    <w:rsid w:val="00841A95"/>
    <w:rsid w:val="009D6C83"/>
    <w:rsid w:val="00AC5470"/>
    <w:rsid w:val="00AE65C9"/>
    <w:rsid w:val="00BC44FC"/>
    <w:rsid w:val="00D154C8"/>
    <w:rsid w:val="00D526EC"/>
    <w:rsid w:val="00EB5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2168D"/>
  <w15:docId w15:val="{CD1366EA-DCE8-48BE-B043-EF5947F18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AE65C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5C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405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DAVID</cp:lastModifiedBy>
  <cp:revision>15</cp:revision>
  <dcterms:created xsi:type="dcterms:W3CDTF">2026-06-03T01:15:00Z</dcterms:created>
  <dcterms:modified xsi:type="dcterms:W3CDTF">2026-06-14T23:01:00Z</dcterms:modified>
</cp:coreProperties>
</file>