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C835A">
      <w:pPr>
        <w:pStyle w:val="2"/>
        <w:bidi w:val="0"/>
      </w:pPr>
      <w:r>
        <w:rPr>
          <w:rFonts w:hint="default"/>
          <w:lang w:val="en-US" w:eastAsia="zh-CN"/>
        </w:rPr>
        <w:t xml:space="preserve">Minuta de Reunión: Arranque de Proyecto </w:t>
      </w:r>
      <w:r>
        <w:rPr>
          <w:rStyle w:val="8"/>
          <w:rFonts w:hint="default"/>
          <w:lang w:val="en-US" w:eastAsia="zh-CN"/>
        </w:rPr>
        <w:t>Implementación OneTrust</w:t>
      </w:r>
    </w:p>
    <w:p w14:paraId="6532E240">
      <w:pPr>
        <w:pStyle w:val="4"/>
        <w:bidi w:val="0"/>
        <w:rPr>
          <w:rFonts w:hint="default"/>
          <w:lang w:val="en-US" w:eastAsia="zh-CN"/>
        </w:rPr>
      </w:pPr>
      <w:r>
        <w:rPr>
          <w:rFonts w:hint="default"/>
          <w:lang w:val="en-US" w:eastAsia="zh-CN"/>
        </w:rPr>
        <w:t xml:space="preserve">Fecha/Contexto: </w:t>
      </w:r>
    </w:p>
    <w:p w14:paraId="13902249">
      <w:pPr>
        <w:bidi w:val="0"/>
        <w:rPr>
          <w:rFonts w:hint="default"/>
        </w:rPr>
      </w:pPr>
      <w:r>
        <w:rPr>
          <w:rFonts w:hint="default"/>
          <w:lang w:val="en-US" w:eastAsia="zh-CN"/>
        </w:rPr>
        <w:t>Reunión de inicio (Kick-off) del proyecto de Implementación de la plataforma OneTrust y Construcción de Registros de Actividades de Tratamiento (RATs).</w:t>
      </w:r>
    </w:p>
    <w:p w14:paraId="3482B6E1">
      <w:pPr>
        <w:bidi w:val="0"/>
        <w:rPr>
          <w:rFonts w:hint="default"/>
        </w:rPr>
      </w:pPr>
      <w:r>
        <w:rPr>
          <w:rFonts w:hint="default"/>
          <w:lang w:val="en-US" w:eastAsia="zh-CN"/>
        </w:rPr>
        <w:t>Asistentes:</w:t>
      </w:r>
    </w:p>
    <w:p w14:paraId="3A054923">
      <w:pPr>
        <w:numPr>
          <w:ilvl w:val="0"/>
          <w:numId w:val="1"/>
        </w:numPr>
        <w:bidi w:val="0"/>
        <w:rPr>
          <w:rFonts w:hint="default"/>
        </w:rPr>
      </w:pPr>
      <w:r>
        <w:rPr>
          <w:rFonts w:hint="default"/>
        </w:rPr>
        <w:t>Por parte de Banco BICE / BK: John Matut</w:t>
      </w:r>
      <w:r>
        <w:rPr>
          <w:rFonts w:hint="default"/>
          <w:lang w:val="es-ES"/>
        </w:rPr>
        <w:t>e</w:t>
      </w:r>
      <w:r>
        <w:rPr>
          <w:rFonts w:hint="default"/>
        </w:rPr>
        <w:t xml:space="preserve"> (Facilitador del equipo, Portafolio de Proyectos), Martín Jorden (Gerente de Finanzas y Desarrollo).</w:t>
      </w:r>
    </w:p>
    <w:p w14:paraId="734C1488">
      <w:pPr>
        <w:numPr>
          <w:ilvl w:val="0"/>
          <w:numId w:val="1"/>
        </w:numPr>
        <w:bidi w:val="0"/>
        <w:rPr>
          <w:rFonts w:hint="default"/>
        </w:rPr>
      </w:pPr>
      <w:r>
        <w:rPr>
          <w:rFonts w:hint="default"/>
        </w:rPr>
        <w:t>Por parte de PwC: Adolfo Burchard (Manager de Consultoría Tecnología y Estrategia, Jefe de Proyecto), Verónica Quintero (Manager frentes Banco y Corporativo), David Alfaro (Consultor Senior para el perímetro corporativo), Gonzalo Ramírez (Consultor Líder Técnico).</w:t>
      </w:r>
    </w:p>
    <w:p w14:paraId="4DAEA755">
      <w:pPr>
        <w:pStyle w:val="4"/>
        <w:bidi w:val="0"/>
        <w:rPr>
          <w:rFonts w:hint="default"/>
        </w:rPr>
      </w:pPr>
      <w:r>
        <w:rPr>
          <w:rFonts w:hint="default"/>
          <w:lang w:val="en-US" w:eastAsia="zh-CN"/>
        </w:rPr>
        <w:t>Temas Tratados:</w:t>
      </w:r>
    </w:p>
    <w:p w14:paraId="650EF273">
      <w:pPr>
        <w:pStyle w:val="5"/>
        <w:bidi w:val="0"/>
        <w:rPr>
          <w:rFonts w:hint="default"/>
        </w:rPr>
      </w:pPr>
      <w:r>
        <w:rPr>
          <w:rFonts w:hint="default"/>
          <w:lang w:val="en-US" w:eastAsia="zh-CN"/>
        </w:rPr>
        <w:t>Planificación del Proyecto</w:t>
      </w:r>
    </w:p>
    <w:p w14:paraId="309D1941">
      <w:pPr>
        <w:numPr>
          <w:ilvl w:val="0"/>
          <w:numId w:val="2"/>
        </w:numPr>
        <w:bidi w:val="0"/>
        <w:rPr>
          <w:rFonts w:hint="default"/>
        </w:rPr>
      </w:pPr>
      <w:r>
        <w:rPr>
          <w:rFonts w:hint="default"/>
        </w:rPr>
        <w:t>Se discutió la entrega de la primera versión de la Carta Gantt, la cual contempla una duración estimada de 7 meses para el proyecto.</w:t>
      </w:r>
    </w:p>
    <w:p w14:paraId="67C99F1D">
      <w:pPr>
        <w:numPr>
          <w:ilvl w:val="0"/>
          <w:numId w:val="2"/>
        </w:numPr>
        <w:bidi w:val="0"/>
        <w:rPr>
          <w:rFonts w:hint="default"/>
        </w:rPr>
      </w:pPr>
      <w:r>
        <w:rPr>
          <w:rFonts w:hint="default"/>
        </w:rPr>
        <w:t>El objetivo estratégico es finalizar el 30 de octubre, dejando el mes de noviembre como un "colchón" de seguridad antes de la fecha límite de diciembre.</w:t>
      </w:r>
    </w:p>
    <w:p w14:paraId="6C996F29">
      <w:pPr>
        <w:pStyle w:val="5"/>
        <w:bidi w:val="0"/>
        <w:rPr>
          <w:rFonts w:hint="default"/>
          <w:lang w:val="en-US" w:eastAsia="zh-CN"/>
        </w:rPr>
      </w:pPr>
      <w:r>
        <w:rPr>
          <w:rFonts w:hint="default"/>
          <w:lang w:val="en-US" w:eastAsia="zh-CN"/>
        </w:rPr>
        <w:t xml:space="preserve">Frentes de Trabajo (Módulos) </w:t>
      </w:r>
    </w:p>
    <w:p w14:paraId="77C42A1E">
      <w:pPr>
        <w:keepNext w:val="0"/>
        <w:keepLines w:val="0"/>
        <w:widowControl/>
        <w:suppressLineNumbers w:val="0"/>
        <w:jc w:val="left"/>
        <w:rPr>
          <w:rFonts w:hint="default"/>
        </w:rPr>
      </w:pPr>
      <w:r>
        <w:rPr>
          <w:rFonts w:hint="default"/>
          <w:lang w:val="en-US" w:eastAsia="zh-CN"/>
        </w:rPr>
        <w:t>El proyecto se dividirá en cuatro ejes principales:</w:t>
      </w:r>
    </w:p>
    <w:p w14:paraId="39D4F888">
      <w:pPr>
        <w:numPr>
          <w:ilvl w:val="0"/>
          <w:numId w:val="3"/>
        </w:numPr>
        <w:bidi w:val="0"/>
        <w:rPr>
          <w:rFonts w:hint="default"/>
        </w:rPr>
      </w:pPr>
      <w:r>
        <w:rPr>
          <w:rFonts w:hint="default"/>
        </w:rPr>
        <w:t>Cookies (Foco de la presente sesión).</w:t>
      </w:r>
    </w:p>
    <w:p w14:paraId="2B748736">
      <w:pPr>
        <w:numPr>
          <w:ilvl w:val="0"/>
          <w:numId w:val="3"/>
        </w:numPr>
        <w:bidi w:val="0"/>
        <w:rPr>
          <w:rFonts w:hint="default"/>
        </w:rPr>
      </w:pPr>
      <w:r>
        <w:rPr>
          <w:rFonts w:hint="default"/>
        </w:rPr>
        <w:t>Consentimiento Universal (UCPM).</w:t>
      </w:r>
    </w:p>
    <w:p w14:paraId="302CDC96">
      <w:pPr>
        <w:numPr>
          <w:ilvl w:val="0"/>
          <w:numId w:val="3"/>
        </w:numPr>
        <w:bidi w:val="0"/>
        <w:rPr>
          <w:rFonts w:hint="default"/>
        </w:rPr>
      </w:pPr>
      <w:r>
        <w:rPr>
          <w:rFonts w:hint="default"/>
        </w:rPr>
        <w:t>Derechos de Privacidad (ARCOP).</w:t>
      </w:r>
    </w:p>
    <w:p w14:paraId="2661E79D">
      <w:pPr>
        <w:numPr>
          <w:ilvl w:val="0"/>
          <w:numId w:val="3"/>
        </w:numPr>
        <w:bidi w:val="0"/>
        <w:rPr>
          <w:rFonts w:hint="default"/>
        </w:rPr>
      </w:pPr>
      <w:r>
        <w:rPr>
          <w:rFonts w:hint="default"/>
        </w:rPr>
        <w:t>Privacidad por Diseño (RATs y Evaluaciones de Riesgo PIA/DPIA).</w:t>
      </w:r>
    </w:p>
    <w:p w14:paraId="7E232D2C">
      <w:pPr>
        <w:pStyle w:val="4"/>
        <w:bidi w:val="0"/>
        <w:rPr>
          <w:rFonts w:hint="default"/>
        </w:rPr>
      </w:pPr>
      <w:r>
        <w:rPr>
          <w:rFonts w:hint="default"/>
          <w:lang w:val="en-US" w:eastAsia="zh-CN"/>
        </w:rPr>
        <w:t>Módulo de Cookies (Foco de la Reunión)</w:t>
      </w:r>
    </w:p>
    <w:p w14:paraId="36DAC6C1">
      <w:pPr>
        <w:numPr>
          <w:ilvl w:val="0"/>
          <w:numId w:val="4"/>
        </w:numPr>
        <w:bidi w:val="0"/>
        <w:rPr>
          <w:rFonts w:hint="default"/>
        </w:rPr>
      </w:pPr>
      <w:r>
        <w:rPr>
          <w:rFonts w:hint="default"/>
        </w:rPr>
        <w:t>Mapeo de Sitios: Es crítico identificar todos los dominios y subdominios de los sitios públicos (ej. BK.cl, financiamiento) donde se implementará la solución, para evitar que el sistema los identifique erróneamente como sitios de terceros.</w:t>
      </w:r>
    </w:p>
    <w:p w14:paraId="71AF72C6">
      <w:pPr>
        <w:numPr>
          <w:ilvl w:val="0"/>
          <w:numId w:val="4"/>
        </w:numPr>
        <w:bidi w:val="0"/>
        <w:rPr>
          <w:rFonts w:hint="default"/>
        </w:rPr>
      </w:pPr>
      <w:r>
        <w:rPr>
          <w:rFonts w:hint="default"/>
        </w:rPr>
        <w:t>Escaneo y Clasificación: PwC realizará un escaneo de los sitios para identificar y clasificar las cookies detectadas (esenciales, funcionales, de marketing, etc.).</w:t>
      </w:r>
    </w:p>
    <w:p w14:paraId="0FEA2DA8">
      <w:pPr>
        <w:numPr>
          <w:ilvl w:val="0"/>
          <w:numId w:val="4"/>
        </w:numPr>
        <w:bidi w:val="0"/>
        <w:rPr>
          <w:rFonts w:hint="default"/>
        </w:rPr>
      </w:pPr>
      <w:r>
        <w:rPr>
          <w:rFonts w:hint="default"/>
        </w:rPr>
        <w:t>Diseño del Banner: Para diseñar el banner de cookies y el Centro de Preferencias, se requiere el Manual de Marca del cliente. Con esto, PwC generará prototipos visuales (flotante, superior, inferior) para su validación.</w:t>
      </w:r>
    </w:p>
    <w:p w14:paraId="0DC4F94D">
      <w:pPr>
        <w:numPr>
          <w:ilvl w:val="0"/>
          <w:numId w:val="4"/>
        </w:numPr>
        <w:bidi w:val="0"/>
        <w:rPr>
          <w:rFonts w:hint="default"/>
        </w:rPr>
      </w:pPr>
      <w:r>
        <w:rPr>
          <w:rFonts w:hint="default"/>
        </w:rPr>
        <w:t>Implementación Técnica: PwC proveerá un script que el equipo técnico del cliente deberá incorporar en sus sitios. Se advirtió sobre posibles conflictos con gestores de etiquetas actuales como Google Tag Manager, lo cual requerirá coordinación con el equipo técnico de BK.</w:t>
      </w:r>
    </w:p>
    <w:p w14:paraId="4BF5FFA5">
      <w:pPr>
        <w:pStyle w:val="4"/>
        <w:bidi w:val="0"/>
        <w:rPr>
          <w:rFonts w:hint="default"/>
        </w:rPr>
      </w:pPr>
      <w:r>
        <w:rPr>
          <w:rFonts w:hint="default"/>
          <w:lang w:val="en-US" w:eastAsia="zh-CN"/>
        </w:rPr>
        <w:t>Consentimiento Universal y Derechos ARCOP</w:t>
      </w:r>
    </w:p>
    <w:p w14:paraId="17846A6B">
      <w:pPr>
        <w:numPr>
          <w:ilvl w:val="0"/>
          <w:numId w:val="5"/>
        </w:numPr>
        <w:bidi w:val="0"/>
        <w:rPr>
          <w:rFonts w:hint="default"/>
        </w:rPr>
      </w:pPr>
      <w:r>
        <w:rPr>
          <w:rFonts w:hint="default"/>
        </w:rPr>
        <w:t>Prerrequisitos: Se requiere definir claramente los propósitos, puntos de recolección y formularios como paso previo para el diseño del Consentimiento Universal.</w:t>
      </w:r>
    </w:p>
    <w:p w14:paraId="03307962">
      <w:pPr>
        <w:numPr>
          <w:ilvl w:val="0"/>
          <w:numId w:val="5"/>
        </w:numPr>
        <w:bidi w:val="0"/>
        <w:rPr>
          <w:rFonts w:hint="default"/>
        </w:rPr>
      </w:pPr>
      <w:r>
        <w:rPr>
          <w:rFonts w:hint="default"/>
        </w:rPr>
        <w:t>Para la automatización de los derechos ARCOP, es fundamental definir los flujos de atención internos (quién recibe la solicitud web y a quién se deriva) y afinar los textos legales para una correcta experiencia del cliente.</w:t>
      </w:r>
    </w:p>
    <w:p w14:paraId="5B37ECAC">
      <w:pPr>
        <w:pStyle w:val="4"/>
        <w:bidi w:val="0"/>
        <w:rPr>
          <w:rFonts w:hint="default"/>
        </w:rPr>
      </w:pPr>
      <w:r>
        <w:rPr>
          <w:rFonts w:hint="default"/>
          <w:lang w:val="en-US" w:eastAsia="zh-CN"/>
        </w:rPr>
        <w:t>RAT y Gestión de Riesgos</w:t>
      </w:r>
    </w:p>
    <w:p w14:paraId="3DA499B8">
      <w:pPr>
        <w:numPr>
          <w:ilvl w:val="0"/>
          <w:numId w:val="6"/>
        </w:numPr>
        <w:bidi w:val="0"/>
        <w:rPr>
          <w:rFonts w:hint="default"/>
        </w:rPr>
      </w:pPr>
      <w:r>
        <w:rPr>
          <w:rFonts w:hint="default"/>
        </w:rPr>
        <w:t>Actualmente no se cuenta con los Registros de Actividades de Tratamiento (RAT) armados, por lo que será un frente a desarrollar.</w:t>
      </w:r>
    </w:p>
    <w:p w14:paraId="4BF87026">
      <w:pPr>
        <w:numPr>
          <w:ilvl w:val="0"/>
          <w:numId w:val="6"/>
        </w:numPr>
        <w:bidi w:val="0"/>
        <w:rPr>
          <w:rFonts w:hint="default"/>
        </w:rPr>
      </w:pPr>
      <w:r>
        <w:rPr>
          <w:rFonts w:hint="default"/>
        </w:rPr>
        <w:t>Se abordará el modelo de riesgo de la información (riesgo intrínseco, residual y acumulado). Se solicitó al cliente compartir su plantilla o matriz de riesgos actual como referencia de partida.</w:t>
      </w:r>
    </w:p>
    <w:p w14:paraId="1534A859">
      <w:pPr>
        <w:pStyle w:val="4"/>
        <w:bidi w:val="0"/>
        <w:rPr>
          <w:rFonts w:hint="default"/>
        </w:rPr>
      </w:pPr>
      <w:r>
        <w:rPr>
          <w:rFonts w:hint="default"/>
          <w:lang w:val="en-US" w:eastAsia="zh-CN"/>
        </w:rPr>
        <w:t>Acuerdos y Próximos Pasos:</w:t>
      </w:r>
    </w:p>
    <w:p w14:paraId="78127A42">
      <w:pPr>
        <w:numPr>
          <w:ilvl w:val="0"/>
          <w:numId w:val="7"/>
        </w:numPr>
        <w:bidi w:val="0"/>
        <w:rPr>
          <w:rFonts w:hint="default"/>
        </w:rPr>
      </w:pPr>
      <w:r>
        <w:rPr>
          <w:rFonts w:hint="default"/>
        </w:rPr>
        <w:t>PwC: Enviará un correo formal con la planificación (Carta Gantt) y el resumen de los requerimientos solicitados en la reunión.</w:t>
      </w:r>
    </w:p>
    <w:p w14:paraId="635B9DAB">
      <w:pPr>
        <w:numPr>
          <w:ilvl w:val="0"/>
          <w:numId w:val="7"/>
        </w:numPr>
        <w:bidi w:val="0"/>
        <w:rPr>
          <w:rFonts w:hint="default"/>
        </w:rPr>
      </w:pPr>
      <w:r>
        <w:rPr>
          <w:rFonts w:hint="default"/>
        </w:rPr>
        <w:t>Banco BICE / BK: Enviará el Manual de Marca, el listado de URLs/mapas del sitio, y la plantilla de matriz de riesgos actual.</w:t>
      </w:r>
    </w:p>
    <w:p w14:paraId="708BA46F">
      <w:pPr>
        <w:numPr>
          <w:ilvl w:val="0"/>
          <w:numId w:val="7"/>
        </w:numPr>
        <w:bidi w:val="0"/>
        <w:rPr>
          <w:rFonts w:hint="default"/>
        </w:rPr>
      </w:pPr>
      <w:r>
        <w:rPr>
          <w:rFonts w:hint="default"/>
        </w:rPr>
        <w:t>PwC: Presentará prototipos del banner de cookies una vez recibido el Manual de Marca.</w:t>
      </w:r>
    </w:p>
    <w:p w14:paraId="183EB7F9">
      <w:pPr>
        <w:numPr>
          <w:ilvl w:val="0"/>
          <w:numId w:val="7"/>
        </w:numPr>
        <w:bidi w:val="0"/>
        <w:rPr>
          <w:rFonts w:hint="default"/>
        </w:rPr>
      </w:pPr>
      <w:r>
        <w:rPr>
          <w:rFonts w:hint="default"/>
        </w:rPr>
        <w:t>Gobernanza: Las reuniones diarias ("dailys") quedan suspendidas temporalmente. Se programará una nueva reunión de trabajo para revisar la Carta Gantt y los prototipos visuales.</w:t>
      </w:r>
    </w:p>
    <w:p w14:paraId="39FF39D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1rem / 1.5rem google sans text">
    <w:altName w:val="Bilgie Personal Use Only"/>
    <w:panose1 w:val="00000000000000000000"/>
    <w:charset w:val="00"/>
    <w:family w:val="auto"/>
    <w:pitch w:val="default"/>
    <w:sig w:usb0="00000000" w:usb1="00000000" w:usb2="00000000" w:usb3="00000000" w:csb0="00000000" w:csb1="00000000"/>
  </w:font>
  <w:font w:name="Bilgie Personal Use Only">
    <w:panose1 w:val="02000500000000000000"/>
    <w:charset w:val="00"/>
    <w:family w:val="auto"/>
    <w:pitch w:val="default"/>
    <w:sig w:usb0="0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DB22D7"/>
    <w:multiLevelType w:val="multilevel"/>
    <w:tmpl w:val="9DDB22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79C4FD4"/>
    <w:multiLevelType w:val="multilevel"/>
    <w:tmpl w:val="B79C4F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92435B0"/>
    <w:multiLevelType w:val="multilevel"/>
    <w:tmpl w:val="D92435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02F8850"/>
    <w:multiLevelType w:val="multilevel"/>
    <w:tmpl w:val="202F88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B7A347D"/>
    <w:multiLevelType w:val="multilevel"/>
    <w:tmpl w:val="2B7A34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D32D61E"/>
    <w:multiLevelType w:val="multilevel"/>
    <w:tmpl w:val="2D32D6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197814F"/>
    <w:multiLevelType w:val="multilevel"/>
    <w:tmpl w:val="719781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2"/>
  </w:num>
  <w:num w:numId="3">
    <w:abstractNumId w:val="0"/>
  </w:num>
  <w:num w:numId="4">
    <w:abstractNumId w:val="3"/>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CE205B"/>
    <w:rsid w:val="4F884709"/>
    <w:rsid w:val="50CE2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8"/>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9"/>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0"/>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customStyle="1" w:styleId="8">
    <w:name w:val="Heading 2 Char"/>
    <w:link w:val="3"/>
    <w:uiPriority w:val="0"/>
    <w:rPr>
      <w:b/>
      <w:bCs/>
      <w:sz w:val="32"/>
      <w:szCs w:val="32"/>
    </w:rPr>
  </w:style>
  <w:style w:type="character" w:customStyle="1" w:styleId="9">
    <w:name w:val="Heading 3 Char"/>
    <w:link w:val="4"/>
    <w:uiPriority w:val="0"/>
    <w:rPr>
      <w:b/>
      <w:bCs/>
      <w:sz w:val="32"/>
      <w:szCs w:val="32"/>
    </w:rPr>
  </w:style>
  <w:style w:type="character" w:customStyle="1" w:styleId="10">
    <w:name w:val="Heading 4 Char"/>
    <w:link w:val="5"/>
    <w:uiPriority w:val="0"/>
    <w:rPr>
      <w:b/>
      <w:bCs/>
      <w:sz w:val="28"/>
      <w:szCs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2026-05-14T05:42:00Z</dcterms:created>
  <dc:creator>David Alfaro</dc:creator>
  <cp:lastModifiedBy>David Alfaro</cp:lastModifiedBy>
  <dcterms:modified xsi:type="dcterms:W3CDTF">2026-05-14T05:49:19Z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596DC15130F34679AB9DD072FE4771E5_13</vt:lpwstr>
  </property>
  <property fmtid="{D5CDD505-2E9C-101B-9397-08002B2CF9AE}" pid="4" name="KSOTemplateDocerSaveRecord">
    <vt:lpwstr>eyJoZGlkIjoiNDI2MmIyMTQzZmFlMTJiZGZkZWJkZDk2ODJjOGRmYTYiLCJ1c2VySWQiOiIxNzYwOTgzNDU2MjQzMiJ9</vt:lpwstr>
  </property>
</Properties>
</file>