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32"/>
          <w:szCs w:val="32"/>
        </w:rPr>
        <w:t xml:space="preserve">SEGUIMIENTO PTAP HORA A HORA</w:t>
      </w:r>
    </w:p>
    <w:p>
      <w:pPr>
        <w:pBdr>
          <w:bottom w:val="single" w:color="1F4E79" w:sz="12" w:space="2"/>
        </w:pBdr>
        <w:spacing w:after="60"/>
      </w:pPr>
      <w:r>
        <w:rPr>
          <w:color w:val="5A6470"/>
          <w:sz w:val="18"/>
          <w:szCs w:val="18"/>
        </w:rPr>
        <w:t xml:space="preserve">Fecha de operación: 18 de junio de 2026</w:t>
      </w:r>
    </w:p>
    <w:p>
      <w:pPr>
        <w:spacing w:after="160"/>
        <w:jc w:val="both"/>
      </w:pPr>
      <w:r>
        <w:rPr>
          <w:b w:val="false"/>
          <w:bCs w:val="false"/>
        </w:rPr>
        <w:t xml:space="preserve">Continuando con el objetivo de elevar el caudal de tratamiento de la planta, la jornada del 18 de junio se concentró en el </w:t>
      </w:r>
      <w:r>
        <w:rPr>
          <w:b/>
          <w:bCs/>
          <w:color w:val="1F4E79"/>
        </w:rPr>
        <w:t xml:space="preserve">aforo de las bombas de dosificación química</w:t>
      </w:r>
      <w:r>
        <w:rPr>
          <w:b w:val="false"/>
          <w:bCs w:val="false"/>
        </w:rPr>
        <w:t xml:space="preserve">, la </w:t>
      </w:r>
      <w:r>
        <w:rPr>
          <w:b/>
          <w:bCs/>
          <w:color w:val="1F4E79"/>
        </w:rPr>
        <w:t xml:space="preserve">puesta a punto y ejecución del CEB ácido</w:t>
      </w:r>
      <w:r>
        <w:rPr>
          <w:b w:val="false"/>
          <w:bCs w:val="false"/>
        </w:rPr>
        <w:t xml:space="preserve"> y una </w:t>
      </w:r>
      <w:r>
        <w:rPr>
          <w:b/>
          <w:bCs/>
          <w:color w:val="1F4E79"/>
        </w:rPr>
        <w:t xml:space="preserve">prueba de operación a caudal alto</w:t>
      </w:r>
      <w:r>
        <w:rPr>
          <w:b w:val="false"/>
          <w:bCs w:val="false"/>
        </w:rPr>
        <w:t xml:space="preserve">, subiendo el set de la UF a </w:t>
      </w:r>
      <w:r>
        <w:rPr>
          <w:b/>
          <w:bCs/>
          <w:color w:val="1F4E79"/>
        </w:rPr>
        <w:t xml:space="preserve">39 m³/h</w:t>
      </w:r>
      <w:r>
        <w:rPr>
          <w:b w:val="false"/>
          <w:bCs w:val="false"/>
        </w:rPr>
        <w:t xml:space="preserve"> (frente a los 22 m³/h previos). El propósito fue verificar hasta qué caudal y por cuánto tiempo logra sostener la filtración la UF una vez corregidas las condiciones de dosificación.</w:t>
      </w:r>
    </w:p>
    <w:p>
      <w:pPr>
        <w:pStyle w:val="Heading2"/>
        <w:pBdr>
          <w:bottom w:val="single" w:color="1F4E79" w:sz="6" w:space="2"/>
        </w:pBdr>
        <w:spacing w:after="120" w:before="240"/>
      </w:pPr>
      <w:r>
        <w:rPr>
          <w:b/>
          <w:bCs/>
          <w:color w:val="1F4E79"/>
          <w:sz w:val="24"/>
          <w:szCs w:val="24"/>
        </w:rPr>
        <w:t xml:space="preserve">Aforo de las bombas de dosificación química</w:t>
      </w:r>
    </w:p>
    <w:p>
      <w:pPr>
        <w:spacing w:after="160"/>
        <w:jc w:val="both"/>
      </w:pPr>
      <w:r>
        <w:rPr>
          <w:b w:val="false"/>
          <w:bCs w:val="false"/>
        </w:rPr>
        <w:t xml:space="preserve">El primer frente de trabajo fue el aforo de las bombas dosificadoras, que arrojó un hallazgo importante: la </w:t>
      </w:r>
      <w:r>
        <w:rPr>
          <w:b/>
          <w:bCs/>
          <w:color w:val="1F4E79"/>
        </w:rPr>
        <w:t xml:space="preserve">bomba de coagulante</w:t>
      </w:r>
      <w:r>
        <w:rPr>
          <w:b w:val="false"/>
          <w:bCs w:val="false"/>
        </w:rPr>
        <w:t xml:space="preserve"> indica en pantalla una dosificación de </w:t>
      </w:r>
      <w:r>
        <w:rPr>
          <w:b/>
          <w:bCs/>
          <w:color w:val="1F4E79"/>
        </w:rPr>
        <w:t xml:space="preserve">12,5 L/h</w:t>
      </w:r>
      <w:r>
        <w:rPr>
          <w:b w:val="false"/>
          <w:bCs w:val="false"/>
        </w:rPr>
        <w:t xml:space="preserve">, pero al aforarla físicamente entrega apenas </w:t>
      </w:r>
      <w:r>
        <w:rPr>
          <w:b/>
          <w:bCs/>
          <w:color w:val="1F4E79"/>
        </w:rPr>
        <w:t xml:space="preserve">4,74 L/h</w:t>
      </w:r>
      <w:r>
        <w:rPr>
          <w:b w:val="false"/>
          <w:bCs w:val="false"/>
        </w:rPr>
        <w:t xml:space="preserve">. Es decir, el dato que muestra el equipo no corresponde con la dosificación real, por lo que en adelante la operación debe guiarse por el aforo y no por la lectura de pantalla. En cuanto al </w:t>
      </w:r>
      <w:r>
        <w:rPr>
          <w:b/>
          <w:bCs/>
          <w:color w:val="1F4E79"/>
        </w:rPr>
        <w:t xml:space="preserve">polímero (floculante)</w:t>
      </w:r>
      <w:r>
        <w:rPr>
          <w:b w:val="false"/>
          <w:bCs w:val="false"/>
        </w:rPr>
        <w:t xml:space="preserve">, se encontró en muy mal estado, prácticamente coagulado y con grumos; fue necesario lavar por completo el tanque —que tenía bastante polímero acumulado en grumos que podía afectar el proceso de varias formas— y prepararlo de nuevo, dejándolo en una proporción de </w:t>
      </w:r>
      <w:r>
        <w:rPr>
          <w:b/>
          <w:bCs/>
          <w:color w:val="1F4E79"/>
        </w:rPr>
        <w:t xml:space="preserve">500 g en 500 L</w:t>
      </w:r>
      <w:r>
        <w:rPr>
          <w:b w:val="false"/>
          <w:bCs w:val="false"/>
        </w:rPr>
        <w:t xml:space="preserve">. De aquí se desprende un punto de mejora claro: no se cuenta con un embudo ni con los elementos adecuados para preparar el polímero correctamente. El </w:t>
      </w:r>
      <w:r>
        <w:rPr>
          <w:b/>
          <w:bCs/>
          <w:color w:val="1F4E79"/>
        </w:rPr>
        <w:t xml:space="preserve">peróxido</w:t>
      </w:r>
      <w:r>
        <w:rPr>
          <w:b w:val="false"/>
          <w:bCs w:val="false"/>
        </w:rPr>
        <w:t xml:space="preserve">, por su parte, se aforó y se encontró correcto, en </w:t>
      </w:r>
      <w:r>
        <w:rPr>
          <w:b/>
          <w:bCs/>
          <w:color w:val="1F4E79"/>
        </w:rPr>
        <w:t xml:space="preserve">12,5 ppm</w:t>
      </w:r>
      <w:r>
        <w:rPr>
          <w:b w:val="false"/>
          <w:bCs w:val="false"/>
        </w:rPr>
        <w:t xml:space="preserve">, valor adecuado para una buena oxidación. Adicionalmente se detectó que, al inicio, la dosificación estaba dirigida </w:t>
      </w:r>
      <w:r>
        <w:rPr>
          <w:b/>
          <w:bCs/>
          <w:color w:val="1F4E79"/>
        </w:rPr>
        <w:t xml:space="preserve">hacia la torre de aireación y no hacia el serpentín</w:t>
      </w:r>
      <w:r>
        <w:rPr>
          <w:b w:val="false"/>
          <w:bCs w:val="false"/>
        </w:rPr>
        <w:t xml:space="preserve">.</w:t>
      </w:r>
    </w:p>
    <w:p>
      <w:pPr>
        <w:pStyle w:val="Heading2"/>
        <w:pBdr>
          <w:bottom w:val="single" w:color="1F4E79" w:sz="6" w:space="2"/>
        </w:pBdr>
        <w:spacing w:after="120" w:before="240"/>
      </w:pPr>
      <w:r>
        <w:rPr>
          <w:b/>
          <w:bCs/>
          <w:color w:val="1F4E79"/>
          <w:sz w:val="24"/>
          <w:szCs w:val="24"/>
        </w:rPr>
        <w:t xml:space="preserve">CEB ácido</w:t>
      </w:r>
    </w:p>
    <w:p>
      <w:pPr>
        <w:spacing w:after="160"/>
        <w:jc w:val="both"/>
      </w:pPr>
      <w:r>
        <w:rPr>
          <w:b w:val="false"/>
          <w:bCs w:val="false"/>
        </w:rPr>
        <w:t xml:space="preserve">Para realizar el CEB ácido se encontró que el </w:t>
      </w:r>
      <w:r>
        <w:rPr>
          <w:b/>
          <w:bCs/>
          <w:color w:val="1F4E79"/>
        </w:rPr>
        <w:t xml:space="preserve">racor de la bomba del CEB estaba dañado</w:t>
      </w:r>
      <w:r>
        <w:rPr>
          <w:b w:val="false"/>
          <w:bCs w:val="false"/>
        </w:rPr>
        <w:t xml:space="preserve">, por lo que primero hubo que repararlo y solo entonces se pudo iniciar el lavado. El CEB se ejecutó con </w:t>
      </w:r>
      <w:r>
        <w:rPr>
          <w:b/>
          <w:bCs/>
          <w:color w:val="1F4E79"/>
        </w:rPr>
        <w:t xml:space="preserve">ácido sulfúrico (del GEM)</w:t>
      </w:r>
      <w:r>
        <w:rPr>
          <w:b w:val="false"/>
          <w:bCs w:val="false"/>
        </w:rPr>
        <w:t xml:space="preserve">, dado que no se dispone de ácido cítrico.</w:t>
      </w:r>
    </w:p>
    <w:p>
      <w:pPr>
        <w:pStyle w:val="Heading2"/>
        <w:pBdr>
          <w:bottom w:val="single" w:color="1F4E79" w:sz="6" w:space="2"/>
        </w:pBdr>
        <w:spacing w:after="120" w:before="240"/>
      </w:pPr>
      <w:r>
        <w:rPr>
          <w:b/>
          <w:bCs/>
          <w:color w:val="1F4E79"/>
          <w:sz w:val="24"/>
          <w:szCs w:val="24"/>
        </w:rPr>
        <w:t xml:space="preserve">Registro de eficiencias UF (06:00 – 12:00)</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0"/>
        <w:gridCol w:w="1360"/>
        <w:gridCol w:w="1640"/>
        <w:gridCol w:w="1640"/>
        <w:gridCol w:w="1640"/>
        <w:gridCol w:w="1640"/>
        <w:gridCol w:w="1500"/>
        <w:gridCol w:w="1500"/>
        <w:gridCol w:w="1400"/>
      </w:tblGrid>
      <w:tr>
        <w:trPr>
          <w:tblHeader/>
        </w:trPr>
        <w:tc>
          <w:tcPr>
            <w:tcW w:type="dxa" w:w="1360"/>
            <w:tcBorders>
              <w:top w:val="single" w:color="C9D1DA" w:sz="4"/>
              <w:left w:val="single" w:color="C9D1DA" w:sz="4"/>
              <w:bottom w:val="single" w:color="C9D1DA" w:sz="4"/>
              <w:right w:val="single" w:color="C9D1DA" w:sz="4"/>
            </w:tcBorders>
            <w:shd w:fill="DBE5F1" w:val="clear"/>
            <w:tcMar>
              <w:top w:type="dxa" w:w="40"/>
              <w:left w:type="dxa" w:w="60"/>
              <w:bottom w:type="dxa" w:w="40"/>
              <w:right w:type="dxa" w:w="60"/>
            </w:tcMar>
            <w:vAlign w:val="center"/>
          </w:tcPr>
          <w:p>
            <w:pPr>
              <w:jc w:val="center"/>
            </w:pPr>
            <w:r>
              <w:rPr>
                <w:b/>
                <w:bCs/>
                <w:color w:val="1F4E79"/>
                <w:sz w:val="15"/>
                <w:szCs w:val="15"/>
              </w:rPr>
              <w:t xml:space="preserve">Fecha</w:t>
            </w:r>
          </w:p>
        </w:tc>
        <w:tc>
          <w:tcPr>
            <w:tcW w:type="dxa" w:w="1360"/>
            <w:tcBorders>
              <w:top w:val="single" w:color="C9D1DA" w:sz="4"/>
              <w:left w:val="single" w:color="C9D1DA" w:sz="4"/>
              <w:bottom w:val="single" w:color="C9D1DA" w:sz="4"/>
              <w:right w:val="single" w:color="C9D1DA" w:sz="4"/>
            </w:tcBorders>
            <w:shd w:fill="DBE5F1" w:val="clear"/>
            <w:tcMar>
              <w:top w:type="dxa" w:w="40"/>
              <w:left w:type="dxa" w:w="60"/>
              <w:bottom w:type="dxa" w:w="40"/>
              <w:right w:type="dxa" w:w="60"/>
            </w:tcMar>
            <w:vAlign w:val="center"/>
          </w:tcPr>
          <w:p>
            <w:pPr>
              <w:jc w:val="center"/>
            </w:pPr>
            <w:r>
              <w:rPr>
                <w:b/>
                <w:bCs/>
                <w:color w:val="1F4E79"/>
                <w:sz w:val="15"/>
                <w:szCs w:val="15"/>
              </w:rPr>
              <w:t xml:space="preserve">Hora</w:t>
            </w:r>
          </w:p>
        </w:tc>
        <w:tc>
          <w:tcPr>
            <w:tcW w:type="dxa" w:w="1640"/>
            <w:tcBorders>
              <w:top w:val="single" w:color="C9D1DA" w:sz="4"/>
              <w:left w:val="single" w:color="C9D1DA" w:sz="4"/>
              <w:bottom w:val="single" w:color="C9D1DA" w:sz="4"/>
              <w:right w:val="single" w:color="C9D1DA" w:sz="4"/>
            </w:tcBorders>
            <w:shd w:fill="DBE5F1" w:val="clear"/>
            <w:tcMar>
              <w:top w:type="dxa" w:w="40"/>
              <w:left w:type="dxa" w:w="60"/>
              <w:bottom w:type="dxa" w:w="40"/>
              <w:right w:type="dxa" w:w="60"/>
            </w:tcMar>
            <w:vAlign w:val="center"/>
          </w:tcPr>
          <w:p>
            <w:pPr>
              <w:jc w:val="center"/>
            </w:pPr>
            <w:r>
              <w:rPr>
                <w:b/>
                <w:bCs/>
                <w:color w:val="1F4E79"/>
                <w:sz w:val="15"/>
                <w:szCs w:val="15"/>
              </w:rPr>
              <w:t xml:space="preserve">Medidor ingreso UF</w:t>
            </w:r>
          </w:p>
        </w:tc>
        <w:tc>
          <w:tcPr>
            <w:tcW w:type="dxa" w:w="1640"/>
            <w:tcBorders>
              <w:top w:val="single" w:color="C9D1DA" w:sz="4"/>
              <w:left w:val="single" w:color="C9D1DA" w:sz="4"/>
              <w:bottom w:val="single" w:color="C9D1DA" w:sz="4"/>
              <w:right w:val="single" w:color="C9D1DA" w:sz="4"/>
            </w:tcBorders>
            <w:shd w:fill="DBE5F1" w:val="clear"/>
            <w:tcMar>
              <w:top w:type="dxa" w:w="40"/>
              <w:left w:type="dxa" w:w="60"/>
              <w:bottom w:type="dxa" w:w="40"/>
              <w:right w:type="dxa" w:w="60"/>
            </w:tcMar>
            <w:vAlign w:val="center"/>
          </w:tcPr>
          <w:p>
            <w:pPr>
              <w:jc w:val="center"/>
            </w:pPr>
            <w:r>
              <w:rPr>
                <w:b/>
                <w:bCs/>
                <w:color w:val="1F4E79"/>
                <w:sz w:val="15"/>
                <w:szCs w:val="15"/>
              </w:rPr>
              <w:t xml:space="preserve">Medidor salida UF TR</w:t>
            </w:r>
          </w:p>
        </w:tc>
        <w:tc>
          <w:tcPr>
            <w:tcW w:type="dxa" w:w="1640"/>
            <w:tcBorders>
              <w:top w:val="single" w:color="C9D1DA" w:sz="4"/>
              <w:left w:val="single" w:color="C9D1DA" w:sz="4"/>
              <w:bottom w:val="single" w:color="C9D1DA" w:sz="4"/>
              <w:right w:val="single" w:color="C9D1DA" w:sz="4"/>
            </w:tcBorders>
            <w:shd w:fill="DBE5F1" w:val="clear"/>
            <w:tcMar>
              <w:top w:type="dxa" w:w="40"/>
              <w:left w:type="dxa" w:w="60"/>
              <w:bottom w:type="dxa" w:w="40"/>
              <w:right w:type="dxa" w:w="60"/>
            </w:tcMar>
            <w:vAlign w:val="center"/>
          </w:tcPr>
          <w:p>
            <w:pPr>
              <w:jc w:val="center"/>
            </w:pPr>
            <w:r>
              <w:rPr>
                <w:b/>
                <w:bCs/>
                <w:color w:val="1F4E79"/>
                <w:sz w:val="15"/>
                <w:szCs w:val="15"/>
              </w:rPr>
              <w:t xml:space="preserve">Vol. ingreso UF (m³)</w:t>
            </w:r>
          </w:p>
        </w:tc>
        <w:tc>
          <w:tcPr>
            <w:tcW w:type="dxa" w:w="1640"/>
            <w:tcBorders>
              <w:top w:val="single" w:color="C9D1DA" w:sz="4"/>
              <w:left w:val="single" w:color="C9D1DA" w:sz="4"/>
              <w:bottom w:val="single" w:color="C9D1DA" w:sz="4"/>
              <w:right w:val="single" w:color="C9D1DA" w:sz="4"/>
            </w:tcBorders>
            <w:shd w:fill="DBE5F1" w:val="clear"/>
            <w:tcMar>
              <w:top w:type="dxa" w:w="40"/>
              <w:left w:type="dxa" w:w="60"/>
              <w:bottom w:type="dxa" w:w="40"/>
              <w:right w:type="dxa" w:w="60"/>
            </w:tcMar>
            <w:vAlign w:val="center"/>
          </w:tcPr>
          <w:p>
            <w:pPr>
              <w:jc w:val="center"/>
            </w:pPr>
            <w:r>
              <w:rPr>
                <w:b/>
                <w:bCs/>
                <w:color w:val="1F4E79"/>
                <w:sz w:val="15"/>
                <w:szCs w:val="15"/>
              </w:rPr>
              <w:t xml:space="preserve">Vol. salida UF TR (m³)</w:t>
            </w:r>
          </w:p>
        </w:tc>
        <w:tc>
          <w:tcPr>
            <w:tcW w:type="dxa" w:w="1500"/>
            <w:tcBorders>
              <w:top w:val="single" w:color="C9D1DA" w:sz="4"/>
              <w:left w:val="single" w:color="C9D1DA" w:sz="4"/>
              <w:bottom w:val="single" w:color="C9D1DA" w:sz="4"/>
              <w:right w:val="single" w:color="C9D1DA" w:sz="4"/>
            </w:tcBorders>
            <w:shd w:fill="DBE5F1" w:val="clear"/>
            <w:tcMar>
              <w:top w:type="dxa" w:w="40"/>
              <w:left w:type="dxa" w:w="60"/>
              <w:bottom w:type="dxa" w:w="40"/>
              <w:right w:type="dxa" w:w="60"/>
            </w:tcMar>
            <w:vAlign w:val="center"/>
          </w:tcPr>
          <w:p>
            <w:pPr>
              <w:jc w:val="center"/>
            </w:pPr>
            <w:r>
              <w:rPr>
                <w:b/>
                <w:bCs/>
                <w:color w:val="1F4E79"/>
                <w:sz w:val="15"/>
                <w:szCs w:val="15"/>
              </w:rPr>
              <w:t xml:space="preserve">Vol. ingreso UF (lps)</w:t>
            </w:r>
          </w:p>
        </w:tc>
        <w:tc>
          <w:tcPr>
            <w:tcW w:type="dxa" w:w="1500"/>
            <w:tcBorders>
              <w:top w:val="single" w:color="C9D1DA" w:sz="4"/>
              <w:left w:val="single" w:color="C9D1DA" w:sz="4"/>
              <w:bottom w:val="single" w:color="C9D1DA" w:sz="4"/>
              <w:right w:val="single" w:color="C9D1DA" w:sz="4"/>
            </w:tcBorders>
            <w:shd w:fill="DBE5F1" w:val="clear"/>
            <w:tcMar>
              <w:top w:type="dxa" w:w="40"/>
              <w:left w:type="dxa" w:w="60"/>
              <w:bottom w:type="dxa" w:w="40"/>
              <w:right w:type="dxa" w:w="60"/>
            </w:tcMar>
            <w:vAlign w:val="center"/>
          </w:tcPr>
          <w:p>
            <w:pPr>
              <w:jc w:val="center"/>
            </w:pPr>
            <w:r>
              <w:rPr>
                <w:b/>
                <w:bCs/>
                <w:color w:val="1F4E79"/>
                <w:sz w:val="15"/>
                <w:szCs w:val="15"/>
              </w:rPr>
              <w:t xml:space="preserve">Vol. salida UF TR (lps)</w:t>
            </w:r>
          </w:p>
        </w:tc>
        <w:tc>
          <w:tcPr>
            <w:tcW w:type="dxa" w:w="1400"/>
            <w:tcBorders>
              <w:top w:val="single" w:color="C9D1DA" w:sz="4"/>
              <w:left w:val="single" w:color="C9D1DA" w:sz="4"/>
              <w:bottom w:val="single" w:color="C9D1DA" w:sz="4"/>
              <w:right w:val="single" w:color="C9D1DA" w:sz="4"/>
            </w:tcBorders>
            <w:shd w:fill="DBE5F1" w:val="clear"/>
            <w:tcMar>
              <w:top w:type="dxa" w:w="40"/>
              <w:left w:type="dxa" w:w="60"/>
              <w:bottom w:type="dxa" w:w="40"/>
              <w:right w:type="dxa" w:w="60"/>
            </w:tcMar>
            <w:vAlign w:val="center"/>
          </w:tcPr>
          <w:p>
            <w:pPr>
              <w:jc w:val="center"/>
            </w:pPr>
            <w:r>
              <w:rPr>
                <w:b/>
                <w:bCs/>
                <w:color w:val="1F4E79"/>
                <w:sz w:val="15"/>
                <w:szCs w:val="15"/>
              </w:rPr>
              <w:t xml:space="preserve">Eficiencia UF (%)</w:t>
            </w:r>
          </w:p>
        </w:tc>
      </w:tr>
      <w:tr>
        <w:tc>
          <w:tcPr>
            <w:tcW w:type="dxa" w:w="1360"/>
            <w:vMerge w:val="restart"/>
            <w:tcBorders>
              <w:top w:val="single" w:color="C9D1DA" w:sz="4"/>
              <w:left w:val="single" w:color="C9D1DA" w:sz="4"/>
              <w:bottom w:val="single" w:color="C9D1DA" w:sz="4"/>
              <w:right w:val="single" w:color="C9D1DA" w:sz="4"/>
            </w:tcBorders>
            <w:shd w:fill="FAFBFC" w:val="clear"/>
            <w:tcMar>
              <w:top w:type="dxa" w:w="40"/>
              <w:left w:type="dxa" w:w="60"/>
              <w:bottom w:type="dxa" w:w="40"/>
              <w:right w:type="dxa" w:w="60"/>
            </w:tcMar>
            <w:vAlign w:val="center"/>
          </w:tcPr>
          <w:p>
            <w:pPr>
              <w:jc w:val="center"/>
            </w:pPr>
            <w:r>
              <w:rPr>
                <w:b/>
                <w:bCs/>
                <w:sz w:val="15"/>
                <w:szCs w:val="15"/>
              </w:rPr>
              <w:t xml:space="preserve">18/06/2026</w:t>
            </w:r>
          </w:p>
        </w:tc>
        <w:tc>
          <w:tcPr>
            <w:tcW w:type="dxa" w:w="136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6:00</w:t>
            </w:r>
          </w:p>
        </w:tc>
        <w:tc>
          <w:tcPr>
            <w:tcW w:type="dxa" w:w="164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5296,82</w:t>
            </w:r>
          </w:p>
        </w:tc>
        <w:tc>
          <w:tcPr>
            <w:tcW w:type="dxa" w:w="164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4847,56</w:t>
            </w:r>
          </w:p>
        </w:tc>
        <w:tc>
          <w:tcPr>
            <w:tcW w:type="dxa" w:w="164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16,37</w:t>
            </w:r>
          </w:p>
        </w:tc>
        <w:tc>
          <w:tcPr>
            <w:tcW w:type="dxa" w:w="164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15,11</w:t>
            </w:r>
          </w:p>
        </w:tc>
        <w:tc>
          <w:tcPr>
            <w:tcW w:type="dxa" w:w="150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4,55</w:t>
            </w:r>
          </w:p>
        </w:tc>
        <w:tc>
          <w:tcPr>
            <w:tcW w:type="dxa" w:w="150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4,20</w:t>
            </w:r>
          </w:p>
        </w:tc>
        <w:tc>
          <w:tcPr>
            <w:tcW w:type="dxa" w:w="140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92,30</w:t>
            </w:r>
          </w:p>
        </w:tc>
      </w:tr>
      <w:tr>
        <w:tc>
          <w:tcPr>
            <w:vMerge w:val="continue"/>
            <w:tcBorders>
              <w:top w:val="single" w:color="C9D1DA" w:sz="4"/>
              <w:left w:val="single" w:color="C9D1DA" w:sz="4"/>
              <w:bottom w:val="single" w:color="C9D1DA" w:sz="4"/>
              <w:right w:val="single" w:color="C9D1DA" w:sz="4"/>
            </w:tcBorders>
          </w:tcPr>
          <w:p/>
        </w:tc>
        <w:tc>
          <w:tcPr>
            <w:tcW w:type="dxa" w:w="136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7:00</w:t>
            </w:r>
          </w:p>
        </w:tc>
        <w:tc>
          <w:tcPr>
            <w:tcW w:type="dxa" w:w="164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5313,19</w:t>
            </w:r>
          </w:p>
        </w:tc>
        <w:tc>
          <w:tcPr>
            <w:tcW w:type="dxa" w:w="164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4862,67</w:t>
            </w:r>
          </w:p>
        </w:tc>
        <w:tc>
          <w:tcPr>
            <w:tcW w:type="dxa" w:w="164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20,20</w:t>
            </w:r>
          </w:p>
        </w:tc>
        <w:tc>
          <w:tcPr>
            <w:tcW w:type="dxa" w:w="164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19,57</w:t>
            </w:r>
          </w:p>
        </w:tc>
        <w:tc>
          <w:tcPr>
            <w:tcW w:type="dxa" w:w="150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5,61</w:t>
            </w:r>
          </w:p>
        </w:tc>
        <w:tc>
          <w:tcPr>
            <w:tcW w:type="dxa" w:w="150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5,44</w:t>
            </w:r>
          </w:p>
        </w:tc>
        <w:tc>
          <w:tcPr>
            <w:tcW w:type="dxa" w:w="140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96,88</w:t>
            </w:r>
          </w:p>
        </w:tc>
      </w:tr>
      <w:tr>
        <w:tc>
          <w:tcPr>
            <w:vMerge w:val="continue"/>
            <w:tcBorders>
              <w:top w:val="single" w:color="C9D1DA" w:sz="4"/>
              <w:left w:val="single" w:color="C9D1DA" w:sz="4"/>
              <w:bottom w:val="single" w:color="C9D1DA" w:sz="4"/>
              <w:right w:val="single" w:color="C9D1DA" w:sz="4"/>
            </w:tcBorders>
          </w:tcPr>
          <w:p/>
        </w:tc>
        <w:tc>
          <w:tcPr>
            <w:tcW w:type="dxa" w:w="136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8:00</w:t>
            </w:r>
          </w:p>
        </w:tc>
        <w:tc>
          <w:tcPr>
            <w:tcW w:type="dxa" w:w="164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5333,39</w:t>
            </w:r>
          </w:p>
        </w:tc>
        <w:tc>
          <w:tcPr>
            <w:tcW w:type="dxa" w:w="164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4882,24</w:t>
            </w:r>
          </w:p>
        </w:tc>
        <w:tc>
          <w:tcPr>
            <w:tcW w:type="dxa" w:w="164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21,97</w:t>
            </w:r>
          </w:p>
        </w:tc>
        <w:tc>
          <w:tcPr>
            <w:tcW w:type="dxa" w:w="164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19,42</w:t>
            </w:r>
          </w:p>
        </w:tc>
        <w:tc>
          <w:tcPr>
            <w:tcW w:type="dxa" w:w="150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6,10</w:t>
            </w:r>
          </w:p>
        </w:tc>
        <w:tc>
          <w:tcPr>
            <w:tcW w:type="dxa" w:w="150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5,39</w:t>
            </w:r>
          </w:p>
        </w:tc>
        <w:tc>
          <w:tcPr>
            <w:tcW w:type="dxa" w:w="140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88,39</w:t>
            </w:r>
          </w:p>
        </w:tc>
      </w:tr>
      <w:tr>
        <w:tc>
          <w:tcPr>
            <w:vMerge w:val="continue"/>
            <w:tcBorders>
              <w:top w:val="single" w:color="C9D1DA" w:sz="4"/>
              <w:left w:val="single" w:color="C9D1DA" w:sz="4"/>
              <w:bottom w:val="single" w:color="C9D1DA" w:sz="4"/>
              <w:right w:val="single" w:color="C9D1DA" w:sz="4"/>
            </w:tcBorders>
          </w:tcPr>
          <w:p/>
        </w:tc>
        <w:tc>
          <w:tcPr>
            <w:tcW w:type="dxa" w:w="136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9:00</w:t>
            </w:r>
          </w:p>
        </w:tc>
        <w:tc>
          <w:tcPr>
            <w:tcW w:type="dxa" w:w="164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5355,36</w:t>
            </w:r>
          </w:p>
        </w:tc>
        <w:tc>
          <w:tcPr>
            <w:tcW w:type="dxa" w:w="164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4901,66</w:t>
            </w:r>
          </w:p>
        </w:tc>
        <w:tc>
          <w:tcPr>
            <w:tcW w:type="dxa" w:w="164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13,42</w:t>
            </w:r>
          </w:p>
        </w:tc>
        <w:tc>
          <w:tcPr>
            <w:tcW w:type="dxa" w:w="164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6,26</w:t>
            </w:r>
          </w:p>
        </w:tc>
        <w:tc>
          <w:tcPr>
            <w:tcW w:type="dxa" w:w="150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3,73</w:t>
            </w:r>
          </w:p>
        </w:tc>
        <w:tc>
          <w:tcPr>
            <w:tcW w:type="dxa" w:w="150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1,74</w:t>
            </w:r>
          </w:p>
        </w:tc>
        <w:tc>
          <w:tcPr>
            <w:tcW w:type="dxa" w:w="140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46,65</w:t>
            </w:r>
          </w:p>
        </w:tc>
      </w:tr>
      <w:tr>
        <w:tc>
          <w:tcPr>
            <w:vMerge w:val="continue"/>
            <w:tcBorders>
              <w:top w:val="single" w:color="C9D1DA" w:sz="4"/>
              <w:left w:val="single" w:color="C9D1DA" w:sz="4"/>
              <w:bottom w:val="single" w:color="C9D1DA" w:sz="4"/>
              <w:right w:val="single" w:color="C9D1DA" w:sz="4"/>
            </w:tcBorders>
          </w:tcPr>
          <w:p/>
        </w:tc>
        <w:tc>
          <w:tcPr>
            <w:tcW w:type="dxa" w:w="136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10:00</w:t>
            </w:r>
          </w:p>
        </w:tc>
        <w:tc>
          <w:tcPr>
            <w:tcW w:type="dxa" w:w="164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5368,78</w:t>
            </w:r>
          </w:p>
        </w:tc>
        <w:tc>
          <w:tcPr>
            <w:tcW w:type="dxa" w:w="164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4907,92</w:t>
            </w:r>
          </w:p>
        </w:tc>
        <w:tc>
          <w:tcPr>
            <w:tcW w:type="dxa" w:w="164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10,31</w:t>
            </w:r>
          </w:p>
        </w:tc>
        <w:tc>
          <w:tcPr>
            <w:tcW w:type="dxa" w:w="164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4,82</w:t>
            </w:r>
          </w:p>
        </w:tc>
        <w:tc>
          <w:tcPr>
            <w:tcW w:type="dxa" w:w="150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2,86</w:t>
            </w:r>
          </w:p>
        </w:tc>
        <w:tc>
          <w:tcPr>
            <w:tcW w:type="dxa" w:w="150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1,34</w:t>
            </w:r>
          </w:p>
        </w:tc>
        <w:tc>
          <w:tcPr>
            <w:tcW w:type="dxa" w:w="140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46,75</w:t>
            </w:r>
          </w:p>
        </w:tc>
      </w:tr>
      <w:tr>
        <w:tc>
          <w:tcPr>
            <w:vMerge w:val="continue"/>
            <w:tcBorders>
              <w:top w:val="single" w:color="C9D1DA" w:sz="4"/>
              <w:left w:val="single" w:color="C9D1DA" w:sz="4"/>
              <w:bottom w:val="single" w:color="C9D1DA" w:sz="4"/>
              <w:right w:val="single" w:color="C9D1DA" w:sz="4"/>
            </w:tcBorders>
          </w:tcPr>
          <w:p/>
        </w:tc>
        <w:tc>
          <w:tcPr>
            <w:tcW w:type="dxa" w:w="136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11:00</w:t>
            </w:r>
          </w:p>
        </w:tc>
        <w:tc>
          <w:tcPr>
            <w:tcW w:type="dxa" w:w="164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5379,09</w:t>
            </w:r>
          </w:p>
        </w:tc>
        <w:tc>
          <w:tcPr>
            <w:tcW w:type="dxa" w:w="164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4912,74</w:t>
            </w:r>
          </w:p>
        </w:tc>
        <w:tc>
          <w:tcPr>
            <w:tcW w:type="dxa" w:w="164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25,97</w:t>
            </w:r>
          </w:p>
        </w:tc>
        <w:tc>
          <w:tcPr>
            <w:tcW w:type="dxa" w:w="164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25,96</w:t>
            </w:r>
          </w:p>
        </w:tc>
        <w:tc>
          <w:tcPr>
            <w:tcW w:type="dxa" w:w="150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7,21</w:t>
            </w:r>
          </w:p>
        </w:tc>
        <w:tc>
          <w:tcPr>
            <w:tcW w:type="dxa" w:w="150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7,21</w:t>
            </w:r>
          </w:p>
        </w:tc>
        <w:tc>
          <w:tcPr>
            <w:tcW w:type="dxa" w:w="140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99,96</w:t>
            </w:r>
          </w:p>
        </w:tc>
      </w:tr>
      <w:tr>
        <w:tc>
          <w:tcPr>
            <w:vMerge w:val="continue"/>
            <w:tcBorders>
              <w:top w:val="single" w:color="C9D1DA" w:sz="4"/>
              <w:left w:val="single" w:color="C9D1DA" w:sz="4"/>
              <w:bottom w:val="single" w:color="C9D1DA" w:sz="4"/>
              <w:right w:val="single" w:color="C9D1DA" w:sz="4"/>
            </w:tcBorders>
          </w:tcPr>
          <w:p/>
        </w:tc>
        <w:tc>
          <w:tcPr>
            <w:tcW w:type="dxa" w:w="136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12:00</w:t>
            </w:r>
          </w:p>
        </w:tc>
        <w:tc>
          <w:tcPr>
            <w:tcW w:type="dxa" w:w="164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5405,06</w:t>
            </w:r>
          </w:p>
        </w:tc>
        <w:tc>
          <w:tcPr>
            <w:tcW w:type="dxa" w:w="164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4938,70</w:t>
            </w:r>
          </w:p>
        </w:tc>
        <w:tc>
          <w:tcPr>
            <w:tcW w:type="dxa" w:w="164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w:t>
            </w:r>
          </w:p>
        </w:tc>
        <w:tc>
          <w:tcPr>
            <w:tcW w:type="dxa" w:w="164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w:t>
            </w:r>
          </w:p>
        </w:tc>
        <w:tc>
          <w:tcPr>
            <w:tcW w:type="dxa" w:w="150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w:t>
            </w:r>
          </w:p>
        </w:tc>
        <w:tc>
          <w:tcPr>
            <w:tcW w:type="dxa" w:w="150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w:t>
            </w:r>
          </w:p>
        </w:tc>
        <w:tc>
          <w:tcPr>
            <w:tcW w:type="dxa" w:w="140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w:t>
            </w:r>
          </w:p>
        </w:tc>
      </w:tr>
      <w:tr>
        <w:tc>
          <w:tcPr>
            <w:tcW w:type="dxa" w:w="2720"/>
            <w:gridSpan w:val="2"/>
            <w:tcBorders>
              <w:top w:val="single" w:color="C9D1DA" w:sz="4"/>
              <w:left w:val="single" w:color="C9D1DA" w:sz="4"/>
              <w:bottom w:val="single" w:color="C9D1DA" w:sz="4"/>
              <w:right w:val="single" w:color="C9D1DA" w:sz="4"/>
            </w:tcBorders>
            <w:shd w:fill="F5F6F8" w:val="clear"/>
            <w:tcMar>
              <w:top w:type="dxa" w:w="40"/>
              <w:left w:type="dxa" w:w="60"/>
              <w:bottom w:type="dxa" w:w="40"/>
              <w:right w:type="dxa" w:w="60"/>
            </w:tcMar>
          </w:tcPr>
          <w:p>
            <w:pPr>
              <w:jc w:val="center"/>
            </w:pPr>
            <w:r>
              <w:rPr>
                <w:b/>
                <w:bCs/>
                <w:sz w:val="15"/>
                <w:szCs w:val="15"/>
              </w:rPr>
              <w:t xml:space="preserve">TOTAL (m³)</w:t>
            </w:r>
          </w:p>
        </w:tc>
        <w:tc>
          <w:tcPr>
            <w:tcW w:type="dxa" w:w="3280"/>
            <w:gridSpan w:val="2"/>
            <w:tcBorders>
              <w:top w:val="single" w:color="C9D1DA" w:sz="4"/>
              <w:left w:val="single" w:color="C9D1DA" w:sz="4"/>
              <w:bottom w:val="single" w:color="C9D1DA" w:sz="4"/>
              <w:right w:val="single" w:color="C9D1DA" w:sz="4"/>
            </w:tcBorders>
            <w:shd w:fill="F5F6F8" w:val="clear"/>
            <w:tcMar>
              <w:top w:type="dxa" w:w="40"/>
              <w:left w:type="dxa" w:w="60"/>
              <w:bottom w:type="dxa" w:w="40"/>
              <w:right w:type="dxa" w:w="60"/>
            </w:tcMar>
          </w:tcPr>
          <w:p/>
        </w:tc>
        <w:tc>
          <w:tcPr>
            <w:tcW w:type="dxa" w:w="1640"/>
            <w:tcBorders>
              <w:top w:val="single" w:color="C9D1DA" w:sz="4"/>
              <w:left w:val="single" w:color="C9D1DA" w:sz="4"/>
              <w:bottom w:val="single" w:color="C9D1DA" w:sz="4"/>
              <w:right w:val="single" w:color="C9D1DA" w:sz="4"/>
            </w:tcBorders>
            <w:shd w:fill="F5F6F8" w:val="clear"/>
            <w:tcMar>
              <w:top w:type="dxa" w:w="40"/>
              <w:left w:type="dxa" w:w="60"/>
              <w:bottom w:type="dxa" w:w="40"/>
              <w:right w:type="dxa" w:w="60"/>
            </w:tcMar>
            <w:vAlign w:val="center"/>
          </w:tcPr>
          <w:p>
            <w:pPr>
              <w:jc w:val="center"/>
            </w:pPr>
            <w:r>
              <w:rPr>
                <w:b/>
                <w:bCs/>
                <w:sz w:val="15"/>
                <w:szCs w:val="15"/>
              </w:rPr>
              <w:t xml:space="preserve">108,24</w:t>
            </w:r>
          </w:p>
        </w:tc>
        <w:tc>
          <w:tcPr>
            <w:tcW w:type="dxa" w:w="1640"/>
            <w:tcBorders>
              <w:top w:val="single" w:color="C9D1DA" w:sz="4"/>
              <w:left w:val="single" w:color="C9D1DA" w:sz="4"/>
              <w:bottom w:val="single" w:color="C9D1DA" w:sz="4"/>
              <w:right w:val="single" w:color="C9D1DA" w:sz="4"/>
            </w:tcBorders>
            <w:shd w:fill="F5F6F8" w:val="clear"/>
            <w:tcMar>
              <w:top w:type="dxa" w:w="40"/>
              <w:left w:type="dxa" w:w="60"/>
              <w:bottom w:type="dxa" w:w="40"/>
              <w:right w:type="dxa" w:w="60"/>
            </w:tcMar>
            <w:vAlign w:val="center"/>
          </w:tcPr>
          <w:p>
            <w:pPr>
              <w:jc w:val="center"/>
            </w:pPr>
            <w:r>
              <w:rPr>
                <w:b/>
                <w:bCs/>
                <w:sz w:val="15"/>
                <w:szCs w:val="15"/>
              </w:rPr>
              <w:t xml:space="preserve">91,14</w:t>
            </w:r>
          </w:p>
        </w:tc>
        <w:tc>
          <w:tcPr>
            <w:tcW w:type="dxa" w:w="1500"/>
            <w:tcBorders>
              <w:top w:val="single" w:color="C9D1DA" w:sz="4"/>
              <w:left w:val="single" w:color="C9D1DA" w:sz="4"/>
              <w:bottom w:val="single" w:color="C9D1DA" w:sz="4"/>
              <w:right w:val="single" w:color="C9D1DA" w:sz="4"/>
            </w:tcBorders>
            <w:shd w:fill="F5F6F8" w:val="clear"/>
            <w:tcMar>
              <w:top w:type="dxa" w:w="40"/>
              <w:left w:type="dxa" w:w="60"/>
              <w:bottom w:type="dxa" w:w="40"/>
              <w:right w:type="dxa" w:w="60"/>
            </w:tcMar>
            <w:vAlign w:val="center"/>
          </w:tcPr>
          <w:p>
            <w:pPr>
              <w:jc w:val="center"/>
            </w:pPr>
            <w:r>
              <w:rPr>
                <w:b w:val="false"/>
                <w:bCs w:val="false"/>
                <w:sz w:val="15"/>
                <w:szCs w:val="15"/>
              </w:rPr>
              <w:t xml:space="preserve"/>
            </w:r>
          </w:p>
        </w:tc>
        <w:tc>
          <w:tcPr>
            <w:tcW w:type="dxa" w:w="1500"/>
            <w:tcBorders>
              <w:top w:val="single" w:color="C9D1DA" w:sz="4"/>
              <w:left w:val="single" w:color="C9D1DA" w:sz="4"/>
              <w:bottom w:val="single" w:color="C9D1DA" w:sz="4"/>
              <w:right w:val="single" w:color="C9D1DA" w:sz="4"/>
            </w:tcBorders>
            <w:shd w:fill="F5F6F8" w:val="clear"/>
            <w:tcMar>
              <w:top w:type="dxa" w:w="40"/>
              <w:left w:type="dxa" w:w="60"/>
              <w:bottom w:type="dxa" w:w="40"/>
              <w:right w:type="dxa" w:w="60"/>
            </w:tcMar>
            <w:vAlign w:val="center"/>
          </w:tcPr>
          <w:p>
            <w:pPr>
              <w:jc w:val="center"/>
            </w:pPr>
            <w:r>
              <w:rPr>
                <w:b w:val="false"/>
                <w:bCs w:val="false"/>
                <w:sz w:val="15"/>
                <w:szCs w:val="15"/>
              </w:rPr>
              <w:t xml:space="preserve"/>
            </w:r>
          </w:p>
        </w:tc>
        <w:tc>
          <w:tcPr>
            <w:tcW w:type="dxa" w:w="1400"/>
            <w:tcBorders>
              <w:top w:val="single" w:color="C9D1DA" w:sz="4"/>
              <w:left w:val="single" w:color="C9D1DA" w:sz="4"/>
              <w:bottom w:val="single" w:color="C9D1DA" w:sz="4"/>
              <w:right w:val="single" w:color="C9D1DA" w:sz="4"/>
            </w:tcBorders>
            <w:shd w:fill="F5F6F8" w:val="clear"/>
            <w:tcMar>
              <w:top w:type="dxa" w:w="40"/>
              <w:left w:type="dxa" w:w="60"/>
              <w:bottom w:type="dxa" w:w="40"/>
              <w:right w:type="dxa" w:w="60"/>
            </w:tcMar>
            <w:vAlign w:val="center"/>
          </w:tcPr>
          <w:p>
            <w:pPr>
              <w:jc w:val="center"/>
            </w:pPr>
            <w:r>
              <w:rPr>
                <w:b w:val="false"/>
                <w:bCs w:val="false"/>
                <w:sz w:val="15"/>
                <w:szCs w:val="15"/>
              </w:rPr>
              <w:t xml:space="preserve"/>
            </w:r>
          </w:p>
        </w:tc>
      </w:tr>
      <w:tr>
        <w:tc>
          <w:tcPr>
            <w:tcW w:type="dxa" w:w="2720"/>
            <w:gridSpan w:val="2"/>
            <w:tcBorders>
              <w:top w:val="single" w:color="C9D1DA" w:sz="4"/>
              <w:left w:val="single" w:color="C9D1DA" w:sz="4"/>
              <w:bottom w:val="single" w:color="C9D1DA" w:sz="4"/>
              <w:right w:val="single" w:color="C9D1DA" w:sz="4"/>
            </w:tcBorders>
            <w:shd w:fill="F5F6F8" w:val="clear"/>
            <w:tcMar>
              <w:top w:type="dxa" w:w="40"/>
              <w:left w:type="dxa" w:w="60"/>
              <w:bottom w:type="dxa" w:w="40"/>
              <w:right w:type="dxa" w:w="60"/>
            </w:tcMar>
          </w:tcPr>
          <w:p>
            <w:pPr>
              <w:jc w:val="center"/>
            </w:pPr>
            <w:r>
              <w:rPr>
                <w:b/>
                <w:bCs/>
                <w:sz w:val="15"/>
                <w:szCs w:val="15"/>
              </w:rPr>
              <w:t xml:space="preserve">PROMEDIO</w:t>
            </w:r>
          </w:p>
        </w:tc>
        <w:tc>
          <w:tcPr>
            <w:tcW w:type="dxa" w:w="3280"/>
            <w:gridSpan w:val="2"/>
            <w:tcBorders>
              <w:top w:val="single" w:color="C9D1DA" w:sz="4"/>
              <w:left w:val="single" w:color="C9D1DA" w:sz="4"/>
              <w:bottom w:val="single" w:color="C9D1DA" w:sz="4"/>
              <w:right w:val="single" w:color="C9D1DA" w:sz="4"/>
            </w:tcBorders>
            <w:shd w:fill="F5F6F8" w:val="clear"/>
            <w:tcMar>
              <w:top w:type="dxa" w:w="40"/>
              <w:left w:type="dxa" w:w="60"/>
              <w:bottom w:type="dxa" w:w="40"/>
              <w:right w:type="dxa" w:w="60"/>
            </w:tcMar>
          </w:tcPr>
          <w:p/>
        </w:tc>
        <w:tc>
          <w:tcPr>
            <w:tcW w:type="dxa" w:w="1640"/>
            <w:tcBorders>
              <w:top w:val="single" w:color="C9D1DA" w:sz="4"/>
              <w:left w:val="single" w:color="C9D1DA" w:sz="4"/>
              <w:bottom w:val="single" w:color="C9D1DA" w:sz="4"/>
              <w:right w:val="single" w:color="C9D1DA" w:sz="4"/>
            </w:tcBorders>
            <w:shd w:fill="F5F6F8" w:val="clear"/>
            <w:tcMar>
              <w:top w:type="dxa" w:w="40"/>
              <w:left w:type="dxa" w:w="60"/>
              <w:bottom w:type="dxa" w:w="40"/>
              <w:right w:type="dxa" w:w="60"/>
            </w:tcMar>
            <w:vAlign w:val="center"/>
          </w:tcPr>
          <w:p>
            <w:pPr>
              <w:jc w:val="center"/>
            </w:pPr>
            <w:r>
              <w:rPr>
                <w:b/>
                <w:bCs/>
                <w:sz w:val="15"/>
                <w:szCs w:val="15"/>
              </w:rPr>
              <w:t xml:space="preserve">18,04</w:t>
            </w:r>
          </w:p>
        </w:tc>
        <w:tc>
          <w:tcPr>
            <w:tcW w:type="dxa" w:w="1640"/>
            <w:tcBorders>
              <w:top w:val="single" w:color="C9D1DA" w:sz="4"/>
              <w:left w:val="single" w:color="C9D1DA" w:sz="4"/>
              <w:bottom w:val="single" w:color="C9D1DA" w:sz="4"/>
              <w:right w:val="single" w:color="C9D1DA" w:sz="4"/>
            </w:tcBorders>
            <w:shd w:fill="F5F6F8" w:val="clear"/>
            <w:tcMar>
              <w:top w:type="dxa" w:w="40"/>
              <w:left w:type="dxa" w:w="60"/>
              <w:bottom w:type="dxa" w:w="40"/>
              <w:right w:type="dxa" w:w="60"/>
            </w:tcMar>
            <w:vAlign w:val="center"/>
          </w:tcPr>
          <w:p>
            <w:pPr>
              <w:jc w:val="center"/>
            </w:pPr>
            <w:r>
              <w:rPr>
                <w:b/>
                <w:bCs/>
                <w:sz w:val="15"/>
                <w:szCs w:val="15"/>
              </w:rPr>
              <w:t xml:space="preserve">15,19</w:t>
            </w:r>
          </w:p>
        </w:tc>
        <w:tc>
          <w:tcPr>
            <w:tcW w:type="dxa" w:w="1500"/>
            <w:tcBorders>
              <w:top w:val="single" w:color="C9D1DA" w:sz="4"/>
              <w:left w:val="single" w:color="C9D1DA" w:sz="4"/>
              <w:bottom w:val="single" w:color="C9D1DA" w:sz="4"/>
              <w:right w:val="single" w:color="C9D1DA" w:sz="4"/>
            </w:tcBorders>
            <w:shd w:fill="F5F6F8" w:val="clear"/>
            <w:tcMar>
              <w:top w:type="dxa" w:w="40"/>
              <w:left w:type="dxa" w:w="60"/>
              <w:bottom w:type="dxa" w:w="40"/>
              <w:right w:type="dxa" w:w="60"/>
            </w:tcMar>
            <w:vAlign w:val="center"/>
          </w:tcPr>
          <w:p>
            <w:pPr>
              <w:jc w:val="center"/>
            </w:pPr>
            <w:r>
              <w:rPr>
                <w:b/>
                <w:bCs/>
                <w:sz w:val="15"/>
                <w:szCs w:val="15"/>
              </w:rPr>
              <w:t xml:space="preserve">5,01</w:t>
            </w:r>
          </w:p>
        </w:tc>
        <w:tc>
          <w:tcPr>
            <w:tcW w:type="dxa" w:w="1500"/>
            <w:tcBorders>
              <w:top w:val="single" w:color="C9D1DA" w:sz="4"/>
              <w:left w:val="single" w:color="C9D1DA" w:sz="4"/>
              <w:bottom w:val="single" w:color="C9D1DA" w:sz="4"/>
              <w:right w:val="single" w:color="C9D1DA" w:sz="4"/>
            </w:tcBorders>
            <w:shd w:fill="F5F6F8" w:val="clear"/>
            <w:tcMar>
              <w:top w:type="dxa" w:w="40"/>
              <w:left w:type="dxa" w:w="60"/>
              <w:bottom w:type="dxa" w:w="40"/>
              <w:right w:type="dxa" w:w="60"/>
            </w:tcMar>
            <w:vAlign w:val="center"/>
          </w:tcPr>
          <w:p>
            <w:pPr>
              <w:jc w:val="center"/>
            </w:pPr>
            <w:r>
              <w:rPr>
                <w:b/>
                <w:bCs/>
                <w:sz w:val="15"/>
                <w:szCs w:val="15"/>
              </w:rPr>
              <w:t xml:space="preserve">4,22</w:t>
            </w:r>
          </w:p>
        </w:tc>
        <w:tc>
          <w:tcPr>
            <w:tcW w:type="dxa" w:w="1400"/>
            <w:tcBorders>
              <w:top w:val="single" w:color="C9D1DA" w:sz="4"/>
              <w:left w:val="single" w:color="C9D1DA" w:sz="4"/>
              <w:bottom w:val="single" w:color="C9D1DA" w:sz="4"/>
              <w:right w:val="single" w:color="C9D1DA" w:sz="4"/>
            </w:tcBorders>
            <w:shd w:fill="F5F6F8" w:val="clear"/>
            <w:tcMar>
              <w:top w:type="dxa" w:w="40"/>
              <w:left w:type="dxa" w:w="60"/>
              <w:bottom w:type="dxa" w:w="40"/>
              <w:right w:type="dxa" w:w="60"/>
            </w:tcMar>
            <w:vAlign w:val="center"/>
          </w:tcPr>
          <w:p>
            <w:pPr>
              <w:jc w:val="center"/>
            </w:pPr>
            <w:r>
              <w:rPr>
                <w:b/>
                <w:bCs/>
                <w:sz w:val="15"/>
                <w:szCs w:val="15"/>
              </w:rPr>
              <w:t xml:space="preserve">78,49</w:t>
            </w:r>
          </w:p>
        </w:tc>
      </w:tr>
    </w:tbl>
    <w:p>
      <w:pPr>
        <w:spacing w:after="160" w:before="80"/>
        <w:jc w:val="both"/>
      </w:pPr>
      <w:r>
        <w:rPr>
          <w:color w:val="5A6470"/>
          <w:sz w:val="17"/>
          <w:szCs w:val="17"/>
        </w:rPr>
        <w:t xml:space="preserve">Eficiencia promedio de la UF durante la ventana monitoreada: </w:t>
      </w:r>
      <w:r>
        <w:rPr>
          <w:b/>
          <w:bCs/>
          <w:color w:val="1F4E79"/>
          <w:sz w:val="17"/>
          <w:szCs w:val="17"/>
        </w:rPr>
        <w:t xml:space="preserve">78,49 %</w:t>
      </w:r>
      <w:r>
        <w:rPr>
          <w:color w:val="5A6470"/>
          <w:sz w:val="17"/>
          <w:szCs w:val="17"/>
        </w:rPr>
        <w:t xml:space="preserve">. Se observa una caída marcada de eficiencia entre las 09:00 y 10:00 (46,65 % y 46,75 %), coincidente con las interrupciones por presión y los ajustes de nivel del clarifloculador durante la prueba a caudal alto.</w:t>
      </w:r>
    </w:p>
    <w:p>
      <w:pPr>
        <w:pStyle w:val="Heading2"/>
        <w:pBdr>
          <w:bottom w:val="single" w:color="1F4E79" w:sz="6" w:space="2"/>
        </w:pBdr>
        <w:spacing w:after="120" w:before="240"/>
      </w:pPr>
      <w:r>
        <w:rPr>
          <w:b/>
          <w:bCs/>
          <w:color w:val="1F4E79"/>
          <w:sz w:val="24"/>
          <w:szCs w:val="24"/>
        </w:rPr>
        <w:t xml:space="preserve">Prueba de operación a caudal alto</w:t>
      </w:r>
    </w:p>
    <w:p>
      <w:pPr>
        <w:spacing w:after="160"/>
        <w:jc w:val="both"/>
      </w:pPr>
      <w:r>
        <w:rPr>
          <w:b w:val="false"/>
          <w:bCs w:val="false"/>
        </w:rPr>
        <w:t xml:space="preserve">Una vez estabilizadas las condiciones químicas y ejecutado el CEB ácido, se arrancó el proceso con un </w:t>
      </w:r>
      <w:r>
        <w:rPr>
          <w:b/>
          <w:bCs/>
          <w:color w:val="1F4E79"/>
        </w:rPr>
        <w:t xml:space="preserve">set de UF de 39 m³/h</w:t>
      </w:r>
      <w:r>
        <w:rPr>
          <w:b w:val="false"/>
          <w:bCs w:val="false"/>
        </w:rPr>
        <w:t xml:space="preserve"> —partiendo del clarifloculador en nivel alto y la piscina 2 a </w:t>
      </w:r>
      <w:r>
        <w:rPr>
          <w:b/>
          <w:bCs/>
          <w:color w:val="1F4E79"/>
        </w:rPr>
        <w:t xml:space="preserve">46,5 Hz</w:t>
      </w:r>
      <w:r>
        <w:rPr>
          <w:b w:val="false"/>
          <w:bCs w:val="false"/>
        </w:rPr>
        <w:t xml:space="preserve">—, sin generar rebose en la segunda piscina. Aunque el set era de 39, el </w:t>
      </w:r>
      <w:r>
        <w:rPr>
          <w:b/>
          <w:bCs/>
          <w:color w:val="1F4E79"/>
        </w:rPr>
        <w:t xml:space="preserve">caudal real de ingreso a la UF fue de 34,8 m³/h</w:t>
      </w:r>
      <w:r>
        <w:rPr>
          <w:b w:val="false"/>
          <w:bCs w:val="false"/>
        </w:rPr>
        <w:t xml:space="preserve">; a los dos minutos del arranque la </w:t>
      </w:r>
      <w:r>
        <w:rPr>
          <w:b/>
          <w:bCs/>
          <w:color w:val="1F4E79"/>
        </w:rPr>
        <w:t xml:space="preserve">presión de alimentación marcaba 26,7 PSI</w:t>
      </w:r>
      <w:r>
        <w:rPr>
          <w:b w:val="false"/>
          <w:bCs w:val="false"/>
        </w:rPr>
        <w:t xml:space="preserve"> y la </w:t>
      </w:r>
      <w:r>
        <w:rPr>
          <w:b/>
          <w:bCs/>
          <w:color w:val="1F4E79"/>
        </w:rPr>
        <w:t xml:space="preserve">presión de entrada a la UF 26 PSI</w:t>
      </w:r>
      <w:r>
        <w:rPr>
          <w:b w:val="false"/>
          <w:bCs w:val="false"/>
        </w:rPr>
        <w:t xml:space="preserve">, con un tiempo de ciclo de filtración configurado en </w:t>
      </w:r>
      <w:r>
        <w:rPr>
          <w:b/>
          <w:bCs/>
          <w:color w:val="1F4E79"/>
        </w:rPr>
        <w:t xml:space="preserve">60 minutos</w:t>
      </w:r>
      <w:r>
        <w:rPr>
          <w:b w:val="false"/>
          <w:bCs w:val="false"/>
        </w:rPr>
        <w:t xml:space="preserve">. En el marco de esta prueba se modificó la </w:t>
      </w:r>
      <w:r>
        <w:rPr>
          <w:b/>
          <w:bCs/>
          <w:color w:val="1F4E79"/>
        </w:rPr>
        <w:t xml:space="preserve">alarma de presión de la UF</w:t>
      </w:r>
      <w:r>
        <w:rPr>
          <w:b w:val="false"/>
          <w:bCs w:val="false"/>
        </w:rPr>
        <w:t xml:space="preserve">, que pasó de dispararse a 25 PSI con 10 minutos de espera a hacerlo a </w:t>
      </w:r>
      <w:r>
        <w:rPr>
          <w:b/>
          <w:bCs/>
          <w:color w:val="1F4E79"/>
        </w:rPr>
        <w:t xml:space="preserve">30 PSI con 3 minutos</w:t>
      </w:r>
      <w:r>
        <w:rPr>
          <w:b w:val="false"/>
          <w:bCs w:val="false"/>
        </w:rPr>
        <w:t xml:space="preserve">.</w:t>
      </w:r>
    </w:p>
    <w:p>
      <w:pPr>
        <w:spacing w:after="160"/>
        <w:jc w:val="both"/>
      </w:pPr>
      <w:r>
        <w:rPr>
          <w:b w:val="false"/>
          <w:bCs w:val="false"/>
        </w:rPr>
        <w:t xml:space="preserve">Llevando el clarifloculador entre </w:t>
      </w:r>
      <w:r>
        <w:rPr>
          <w:b/>
          <w:bCs/>
          <w:color w:val="1F4E79"/>
        </w:rPr>
        <w:t xml:space="preserve">47 y 50 Hz</w:t>
      </w:r>
      <w:r>
        <w:rPr>
          <w:b w:val="false"/>
          <w:bCs w:val="false"/>
        </w:rPr>
        <w:t xml:space="preserve"> —buscando no rebosar la segunda piscina pero al tiempo sacarle volumen al clarifloculador— se alcanzó una alimentación a la UF cercana a los </w:t>
      </w:r>
      <w:r>
        <w:rPr>
          <w:b/>
          <w:bCs/>
          <w:color w:val="1F4E79"/>
        </w:rPr>
        <w:t xml:space="preserve">36 m³/h</w:t>
      </w:r>
      <w:r>
        <w:rPr>
          <w:b w:val="false"/>
          <w:bCs w:val="false"/>
        </w:rPr>
        <w:t xml:space="preserve">. Sin embargo, este tramo duró únicamente </w:t>
      </w:r>
      <w:r>
        <w:rPr>
          <w:b/>
          <w:bCs/>
          <w:color w:val="1F4E79"/>
        </w:rPr>
        <w:t xml:space="preserve">9 a 10 minutos</w:t>
      </w:r>
      <w:r>
        <w:rPr>
          <w:b w:val="false"/>
          <w:bCs w:val="false"/>
        </w:rPr>
        <w:t xml:space="preserve"> antes de que el clarifloculador se alarmara por </w:t>
      </w:r>
      <w:r>
        <w:rPr>
          <w:b/>
          <w:bCs/>
          <w:color w:val="1F4E79"/>
        </w:rPr>
        <w:t xml:space="preserve">nivel bajo</w:t>
      </w:r>
      <w:r>
        <w:rPr>
          <w:b w:val="false"/>
          <w:bCs w:val="false"/>
        </w:rPr>
        <w:t xml:space="preserve">, lo que indica que se estaba superando su caudal de alimentación. Fue necesario detenerse para que el clarifloculador recuperara su nivel hasta el flotador (nivel máximo), lo que tomó </w:t>
      </w:r>
      <w:r>
        <w:rPr>
          <w:b/>
          <w:bCs/>
          <w:color w:val="1F4E79"/>
        </w:rPr>
        <w:t xml:space="preserve">aproximadamente 15 a 20 minutos</w:t>
      </w:r>
      <w:r>
        <w:rPr>
          <w:b w:val="false"/>
          <w:bCs w:val="false"/>
        </w:rPr>
        <w:t xml:space="preserve">. Al re-arrancar, el caudal se fue bajando a </w:t>
      </w:r>
      <w:r>
        <w:rPr>
          <w:b/>
          <w:bCs/>
          <w:color w:val="1F4E79"/>
        </w:rPr>
        <w:t xml:space="preserve">32–33 m³/h</w:t>
      </w:r>
      <w:r>
        <w:rPr>
          <w:b w:val="false"/>
          <w:bCs w:val="false"/>
        </w:rPr>
        <w:t xml:space="preserve">, arrancando ya en torno a 27 PSI, y se sostuvo </w:t>
      </w:r>
      <w:r>
        <w:rPr>
          <w:b/>
          <w:bCs/>
          <w:color w:val="1F4E79"/>
        </w:rPr>
        <w:t xml:space="preserve">12 minutos</w:t>
      </w:r>
      <w:r>
        <w:rPr>
          <w:b w:val="false"/>
          <w:bCs w:val="false"/>
        </w:rPr>
        <w:t xml:space="preserve"> antes de alarmar por presión.</w:t>
      </w:r>
    </w:p>
    <w:p>
      <w:pPr>
        <w:spacing w:after="160"/>
        <w:jc w:val="both"/>
      </w:pPr>
      <w:r>
        <w:rPr>
          <w:b w:val="false"/>
          <w:bCs w:val="false"/>
        </w:rPr>
        <w:t xml:space="preserve">En los tramos finales la UF apenas lograba sostenerse entre </w:t>
      </w:r>
      <w:r>
        <w:rPr>
          <w:b/>
          <w:bCs/>
          <w:color w:val="1F4E79"/>
        </w:rPr>
        <w:t xml:space="preserve">4 y 7 minutos</w:t>
      </w:r>
      <w:r>
        <w:rPr>
          <w:b w:val="false"/>
          <w:bCs w:val="false"/>
        </w:rPr>
        <w:t xml:space="preserve">, iniciando alrededor de </w:t>
      </w:r>
      <w:r>
        <w:rPr>
          <w:b/>
          <w:bCs/>
          <w:color w:val="1F4E79"/>
        </w:rPr>
        <w:t xml:space="preserve">29,4 m³/h</w:t>
      </w:r>
      <w:r>
        <w:rPr>
          <w:b w:val="false"/>
          <w:bCs w:val="false"/>
        </w:rPr>
        <w:t xml:space="preserve"> y deteniéndose por </w:t>
      </w:r>
      <w:r>
        <w:rPr>
          <w:b/>
          <w:bCs/>
          <w:color w:val="1F4E79"/>
        </w:rPr>
        <w:t xml:space="preserve">alta presión transmembrana</w:t>
      </w:r>
      <w:r>
        <w:rPr>
          <w:b w:val="false"/>
          <w:bCs w:val="false"/>
        </w:rPr>
        <w:t xml:space="preserve">, no por falta de agua —el set de la UF seguía en 39 m³/h y la alimentación al clarifloculador en 50 Hz—. Entre paradas se aprovechaba para realizar los enjuagues de la UF y reanudar el ciclo.</w:t>
      </w:r>
    </w:p>
    <w:p>
      <w:pPr>
        <w:pStyle w:val="Heading2"/>
        <w:pBdr>
          <w:bottom w:val="single" w:color="1F4E79" w:sz="6" w:space="2"/>
        </w:pBdr>
        <w:spacing w:after="120" w:before="240"/>
      </w:pPr>
      <w:r>
        <w:rPr>
          <w:b/>
          <w:bCs/>
          <w:color w:val="1F4E79"/>
          <w:sz w:val="24"/>
          <w:szCs w:val="24"/>
        </w:rPr>
        <w:t xml:space="preserve">Análisis y conclusiones</w:t>
      </w:r>
    </w:p>
    <w:p>
      <w:pPr>
        <w:spacing w:after="160"/>
        <w:jc w:val="both"/>
      </w:pPr>
      <w:r>
        <w:rPr>
          <w:b w:val="false"/>
          <w:bCs w:val="false"/>
        </w:rPr>
        <w:t xml:space="preserve">La UF solo se detuvo </w:t>
      </w:r>
      <w:r>
        <w:rPr>
          <w:b/>
          <w:bCs/>
          <w:color w:val="1F4E79"/>
        </w:rPr>
        <w:t xml:space="preserve">dos veces por nivel bajo del clarifloculador</w:t>
      </w:r>
      <w:r>
        <w:rPr>
          <w:b w:val="false"/>
          <w:bCs w:val="false"/>
        </w:rPr>
        <w:t xml:space="preserve">, y ello se debió a que en esos momentos </w:t>
      </w:r>
      <w:r>
        <w:rPr>
          <w:b/>
          <w:bCs/>
          <w:color w:val="1F4E79"/>
        </w:rPr>
        <w:t xml:space="preserve">aún no se había arrancado con el clarifloculador en nivel alto</w:t>
      </w:r>
      <w:r>
        <w:rPr>
          <w:b w:val="false"/>
          <w:bCs w:val="false"/>
        </w:rPr>
        <w:t xml:space="preserve">; una vez se partió con el clarifloculador en su nivel máximo, las paradas dejaron de ser por nivel y pasaron a ser por </w:t>
      </w:r>
      <w:r>
        <w:rPr>
          <w:b/>
          <w:bCs/>
          <w:color w:val="1F4E79"/>
        </w:rPr>
        <w:t xml:space="preserve">diferencial de presión transmembrana (TMP)</w:t>
      </w:r>
      <w:r>
        <w:rPr>
          <w:b w:val="false"/>
          <w:bCs w:val="false"/>
        </w:rPr>
        <w:t xml:space="preserve">. La causa probable de este comportamiento no es únicamente el mayor caudal, sino la </w:t>
      </w:r>
      <w:r>
        <w:rPr>
          <w:b/>
          <w:bCs/>
          <w:color w:val="1F4E79"/>
        </w:rPr>
        <w:t xml:space="preserve">deficiente calidad del agua que llega a la UF</w:t>
      </w:r>
      <w:r>
        <w:rPr>
          <w:b w:val="false"/>
          <w:bCs w:val="false"/>
        </w:rPr>
        <w:t xml:space="preserve">: al manipular de forma tan amplia los niveles de alimentación del clarifloculador, la dosificación química resultó muy variable y no se logró estabilizar, generando una mala floculación que satura la UF y eleva su presión transmembrana. Cabe anotar que </w:t>
      </w:r>
      <w:r>
        <w:rPr>
          <w:b/>
          <w:bCs/>
          <w:color w:val="1F4E79"/>
        </w:rPr>
        <w:t xml:space="preserve">no fue necesario realizar cambio de manga</w:t>
      </w:r>
      <w:r>
        <w:rPr>
          <w:b w:val="false"/>
          <w:bCs w:val="false"/>
        </w:rPr>
        <w:t xml:space="preserve">, ya que el diferencial de presión llegó hasta 17 PSI.</w:t>
      </w:r>
    </w:p>
    <w:p>
      <w:pPr>
        <w:pStyle w:val="Heading2"/>
        <w:pBdr>
          <w:bottom w:val="single" w:color="1F4E79" w:sz="6" w:space="2"/>
        </w:pBdr>
        <w:spacing w:after="120" w:before="240"/>
      </w:pPr>
      <w:r>
        <w:rPr>
          <w:b/>
          <w:bCs/>
          <w:color w:val="1F4E79"/>
          <w:sz w:val="24"/>
          <w:szCs w:val="24"/>
        </w:rPr>
        <w:t xml:space="preserve">Pendientes y puntos por corregir</w:t>
      </w:r>
    </w:p>
    <w:p>
      <w:pPr>
        <w:spacing w:after="160"/>
        <w:jc w:val="both"/>
      </w:pPr>
      <w:r>
        <w:rPr>
          <w:b w:val="false"/>
          <w:bCs w:val="false"/>
        </w:rPr>
        <w:t xml:space="preserve">Quedan varios puntos por atender. El primero es la </w:t>
      </w:r>
      <w:r>
        <w:rPr>
          <w:b/>
          <w:bCs/>
          <w:color w:val="1F4E79"/>
        </w:rPr>
        <w:t xml:space="preserve">bomba de coagulante</w:t>
      </w:r>
      <w:r>
        <w:rPr>
          <w:b w:val="false"/>
          <w:bCs w:val="false"/>
        </w:rPr>
        <w:t xml:space="preserve">, cuyo dato de pantalla no corresponde con la dosificación real, por lo que debe operarse con base en el aforo. El segundo es la </w:t>
      </w:r>
      <w:r>
        <w:rPr>
          <w:b/>
          <w:bCs/>
          <w:color w:val="1F4E79"/>
        </w:rPr>
        <w:t xml:space="preserve">preparación del polímero</w:t>
      </w:r>
      <w:r>
        <w:rPr>
          <w:b w:val="false"/>
          <w:bCs w:val="false"/>
        </w:rPr>
        <w:t xml:space="preserve">, que requiere disponer de un embudo y los elementos adecuados para hacerse correctamente. Finalmente, las </w:t>
      </w:r>
      <w:r>
        <w:rPr>
          <w:b/>
          <w:bCs/>
          <w:color w:val="1F4E79"/>
        </w:rPr>
        <w:t xml:space="preserve">purgas siguen realizándose de forma manual</w:t>
      </w:r>
      <w:r>
        <w:rPr>
          <w:b w:val="false"/>
          <w:bCs w:val="false"/>
        </w:rPr>
        <w:t xml:space="preserve">: como el clarifloculador no se estabiliza y la frecuencia se mantiene constante, el </w:t>
      </w:r>
      <w:r>
        <w:rPr>
          <w:b/>
          <w:bCs/>
          <w:color w:val="1F4E79"/>
        </w:rPr>
        <w:t xml:space="preserve">manto de lodo de las colmenas traseras persiste</w:t>
      </w:r>
      <w:r>
        <w:rPr>
          <w:b w:val="false"/>
          <w:bCs w:val="false"/>
        </w:rPr>
        <w:t xml:space="preserve">, por lo que es necesario buscar la forma de </w:t>
      </w:r>
      <w:r>
        <w:rPr>
          <w:b/>
          <w:bCs/>
          <w:color w:val="1F4E79"/>
        </w:rPr>
        <w:t xml:space="preserve">purgar esa zona posterior del clarifloculador sin tener que desocupar todo el sistema</w:t>
      </w:r>
      <w:r>
        <w:rPr>
          <w:b w:val="false"/>
          <w:bCs w:val="false"/>
        </w:rPr>
        <w:t xml:space="preserve">.</w:t>
      </w:r>
    </w:p>
    <w:p>
      <w:pPr>
        <w:pStyle w:val="Heading2"/>
        <w:pBdr>
          <w:bottom w:val="single" w:color="1F4E79" w:sz="6" w:space="2"/>
        </w:pBdr>
        <w:spacing w:after="120" w:before="240"/>
      </w:pPr>
      <w:r>
        <w:rPr>
          <w:b/>
          <w:bCs/>
          <w:color w:val="1F4E79"/>
          <w:sz w:val="24"/>
          <w:szCs w:val="24"/>
        </w:rPr>
        <w:t xml:space="preserve">Próximos pasos</w:t>
      </w:r>
    </w:p>
    <w:p>
      <w:pPr>
        <w:spacing w:after="160"/>
        <w:jc w:val="both"/>
      </w:pPr>
      <w:r>
        <w:rPr>
          <w:b w:val="false"/>
          <w:bCs w:val="false"/>
        </w:rPr>
        <w:t xml:space="preserve">Una vez se cuente con una </w:t>
      </w:r>
      <w:r>
        <w:rPr>
          <w:b/>
          <w:bCs/>
          <w:color w:val="1F4E79"/>
        </w:rPr>
        <w:t xml:space="preserve">dosificación química estable</w:t>
      </w:r>
      <w:r>
        <w:rPr>
          <w:b w:val="false"/>
          <w:bCs w:val="false"/>
        </w:rPr>
        <w:t xml:space="preserve"> para estos nuevos caudales, se repetirá la prueba llenando el clarifloculador hasta su nivel máximo, con el fin de medir cuánto tiempo logra sostener la filtración la UF cuando se le alimenta agua de buena calidad, verificar si efectivamente se alcanzan los </w:t>
      </w:r>
      <w:r>
        <w:rPr>
          <w:b/>
          <w:bCs/>
          <w:color w:val="1F4E79"/>
        </w:rPr>
        <w:t xml:space="preserve">39 m³/h</w:t>
      </w:r>
      <w:r>
        <w:rPr>
          <w:b w:val="false"/>
          <w:bCs w:val="false"/>
        </w:rPr>
        <w:t xml:space="preserve"> y determinar el tiempo de filtración logrado antes de que el pozo o el clarifloculador limiten la operación.</w:t>
      </w:r>
    </w:p>
    <w:p>
      <w:pPr>
        <w:pBdr>
          <w:top w:val="single" w:color="C9D1DA" w:sz="4" w:space="4"/>
        </w:pBdr>
        <w:spacing w:before="240"/>
      </w:pPr>
      <w:r>
        <w:rPr>
          <w:color w:val="7A828C"/>
          <w:sz w:val="16"/>
          <w:szCs w:val="16"/>
        </w:rPr>
        <w:t xml:space="preserve">Informe de seguimiento operativo PTAP — 18/06/2026. Datos consolidados a partir del registro de operación y los aforos de la jornada.</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2026-06-18T21:02:23.440Z</dcterms:created>
  <dcterms:modified xsi:type="dcterms:W3CDTF">2026-06-18T21:02:23.452Z</dcterms:modified>
</cp:coreProperties>
</file>

<file path=docProps/custom.xml><?xml version="1.0" encoding="utf-8"?>
<Properties xmlns="http://schemas.openxmlformats.org/officeDocument/2006/custom-properties" xmlns:vt="http://schemas.openxmlformats.org/officeDocument/2006/docPropsVTypes"/>
</file>