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9cz247g6i1y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Squad y responsabilidades</w:t>
      </w:r>
    </w:p>
    <w:tbl>
      <w:tblPr>
        <w:tblStyle w:val="Table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488.2008368200836"/>
        <w:gridCol w:w="1311.9665271966528"/>
        <w:gridCol w:w="3177.112970711297"/>
        <w:gridCol w:w="3382.7196652719663"/>
        <w:tblGridChange w:id="0">
          <w:tblGrid>
            <w:gridCol w:w="1488.2008368200836"/>
            <w:gridCol w:w="1311.9665271966528"/>
            <w:gridCol w:w="3177.112970711297"/>
            <w:gridCol w:w="3382.7196652719663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jc w:val="center"/>
              <w:rPr>
                <w:color w:val="ff0000"/>
              </w:rPr>
            </w:pP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Rol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jc w:val="center"/>
              <w:rPr>
                <w:color w:val="ff0000"/>
              </w:rPr>
            </w:pP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Integrante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jc w:val="center"/>
              <w:rPr>
                <w:color w:val="ff0000"/>
              </w:rPr>
            </w:pP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Responsabilidades clave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jc w:val="center"/>
              <w:rPr>
                <w:color w:val="ff0000"/>
              </w:rPr>
            </w:pP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Entregables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5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  <w:t xml:space="preserve">Back-End &amp; DB Lead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David Araya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 xml:space="preserve">Modelo de datos en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Supabase (PostgreSQL)</w:t>
            </w:r>
            <w:r w:rsidDel="00000000" w:rsidR="00000000" w:rsidRPr="00000000">
              <w:rPr>
                <w:rtl w:val="0"/>
              </w:rPr>
              <w:t xml:space="preserve">; endpoints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Django REST Framework</w:t>
            </w:r>
            <w:r w:rsidDel="00000000" w:rsidR="00000000" w:rsidRPr="00000000">
              <w:rPr>
                <w:rtl w:val="0"/>
              </w:rPr>
              <w:t xml:space="preserve">; seguridad (RBAC, validaciones); panel de administración.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Esquema PGSQL; API (auth/tracks/reviews/metrics); panel admin.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Front-End &amp; UX/UI Lead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Gonzalo Meza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Arquitectura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React (Vite)</w:t>
            </w:r>
            <w:r w:rsidDel="00000000" w:rsidR="00000000" w:rsidRPr="00000000">
              <w:rPr>
                <w:rtl w:val="0"/>
              </w:rPr>
              <w:t xml:space="preserve">; componentes y estado; accesibilidad; reproductor.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SPA; vistas: home, búsqueda, detalle de track, perfil de artista, tienda, sección musical.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Integración, QA &amp; DevOps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Ian Navarrete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Integración FE/BE;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CI/CD</w:t>
            </w:r>
            <w:r w:rsidDel="00000000" w:rsidR="00000000" w:rsidRPr="00000000">
              <w:rPr>
                <w:rtl w:val="0"/>
              </w:rPr>
              <w:t xml:space="preserve">; pruebas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E2E</w:t>
            </w:r>
            <w:r w:rsidDel="00000000" w:rsidR="00000000" w:rsidRPr="00000000">
              <w:rPr>
                <w:rtl w:val="0"/>
              </w:rPr>
              <w:t xml:space="preserve">; performance; hardening.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Pipeline CI; suite E2E; informes de QA y métricas.</w:t>
            </w:r>
          </w:p>
        </w:tc>
      </w:tr>
    </w:tbl>
    <w:p w:rsidR="00000000" w:rsidDel="00000000" w:rsidP="00000000" w:rsidRDefault="00000000" w:rsidRPr="00000000" w14:paraId="0000001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2l6x6czomyf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RACI (hitos clave)</w:t>
      </w:r>
    </w:p>
    <w:tbl>
      <w:tblPr>
        <w:tblStyle w:val="Table2"/>
        <w:tblW w:w="911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2180"/>
        <w:gridCol w:w="1850"/>
        <w:gridCol w:w="1895"/>
        <w:gridCol w:w="1670"/>
        <w:gridCol w:w="1520"/>
        <w:tblGridChange w:id="0">
          <w:tblGrid>
            <w:gridCol w:w="2180"/>
            <w:gridCol w:w="1850"/>
            <w:gridCol w:w="1895"/>
            <w:gridCol w:w="1670"/>
            <w:gridCol w:w="152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jc w:val="center"/>
              <w:rPr>
                <w:color w:val="ff0000"/>
              </w:rPr>
            </w:pP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Hito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jc w:val="center"/>
              <w:rPr>
                <w:color w:val="ff0000"/>
              </w:rPr>
            </w:pP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R (Responsable)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jc w:val="center"/>
              <w:rPr>
                <w:color w:val="ff0000"/>
              </w:rPr>
            </w:pP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A (Aprobador)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jc w:val="center"/>
              <w:rPr>
                <w:color w:val="ff0000"/>
              </w:rPr>
            </w:pP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C (Consultor)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jc w:val="center"/>
              <w:rPr>
                <w:color w:val="ff0000"/>
              </w:rPr>
            </w:pP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I (Informado)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Modelo de datos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GM, IN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—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Diseño UI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DA, IN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—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Integración/DevOps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DA, GM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—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QA &amp; Seguridad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DA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GM</w:t>
            </w:r>
          </w:p>
        </w:tc>
      </w:tr>
    </w:tbl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Leyenda:</w:t>
      </w:r>
      <w:r w:rsidDel="00000000" w:rsidR="00000000" w:rsidRPr="00000000">
        <w:rPr>
          <w:rtl w:val="0"/>
        </w:rPr>
        <w:t xml:space="preserve"> DA = David Araya; GM = Gonzalo Meza; IN = Ian Navarrete.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.0000000000002" w:top="1440.0000000000002" w:left="1440.0000000000002" w:righ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