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a3jvecjo3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Mapa de Actores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siguiente mapa identifica los principales actores involucrados en el desarrollo y ejecución del proyecto </w:t>
      </w:r>
      <w:r w:rsidDel="00000000" w:rsidR="00000000" w:rsidRPr="00000000">
        <w:rPr>
          <w:b w:val="1"/>
          <w:rtl w:val="0"/>
        </w:rPr>
        <w:t xml:space="preserve">NewSound</w:t>
      </w:r>
      <w:r w:rsidDel="00000000" w:rsidR="00000000" w:rsidRPr="00000000">
        <w:rPr>
          <w:rtl w:val="0"/>
        </w:rPr>
        <w:t xml:space="preserve">, considerando su nivel de </w:t>
      </w:r>
      <w:r w:rsidDel="00000000" w:rsidR="00000000" w:rsidRPr="00000000">
        <w:rPr>
          <w:b w:val="1"/>
          <w:rtl w:val="0"/>
        </w:rPr>
        <w:t xml:space="preserve">interés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influencia</w:t>
      </w:r>
      <w:r w:rsidDel="00000000" w:rsidR="00000000" w:rsidRPr="00000000">
        <w:rPr>
          <w:rtl w:val="0"/>
        </w:rPr>
        <w:t xml:space="preserve"> dentro del contexto del Proyecto APT.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25"/>
        <w:gridCol w:w="1995"/>
        <w:gridCol w:w="1860"/>
        <w:gridCol w:w="1860"/>
        <w:tblGridChange w:id="0">
          <w:tblGrid>
            <w:gridCol w:w="1860"/>
            <w:gridCol w:w="1725"/>
            <w:gridCol w:w="1995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de Influencia / Interes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influencia / Alto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APT (David Araya, Gonzalo Meza, Ian Navarrete)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Responsables directos del desarrollo técnico, planificación y cumplimiento de los objetivos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Docente guía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Supervisa el progreso, entrega retroalimentación y evalúa el cumplimiento de los entregables según los criterios académicos.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Artistas piloto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Usuarios clave para validar las funcionalidades del sistema (subida de música, reseñas, perfil, etc.). Aportan feedback real sobre la usabilidad.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influencia / Bajo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Proveedores de infraestructura (hosting, pasarela de pagos en entorno sandbox)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Ofrecen los servicios tecnológicos necesarios para el funcionamiento de la plataforma. Su interés directo en el proyecto es limitado, pero su rol es esencial.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influencia / Alto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Oyentes 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Usuarios finales que utilizan la plataforma durante el MVP. Sus comentarios influyen en la mejora de la experiencia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Comunidad DUOC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institucional que fomenta la innovación y apoya los proyectos de título, brindando recursos y acompañamiento académico.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influencia / Bajo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Usuarios potenciales que podrían acceder al sistema en etapas posteriores al MVP. Actualmente su impacto es menor.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