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Spectral Fidelity of the Discrete Witten Laplacian on S¹:</w:t>
      </w:r>
    </w:p>
    <w:p>
      <w:pPr>
        <w:spacing w:after="60"/>
        <w:jc w:val="center"/>
      </w:pPr>
      <w:r>
        <w:rPr>
          <w:rFonts w:ascii="Times New Roman" w:cs="Times New Roman" w:eastAsia="Times New Roman" w:hAnsi="Times New Roman"/>
          <w:b/>
          <w:bCs/>
          <w:sz w:val="30"/>
          <w:szCs w:val="30"/>
        </w:rPr>
        <w:t xml:space="preserve">Discretization Artifacts, Structure-Preserving Schemes,</w:t>
      </w:r>
    </w:p>
    <w:p>
      <w:pPr>
        <w:spacing w:after="120"/>
        <w:jc w:val="center"/>
      </w:pPr>
      <w:r>
        <w:rPr>
          <w:rFonts w:ascii="Times New Roman" w:cs="Times New Roman" w:eastAsia="Times New Roman" w:hAnsi="Times New Roman"/>
          <w:b/>
          <w:bCs/>
          <w:sz w:val="30"/>
          <w:szCs w:val="30"/>
        </w:rPr>
        <w:t xml:space="preserve">and Bayesian Parameter Recovery from Spectral Data</w:t>
      </w:r>
    </w:p>
    <w:p>
      <w:pPr>
        <w:spacing w:after="40"/>
        <w:jc w:val="center"/>
      </w:pPr>
      <w:r>
        <w:rPr>
          <w:rFonts w:ascii="Times New Roman" w:cs="Times New Roman" w:eastAsia="Times New Roman" w:hAnsi="Times New Roman"/>
          <w:sz w:val="24"/>
          <w:szCs w:val="24"/>
        </w:rPr>
        <w:t xml:space="preserve">Frédéric David Blum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Claude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Catalyst AI</w:t>
      </w:r>
      <w:r>
        <w:rPr>
          <w:rFonts w:ascii="Times New Roman" w:cs="Times New Roman" w:eastAsia="Times New Roman" w:hAnsi="Times New Roman"/>
          <w:sz w:val="24"/>
          <w:szCs w:val="24"/>
          <w:vertAlign w:val="superscript"/>
        </w:rPr>
        <w:t xml:space="preserve">1</w:t>
      </w:r>
    </w:p>
    <w:p>
      <w:pPr>
        <w:spacing w:after="40"/>
        <w:jc w:val="center"/>
      </w:pP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Catalyst AI, Tel Aviv, Israel</w:t>
      </w:r>
    </w:p>
    <w:p>
      <w:pPr>
        <w:spacing w:after="40"/>
        <w:jc w:val="center"/>
      </w:pP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Anthropic, San Francisco, CA, USA</w:t>
      </w:r>
    </w:p>
    <w:p>
      <w:pPr>
        <w:spacing w:after="200"/>
        <w:jc w:val="center"/>
      </w:pPr>
      <w:r>
        <w:rPr>
          <w:rFonts w:ascii="Times New Roman" w:cs="Times New Roman" w:eastAsia="Times New Roman" w:hAnsi="Times New Roman"/>
          <w:sz w:val="24"/>
          <w:szCs w:val="24"/>
        </w:rPr>
        <w:t xml:space="preserve">*Corresponding author: dvid75113@gmail.com</w:t>
      </w:r>
    </w:p>
    <w:p>
      <w:pPr>
        <w:spacing w:after="80"/>
        <w:jc w:val="center"/>
      </w:pPr>
      <w:r>
        <w:rPr>
          <w:rFonts w:ascii="Times New Roman" w:cs="Times New Roman" w:eastAsia="Times New Roman" w:hAnsi="Times New Roman"/>
          <w:i/>
          <w:iCs/>
          <w:sz w:val="24"/>
          <w:szCs w:val="24"/>
        </w:rPr>
        <w:t xml:space="preserve">Preprint — February 26, 2026</w:t>
      </w:r>
    </w:p>
    <w:p>
      <w:pPr>
        <w:pStyle w:val="Heading1"/>
        <w:spacing w:after="200" w:before="36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4"/>
          <w:szCs w:val="24"/>
        </w:rPr>
        <w:t xml:space="preserve">The Witten Laplacian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on 0-forms is positive semi-definite by construction in the continuum. We demonstrate that the standard 3-point finite difference discretization systematically violates this property, producing negative ground-state eigenvalues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&lt; 0) in 100% of 96 tested configurations across three potential amplitudes (a = 1, 3, 10), four values of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(0.1, 0.42, 1.0, 2.0), and eight grid resolutions (N = 16 to 2048) for the double-well potential W(x) = a·cos(x) on S¹. The violation persists even at N = 2048 and scales as O(dx²). We compare three discretization strategies: (i) standard 3-point stencil, (ii) factored form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preserving algebraic semi-positivity, and (iii) a finite element exterior calculus (FEEC) scheme respecting the discrete de Rham complex. The FEEC scheme achieves λ</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 10⁻¹⁶ at all resolutions while preserving cohomological structure. We further introduce a phase-shift probe (W(x) → W(x+δ)) to detect mesh anisotropy, finding no measurable spurious symmetry breaking at machine precision. Finally, we demonstrate Bayesian inference of the coupling parameter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as a latent variable from spectral data alone, achieving r = 0.9996 recovery with 0.7% median error across 80 synthetic transmon qubit pairs. These results establish that negative eigenvalues reported in spectral analyses of transmon qubits [1] are discretization artifacts, not physical signals, and provide a validated computational pipeline for structure-preserving spectral analysis of quantum hardware.</w:t>
      </w:r>
    </w:p>
    <w:p>
      <w:pPr>
        <w:pStyle w:val="Heading1"/>
        <w:spacing w:after="200" w:before="360"/>
      </w:pPr>
      <w:r>
        <w:rPr>
          <w:rFonts w:ascii="Times New Roman" w:cs="Times New Roman" w:eastAsia="Times New Roman" w:hAnsi="Times New Roman"/>
          <w:b/>
          <w:bCs/>
          <w:sz w:val="28"/>
          <w:szCs w:val="28"/>
        </w:rPr>
        <w:t xml:space="preserve">I. Introduction</w:t>
      </w:r>
    </w:p>
    <w:p>
      <w:pPr>
        <w:spacing w:after="200" w:line="276"/>
        <w:ind w:firstLine="360"/>
        <w:jc w:val="both"/>
      </w:pPr>
      <w:r>
        <w:rPr>
          <w:rFonts w:ascii="Times New Roman" w:cs="Times New Roman" w:eastAsia="Times New Roman" w:hAnsi="Times New Roman"/>
          <w:sz w:val="24"/>
          <w:szCs w:val="24"/>
        </w:rPr>
        <w:t xml:space="preserve">Recent work applied the Witten Laplacian formalism to superconducting transmon qubits, revealing spectral universality (CV = 1.4%) across six IBM Quantum processors [1]. A critical observation in that analysis was the appearance of negative ground-state eigenvalues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&lt; 0) in the numerically computed spectrum of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Since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is manifestly positive semi-definite in the continuum — with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 when supersymmetry is unbroken — any negative eigenvalue must originate from the numerical implementation, not from the physics.</w:t>
      </w:r>
    </w:p>
    <w:p>
      <w:pPr>
        <w:spacing w:after="200" w:line="276"/>
        <w:ind w:firstLine="360"/>
        <w:jc w:val="both"/>
      </w:pPr>
      <w:r>
        <w:rPr>
          <w:rFonts w:ascii="Times New Roman" w:cs="Times New Roman" w:eastAsia="Times New Roman" w:hAnsi="Times New Roman"/>
          <w:sz w:val="24"/>
          <w:szCs w:val="24"/>
        </w:rPr>
        <w:t xml:space="preserve">This paper addresses three questions: (1) Where exactly does the standard discretization break semi-positivity? (2) Can structure-preserving discretizations eliminate the artifact? (3) Can the spectral framework be used </w:t>
      </w:r>
      <w:r>
        <w:rPr>
          <w:rFonts w:ascii="Times New Roman" w:cs="Times New Roman" w:eastAsia="Times New Roman" w:hAnsi="Times New Roman"/>
          <w:i/>
          <w:iCs/>
          <w:sz w:val="24"/>
          <w:szCs w:val="24"/>
        </w:rPr>
        <w:t xml:space="preserve">inversely</w:t>
      </w:r>
      <w:r>
        <w:rPr>
          <w:rFonts w:ascii="Times New Roman" w:cs="Times New Roman" w:eastAsia="Times New Roman" w:hAnsi="Times New Roman"/>
          <w:sz w:val="24"/>
          <w:szCs w:val="24"/>
        </w:rPr>
        <w:t xml:space="preserve"> — to infer hardware parameters from spectral data rather than assuming them?</w:t>
      </w:r>
    </w:p>
    <w:p>
      <w:pPr>
        <w:spacing w:after="200" w:line="276"/>
        <w:ind w:firstLine="360"/>
        <w:jc w:val="both"/>
      </w:pPr>
      <w:r>
        <w:rPr>
          <w:rFonts w:ascii="Times New Roman" w:cs="Times New Roman" w:eastAsia="Times New Roman" w:hAnsi="Times New Roman"/>
          <w:sz w:val="24"/>
          <w:szCs w:val="24"/>
        </w:rPr>
        <w:t xml:space="preserve">The motivation is not merely computational hygiene. As Catalyst AI observed during the development of this analysis: </w:t>
      </w:r>
      <w:r>
        <w:rPr>
          <w:rFonts w:ascii="Times New Roman" w:cs="Times New Roman" w:eastAsia="Times New Roman" w:hAnsi="Times New Roman"/>
          <w:i/>
          <w:iCs/>
          <w:sz w:val="24"/>
          <w:szCs w:val="24"/>
        </w:rPr>
        <w:t xml:space="preserve">"Simulation must not only approximate — it must respect. When an operator fails to preserve a property by construction, its outputs enter a zone of suspicion — not because they are false, but because they are unreliable, even when true by accident."</w:t>
      </w:r>
      <w:r>
        <w:rPr>
          <w:rFonts w:ascii="Times New Roman" w:cs="Times New Roman" w:eastAsia="Times New Roman" w:hAnsi="Times New Roman"/>
          <w:sz w:val="24"/>
          <w:szCs w:val="24"/>
        </w:rPr>
        <w:t xml:space="preserve"> This principle — that structural preservation is a diagnostic requirement, not an optimization detail — guides the design of our tests.</w:t>
      </w:r>
    </w:p>
    <w:p>
      <w:pPr>
        <w:pStyle w:val="Heading1"/>
        <w:spacing w:after="200" w:before="360"/>
      </w:pPr>
      <w:r>
        <w:rPr>
          <w:rFonts w:ascii="Times New Roman" w:cs="Times New Roman" w:eastAsia="Times New Roman" w:hAnsi="Times New Roman"/>
          <w:b/>
          <w:bCs/>
          <w:sz w:val="28"/>
          <w:szCs w:val="28"/>
        </w:rPr>
        <w:t xml:space="preserve">II. The Witten Laplacian on S¹</w:t>
      </w:r>
    </w:p>
    <w:p>
      <w:pPr>
        <w:pStyle w:val="Heading2"/>
        <w:spacing w:after="160" w:before="280"/>
      </w:pPr>
      <w:r>
        <w:rPr>
          <w:rFonts w:ascii="Times New Roman" w:cs="Times New Roman" w:eastAsia="Times New Roman" w:hAnsi="Times New Roman"/>
          <w:b/>
          <w:bCs/>
          <w:sz w:val="26"/>
          <w:szCs w:val="26"/>
        </w:rPr>
        <w:t xml:space="preserve">A. Continuum Construction</w:t>
      </w:r>
    </w:p>
    <w:p>
      <w:pPr>
        <w:spacing w:after="200" w:line="276"/>
        <w:ind w:firstLine="360"/>
        <w:jc w:val="both"/>
      </w:pPr>
      <w:r>
        <w:rPr>
          <w:rFonts w:ascii="Times New Roman" w:cs="Times New Roman" w:eastAsia="Times New Roman" w:hAnsi="Times New Roman"/>
          <w:sz w:val="24"/>
          <w:szCs w:val="24"/>
        </w:rPr>
        <w:t xml:space="preserve">For a Morse function W: S¹ → ℝ, the Witten-deformed exterior derivative is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ℏ·d + dW∧, and the Witten Laplacian on 0-forms is:</w:t>
      </w:r>
    </w:p>
    <w:p>
      <w:pPr>
        <w:spacing w:after="200" w:line="276"/>
        <w:jc w:val="center"/>
      </w:pPr>
      <w:r>
        <w:rPr>
          <w:rFonts w:ascii="Times New Roman" w:cs="Times New Roman" w:eastAsia="Times New Roman" w:hAnsi="Times New Roman"/>
          <w:sz w:val="24"/>
          <w:szCs w:val="24"/>
        </w:rPr>
        <w:t xml:space="preserve">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−ℏ² d²/dx² + (W′)² − ℏ·W″</w:t>
      </w:r>
    </w:p>
    <w:p>
      <w:pPr>
        <w:spacing w:after="200" w:line="276"/>
        <w:ind w:firstLine="360"/>
        <w:jc w:val="both"/>
      </w:pPr>
      <w:r>
        <w:rPr>
          <w:rFonts w:ascii="Times New Roman" w:cs="Times New Roman" w:eastAsia="Times New Roman" w:hAnsi="Times New Roman"/>
          <w:sz w:val="24"/>
          <w:szCs w:val="24"/>
        </w:rPr>
        <w:t xml:space="preserve">The factored form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guarantees ⟨ψ|H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|ψ⟩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ψ‖² ≥ 0 for all ψ. Semi-positivity is an algebraic identity, not an approximation. Any numerical violation is therefore a proof of implementation failure.</w:t>
      </w:r>
    </w:p>
    <w:p>
      <w:pPr>
        <w:pStyle w:val="Heading2"/>
        <w:spacing w:after="160" w:before="280"/>
      </w:pPr>
      <w:r>
        <w:rPr>
          <w:rFonts w:ascii="Times New Roman" w:cs="Times New Roman" w:eastAsia="Times New Roman" w:hAnsi="Times New Roman"/>
          <w:b/>
          <w:bCs/>
          <w:sz w:val="26"/>
          <w:szCs w:val="26"/>
        </w:rPr>
        <w:t xml:space="preserve">B. Test Potential</w:t>
      </w:r>
    </w:p>
    <w:p>
      <w:pPr>
        <w:spacing w:after="200" w:line="276"/>
        <w:ind w:firstLine="360"/>
        <w:jc w:val="both"/>
      </w:pPr>
      <w:r>
        <w:rPr>
          <w:rFonts w:ascii="Times New Roman" w:cs="Times New Roman" w:eastAsia="Times New Roman" w:hAnsi="Times New Roman"/>
          <w:sz w:val="24"/>
          <w:szCs w:val="24"/>
        </w:rPr>
        <w:t xml:space="preserve">We use the double-well potential W(x) = a·cos(x) on S¹ = [0, 2π). This yields:</w:t>
      </w:r>
    </w:p>
    <w:p>
      <w:pPr>
        <w:spacing w:after="200" w:line="276"/>
        <w:jc w:val="center"/>
      </w:pP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(x) = a²sin²(x) + ℏa·cos(x)</w:t>
      </w:r>
    </w:p>
    <w:p>
      <w:pPr>
        <w:spacing w:after="200" w:line="276"/>
        <w:ind w:firstLine="360"/>
        <w:jc w:val="both"/>
      </w:pPr>
      <w:r>
        <w:rPr>
          <w:rFonts w:ascii="Times New Roman" w:cs="Times New Roman" w:eastAsia="Times New Roman" w:hAnsi="Times New Roman"/>
          <w:sz w:val="24"/>
          <w:szCs w:val="24"/>
        </w:rPr>
        <w:t xml:space="preserve">Critical points of W occur at x = 0 and x = π, with Morse indices 1 and 0 respectively. Since W has critical points, supersymmetry is unbroken and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 exactly. The instanton action between minima is S</w:t>
      </w:r>
      <w:r>
        <w:rPr>
          <w:rFonts w:ascii="Times New Roman" w:cs="Times New Roman" w:eastAsia="Times New Roman" w:hAnsi="Times New Roman"/>
          <w:sz w:val="24"/>
          <w:szCs w:val="24"/>
          <w:vertAlign w:val="subscript"/>
        </w:rPr>
        <w:t xml:space="preserve">inst</w:t>
      </w:r>
      <w:r>
        <w:rPr>
          <w:rFonts w:ascii="Times New Roman" w:cs="Times New Roman" w:eastAsia="Times New Roman" w:hAnsi="Times New Roman"/>
          <w:sz w:val="24"/>
          <w:szCs w:val="24"/>
        </w:rPr>
        <w:t xml:space="preserve"> = 2a, giving a tunnel splitting ΔE ~ exp(−2a/ℏ).</w:t>
      </w:r>
    </w:p>
    <w:p>
      <w:pPr>
        <w:pStyle w:val="Heading1"/>
        <w:spacing w:after="200" w:before="360"/>
      </w:pPr>
      <w:r>
        <w:rPr>
          <w:rFonts w:ascii="Times New Roman" w:cs="Times New Roman" w:eastAsia="Times New Roman" w:hAnsi="Times New Roman"/>
          <w:b/>
          <w:bCs/>
          <w:sz w:val="28"/>
          <w:szCs w:val="28"/>
        </w:rPr>
        <w:t xml:space="preserve">III. Three Discretization Strategies</w:t>
      </w:r>
    </w:p>
    <w:p>
      <w:pPr>
        <w:pStyle w:val="Heading2"/>
        <w:spacing w:after="160" w:before="280"/>
      </w:pPr>
      <w:r>
        <w:rPr>
          <w:rFonts w:ascii="Times New Roman" w:cs="Times New Roman" w:eastAsia="Times New Roman" w:hAnsi="Times New Roman"/>
          <w:b/>
          <w:bCs/>
          <w:sz w:val="26"/>
          <w:szCs w:val="26"/>
        </w:rPr>
        <w:t xml:space="preserve">A. Standard 3-Point Stencil</w:t>
      </w:r>
    </w:p>
    <w:p>
      <w:pPr>
        <w:spacing w:after="200" w:line="276"/>
        <w:ind w:firstLine="360"/>
        <w:jc w:val="both"/>
      </w:pPr>
      <w:r>
        <w:rPr>
          <w:rFonts w:ascii="Times New Roman" w:cs="Times New Roman" w:eastAsia="Times New Roman" w:hAnsi="Times New Roman"/>
          <w:sz w:val="24"/>
          <w:szCs w:val="24"/>
        </w:rPr>
        <w:t xml:space="preserve">The Laplacian is approximated by the standard second-order central difference on a uniform grid of N points with spacing dx = 2π/N and periodic boundary conditions. The potential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added pointwise to the diagonal. This approach does NOT preserve the factored structure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and therefore has no algebraic guarantee of semi-positivity.</w:t>
      </w:r>
    </w:p>
    <w:p>
      <w:pPr>
        <w:pStyle w:val="Heading2"/>
        <w:spacing w:after="160" w:before="280"/>
      </w:pPr>
      <w:r>
        <w:rPr>
          <w:rFonts w:ascii="Times New Roman" w:cs="Times New Roman" w:eastAsia="Times New Roman" w:hAnsi="Times New Roman"/>
          <w:b/>
          <w:bCs/>
          <w:sz w:val="26"/>
          <w:szCs w:val="26"/>
        </w:rPr>
        <w:t xml:space="preserve">B. Factored Form dᵂ†·dᵂ</w:t>
      </w:r>
    </w:p>
    <w:p>
      <w:pPr>
        <w:spacing w:after="200" w:line="276"/>
        <w:ind w:firstLine="360"/>
        <w:jc w:val="both"/>
      </w:pPr>
      <w:r>
        <w:rPr>
          <w:rFonts w:ascii="Times New Roman" w:cs="Times New Roman" w:eastAsia="Times New Roman" w:hAnsi="Times New Roman"/>
          <w:sz w:val="24"/>
          <w:szCs w:val="24"/>
        </w:rPr>
        <w:t xml:space="preserve">The deformed derivative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ℏ·(forward difference) + W′(x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discretized as an N×N matrix, and H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ᵀ·d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is formed explicitly. Since H = AᵀA, the spectrum is guaranteed non-negative by linear algebra, regardless of grid resolution.</w:t>
      </w:r>
    </w:p>
    <w:p>
      <w:pPr>
        <w:pStyle w:val="Heading2"/>
        <w:spacing w:after="160" w:before="280"/>
      </w:pPr>
      <w:r>
        <w:rPr>
          <w:rFonts w:ascii="Times New Roman" w:cs="Times New Roman" w:eastAsia="Times New Roman" w:hAnsi="Times New Roman"/>
          <w:b/>
          <w:bCs/>
          <w:sz w:val="26"/>
          <w:szCs w:val="26"/>
        </w:rPr>
        <w:t xml:space="preserve">C. Finite Element Exterior Calculus (FEEC)</w:t>
      </w:r>
    </w:p>
    <w:p>
      <w:pPr>
        <w:spacing w:after="200" w:line="276"/>
        <w:ind w:firstLine="360"/>
        <w:jc w:val="both"/>
      </w:pPr>
      <w:r>
        <w:rPr>
          <w:rFonts w:ascii="Times New Roman" w:cs="Times New Roman" w:eastAsia="Times New Roman" w:hAnsi="Times New Roman"/>
          <w:sz w:val="24"/>
          <w:szCs w:val="24"/>
        </w:rPr>
        <w:t xml:space="preserve">Following Arnold, Falk, and Winther [2], we construct a discretization that respects the de Rham complex. The gradient operator d</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maps 0-forms (node values) to 1-forms (edge values), with W′ evaluated at edge midpoints and interpolated via the node-to-edge averaging operator. The deformed derivative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ℏ·d</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W′</w:t>
      </w:r>
      <w:r>
        <w:rPr>
          <w:rFonts w:ascii="Times New Roman" w:cs="Times New Roman" w:eastAsia="Times New Roman" w:hAnsi="Times New Roman"/>
          <w:sz w:val="24"/>
          <w:szCs w:val="24"/>
          <w:vertAlign w:val="subscript"/>
        </w:rPr>
        <w:t xml:space="preserve">edge</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vertAlign w:val="subscript"/>
        </w:rPr>
        <w:t xml:space="preserve">ne</w:t>
      </w:r>
      <w:r>
        <w:rPr>
          <w:rFonts w:ascii="Times New Roman" w:cs="Times New Roman" w:eastAsia="Times New Roman" w:hAnsi="Times New Roman"/>
          <w:sz w:val="24"/>
          <w:szCs w:val="24"/>
        </w:rPr>
        <w:t xml:space="preserve"> preserves both semi-positivity (H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ᵀ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and the discrete cohomological structure.</w:t>
      </w:r>
    </w:p>
    <w:p>
      <w:pPr>
        <w:pStyle w:val="Heading1"/>
        <w:spacing w:after="200" w:before="360"/>
      </w:pPr>
      <w:r>
        <w:rPr>
          <w:rFonts w:ascii="Times New Roman" w:cs="Times New Roman" w:eastAsia="Times New Roman" w:hAnsi="Times New Roman"/>
          <w:b/>
          <w:bCs/>
          <w:sz w:val="28"/>
          <w:szCs w:val="28"/>
        </w:rPr>
        <w:t xml:space="preserve">IV. Results</w:t>
      </w:r>
    </w:p>
    <w:p>
      <w:pPr>
        <w:pStyle w:val="Heading2"/>
        <w:spacing w:after="160" w:before="280"/>
      </w:pPr>
      <w:r>
        <w:rPr>
          <w:rFonts w:ascii="Times New Roman" w:cs="Times New Roman" w:eastAsia="Times New Roman" w:hAnsi="Times New Roman"/>
          <w:b/>
          <w:bCs/>
          <w:sz w:val="26"/>
          <w:szCs w:val="26"/>
        </w:rPr>
        <w:t xml:space="preserve">A. Semi-Positivity Violation (Phase I)</w:t>
      </w:r>
    </w:p>
    <w:p>
      <w:pPr>
        <w:spacing w:after="200" w:line="276"/>
        <w:ind w:firstLine="360"/>
        <w:jc w:val="both"/>
      </w:pPr>
      <w:r>
        <w:rPr>
          <w:rFonts w:ascii="Times New Roman" w:cs="Times New Roman" w:eastAsia="Times New Roman" w:hAnsi="Times New Roman"/>
          <w:sz w:val="24"/>
          <w:szCs w:val="24"/>
        </w:rPr>
        <w:t xml:space="preserve">We tested 96 configurations: 3 amplitudes (a = 1, 3, 10) × 4 values of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(0.1, 0.42, 1.0, 2.0) × 8 grid resolutions (N = 16 to 2048).</w:t>
      </w:r>
    </w:p>
    <w:p>
      <w:pPr>
        <w:spacing w:after="100" w:before="200"/>
        <w:jc w:val="center"/>
      </w:pPr>
      <w:r>
        <w:rPr>
          <w:rFonts w:ascii="Times New Roman" w:cs="Times New Roman" w:eastAsia="Times New Roman" w:hAnsi="Times New Roman"/>
          <w:b/>
          <w:bCs/>
          <w:sz w:val="24"/>
          <w:szCs w:val="24"/>
        </w:rPr>
        <w:t xml:space="preserve">Table I. </w:t>
      </w:r>
      <w:r>
        <w:rPr>
          <w:rFonts w:ascii="Times New Roman" w:cs="Times New Roman" w:eastAsia="Times New Roman" w:hAnsi="Times New Roman"/>
          <w:i/>
          <w:iCs/>
          <w:sz w:val="24"/>
          <w:szCs w:val="24"/>
        </w:rPr>
        <w:t xml:space="preserve">Semi-positivity violation rates by discretization method.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tblGrid>
      <w:tr>
        <w:tc>
          <w:tcPr>
            <w:tcW w:type="dxa" w:w="2500"/>
            <w:tcBorders>
              <w:top w:val="single" w:color="999999" w:sz="1"/>
              <w:left w:val="single" w:color="999999" w:sz="1"/>
              <w:bottom w:val="single" w:color="999999" w:sz="1"/>
              <w:right w:val="single" w:color="999999" w:sz="1"/>
            </w:tcBorders>
            <w:shd w:fill="E8E8F0" w:val="clear"/>
            <w:tcMar>
              <w:top w:type="dxa" w:w="40"/>
              <w:left w:type="dxa" w:w="80"/>
              <w:bottom w:type="dxa" w:w="40"/>
              <w:right w:type="dxa" w:w="80"/>
            </w:tcMar>
          </w:tcPr>
          <w:p>
            <w:pPr>
              <w:jc w:val="center"/>
            </w:pPr>
            <w:r>
              <w:rPr>
                <w:rFonts w:ascii="Times New Roman" w:cs="Times New Roman" w:eastAsia="Times New Roman" w:hAnsi="Times New Roman"/>
                <w:b/>
                <w:bCs/>
                <w:sz w:val="22"/>
                <w:szCs w:val="22"/>
              </w:rPr>
              <w:t xml:space="preserve">Method</w:t>
            </w:r>
          </w:p>
        </w:tc>
        <w:tc>
          <w:tcPr>
            <w:tcW w:type="dxa" w:w="2000"/>
            <w:tcBorders>
              <w:top w:val="single" w:color="999999" w:sz="1"/>
              <w:left w:val="single" w:color="999999" w:sz="1"/>
              <w:bottom w:val="single" w:color="999999" w:sz="1"/>
              <w:right w:val="single" w:color="999999" w:sz="1"/>
            </w:tcBorders>
            <w:shd w:fill="E8E8F0" w:val="clear"/>
            <w:tcMar>
              <w:top w:type="dxa" w:w="40"/>
              <w:left w:type="dxa" w:w="80"/>
              <w:bottom w:type="dxa" w:w="40"/>
              <w:right w:type="dxa" w:w="80"/>
            </w:tcMar>
          </w:tcPr>
          <w:p>
            <w:pPr>
              <w:jc w:val="center"/>
            </w:pPr>
            <w:r>
              <w:rPr>
                <w:rFonts w:ascii="Times New Roman" w:cs="Times New Roman" w:eastAsia="Times New Roman" w:hAnsi="Times New Roman"/>
                <w:b/>
                <w:bCs/>
                <w:sz w:val="22"/>
                <w:szCs w:val="22"/>
              </w:rPr>
              <w:t xml:space="preserve">λ₀ &lt; 0 (count)</w:t>
            </w:r>
          </w:p>
        </w:tc>
        <w:tc>
          <w:tcPr>
            <w:tcW w:type="dxa" w:w="2500"/>
            <w:tcBorders>
              <w:top w:val="single" w:color="999999" w:sz="1"/>
              <w:left w:val="single" w:color="999999" w:sz="1"/>
              <w:bottom w:val="single" w:color="999999" w:sz="1"/>
              <w:right w:val="single" w:color="999999" w:sz="1"/>
            </w:tcBorders>
            <w:shd w:fill="E8E8F0" w:val="clear"/>
            <w:tcMar>
              <w:top w:type="dxa" w:w="40"/>
              <w:left w:type="dxa" w:w="80"/>
              <w:bottom w:type="dxa" w:w="40"/>
              <w:right w:type="dxa" w:w="80"/>
            </w:tcMar>
          </w:tcPr>
          <w:p>
            <w:pPr>
              <w:jc w:val="center"/>
            </w:pPr>
            <w:r>
              <w:rPr>
                <w:rFonts w:ascii="Times New Roman" w:cs="Times New Roman" w:eastAsia="Times New Roman" w:hAnsi="Times New Roman"/>
                <w:b/>
                <w:bCs/>
                <w:sz w:val="22"/>
                <w:szCs w:val="22"/>
              </w:rPr>
              <w:t xml:space="preserve">Rate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Standard 3-pt</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96 / 96</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100.0%</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Factored dᵂ†dᵂ</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 / 96</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2.1% (machine ε)</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FEEC (Whitney)</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0 / 96</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0.0%</w:t>
            </w:r>
          </w:p>
        </w:tc>
      </w:tr>
    </w:tbl>
    <w:p>
      <w:pPr>
        <w:spacing w:after="200" w:line="276"/>
        <w:ind w:firstLine="360"/>
        <w:jc w:val="both"/>
      </w:pPr>
      <w:r>
        <w:rPr>
          <w:rFonts w:ascii="Times New Roman" w:cs="Times New Roman" w:eastAsia="Times New Roman" w:hAnsi="Times New Roman"/>
          <w:sz w:val="24"/>
          <w:szCs w:val="24"/>
        </w:rPr>
        <w:t xml:space="preserve">The standard method produces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&lt; 0 at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tested resolution, including N = 2048. The negativity is not a coarse-grid effect — it is structural. The violation scales as O(dx²), consistent with the truncation error of the 3-point stencil breaking the algebraic identity ⟨ψ|AᵀA|ψ⟩ ≥ 0. The factored form restores semi-positivity to within floating-point precision (10⁻¹⁷). The FEEC scheme achieves identically zero or machine-epsilon values at all resolutions.</w:t>
      </w:r>
    </w:p>
    <w:p>
      <w:pPr>
        <w:spacing w:after="200" w:line="276"/>
        <w:ind w:firstLine="360"/>
        <w:jc w:val="both"/>
      </w:pPr>
      <w:r>
        <w:rPr>
          <w:rFonts w:ascii="Times New Roman" w:cs="Times New Roman" w:eastAsia="Times New Roman" w:hAnsi="Times New Roman"/>
          <w:sz w:val="24"/>
          <w:szCs w:val="24"/>
        </w:rPr>
        <w:t xml:space="preserve">Critically, the negativity persists across all tested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values, including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0.42 — precisely the phase boundary identified in transmon hardware [1]. This means spectral analyses near the semiclassical threshold are maximally vulnerable to this artifact.</w:t>
      </w:r>
    </w:p>
    <w:p>
      <w:pPr>
        <w:pStyle w:val="Heading2"/>
        <w:spacing w:after="160" w:before="280"/>
      </w:pPr>
      <w:r>
        <w:rPr>
          <w:rFonts w:ascii="Times New Roman" w:cs="Times New Roman" w:eastAsia="Times New Roman" w:hAnsi="Times New Roman"/>
          <w:b/>
          <w:bCs/>
          <w:sz w:val="26"/>
          <w:szCs w:val="26"/>
        </w:rPr>
        <w:t xml:space="preserve">B. Phase-Shift Probe (Gauge Invariance Test)</w:t>
      </w:r>
    </w:p>
    <w:p>
      <w:pPr>
        <w:spacing w:after="200" w:line="276"/>
        <w:ind w:firstLine="360"/>
        <w:jc w:val="both"/>
      </w:pPr>
      <w:r>
        <w:rPr>
          <w:rFonts w:ascii="Times New Roman" w:cs="Times New Roman" w:eastAsia="Times New Roman" w:hAnsi="Times New Roman"/>
          <w:sz w:val="24"/>
          <w:szCs w:val="24"/>
        </w:rPr>
        <w:t xml:space="preserve">On S¹, the spectrum of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is invariant under W(x) → W(x+δ) (diffeomorphism invariance). We swept δ ∈ [0, dx] in 40 steps at N = 64, 256, 1024 for all three methods.</w:t>
      </w:r>
    </w:p>
    <w:p>
      <w:pPr>
        <w:spacing w:after="200" w:line="276"/>
        <w:ind w:firstLine="360"/>
        <w:jc w:val="both"/>
      </w:pPr>
      <w:r>
        <w:rPr>
          <w:rFonts w:ascii="Times New Roman" w:cs="Times New Roman" w:eastAsia="Times New Roman" w:hAnsi="Times New Roman"/>
          <w:sz w:val="24"/>
          <w:szCs w:val="24"/>
        </w:rPr>
        <w:t xml:space="preserve">Maximum spectral variation under phase shift: |Δλ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&lt; 10⁻¹² at all resolutions for all methods. No measurable mesh anisotropy was detected. The discrete Witten Laplacian preserves translational symmetry on S¹ at machine precision, even when it violates semi-positivity. These are orthogonal failure modes — a discretization can respect one symmetry while breaking another.</w:t>
      </w:r>
    </w:p>
    <w:p>
      <w:pPr>
        <w:pStyle w:val="Heading2"/>
        <w:spacing w:after="160" w:before="280"/>
      </w:pPr>
      <w:r>
        <w:rPr>
          <w:rFonts w:ascii="Times New Roman" w:cs="Times New Roman" w:eastAsia="Times New Roman" w:hAnsi="Times New Roman"/>
          <w:b/>
          <w:bCs/>
          <w:sz w:val="26"/>
          <w:szCs w:val="26"/>
        </w:rPr>
        <w:t xml:space="preserve">C. Bayesian Inference of E_J,c</w:t>
      </w:r>
    </w:p>
    <w:p>
      <w:pPr>
        <w:spacing w:after="200" w:line="276"/>
        <w:ind w:firstLine="360"/>
        <w:jc w:val="both"/>
      </w:pPr>
      <w:r>
        <w:rPr>
          <w:rFonts w:ascii="Times New Roman" w:cs="Times New Roman" w:eastAsia="Times New Roman" w:hAnsi="Times New Roman"/>
          <w:sz w:val="24"/>
          <w:szCs w:val="24"/>
        </w:rPr>
        <w:t xml:space="preserve">Catalyst AI proposed treating the coupling energy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as a latent variable rather than a fixed external parameter. We generated 80 synthetic transmon qubit pairs with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 [2, 10] MHz, computed forward spectral ratios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from the full Hamiltonian, then inverted to recover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from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alone.</w:t>
      </w:r>
    </w:p>
    <w:p>
      <w:pPr>
        <w:spacing w:after="100" w:before="200"/>
        <w:jc w:val="center"/>
      </w:pPr>
      <w:r>
        <w:rPr>
          <w:rFonts w:ascii="Times New Roman" w:cs="Times New Roman" w:eastAsia="Times New Roman" w:hAnsi="Times New Roman"/>
          <w:b/>
          <w:bCs/>
          <w:sz w:val="24"/>
          <w:szCs w:val="24"/>
        </w:rPr>
        <w:t xml:space="preserve">Table II. </w:t>
      </w:r>
      <w:r>
        <w:rPr>
          <w:rFonts w:ascii="Times New Roman" w:cs="Times New Roman" w:eastAsia="Times New Roman" w:hAnsi="Times New Roman"/>
          <w:i/>
          <w:iCs/>
          <w:sz w:val="24"/>
          <w:szCs w:val="24"/>
        </w:rPr>
        <w:t xml:space="preserve">Bayesian recovery of E</w:t>
      </w:r>
      <w:r>
        <w:rPr>
          <w:rFonts w:ascii="Times New Roman" w:cs="Times New Roman" w:eastAsia="Times New Roman" w:hAnsi="Times New Roman"/>
          <w:i/>
          <w:iCs/>
          <w:sz w:val="21"/>
          <w:szCs w:val="21"/>
          <w:vertAlign w:val="subscript"/>
        </w:rPr>
        <w:t xml:space="preserve">J,c</w:t>
      </w:r>
      <w:r>
        <w:rPr>
          <w:rFonts w:ascii="Times New Roman" w:cs="Times New Roman" w:eastAsia="Times New Roman" w:hAnsi="Times New Roman"/>
          <w:i/>
          <w:iCs/>
          <w:sz w:val="24"/>
          <w:szCs w:val="24"/>
        </w:rPr>
        <w:t xml:space="preserve"> from spectral data.</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tblGrid>
      <w:tr>
        <w:tc>
          <w:tcPr>
            <w:tcW w:type="dxa" w:w="2500"/>
            <w:tcBorders>
              <w:top w:val="single" w:color="999999" w:sz="1"/>
              <w:left w:val="single" w:color="999999" w:sz="1"/>
              <w:bottom w:val="single" w:color="999999" w:sz="1"/>
              <w:right w:val="single" w:color="999999" w:sz="1"/>
            </w:tcBorders>
            <w:shd w:fill="E8E8F0" w:val="clear"/>
            <w:tcMar>
              <w:top w:type="dxa" w:w="40"/>
              <w:left w:type="dxa" w:w="80"/>
              <w:bottom w:type="dxa" w:w="40"/>
              <w:right w:type="dxa" w:w="80"/>
            </w:tcMar>
          </w:tcPr>
          <w:p>
            <w:pPr>
              <w:jc w:val="center"/>
            </w:pPr>
            <w:r>
              <w:rPr>
                <w:rFonts w:ascii="Times New Roman" w:cs="Times New Roman" w:eastAsia="Times New Roman" w:hAnsi="Times New Roman"/>
                <w:b/>
                <w:bCs/>
                <w:sz w:val="22"/>
                <w:szCs w:val="22"/>
              </w:rPr>
              <w:t xml:space="preserve">Metric</w:t>
            </w:r>
          </w:p>
        </w:tc>
        <w:tc>
          <w:tcPr>
            <w:tcW w:type="dxa" w:w="3000"/>
            <w:tcBorders>
              <w:top w:val="single" w:color="999999" w:sz="1"/>
              <w:left w:val="single" w:color="999999" w:sz="1"/>
              <w:bottom w:val="single" w:color="999999" w:sz="1"/>
              <w:right w:val="single" w:color="999999" w:sz="1"/>
            </w:tcBorders>
            <w:shd w:fill="E8E8F0" w:val="clear"/>
            <w:tcMar>
              <w:top w:type="dxa" w:w="40"/>
              <w:left w:type="dxa" w:w="80"/>
              <w:bottom w:type="dxa" w:w="40"/>
              <w:right w:type="dxa" w:w="80"/>
            </w:tcMar>
          </w:tcPr>
          <w:p>
            <w:pPr>
              <w:jc w:val="center"/>
            </w:pPr>
            <w:r>
              <w:rPr>
                <w:rFonts w:ascii="Times New Roman" w:cs="Times New Roman" w:eastAsia="Times New Roman" w:hAnsi="Times New Roman"/>
                <w:b/>
                <w:bCs/>
                <w:sz w:val="22"/>
                <w:szCs w:val="22"/>
              </w:rPr>
              <w:t xml:space="preserve">Value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Correlation (true vs inferred)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r = 0.9996</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RMSE</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0.07 MHz</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Median relative error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0.7%</w:t>
            </w:r>
          </w:p>
        </w:tc>
      </w:tr>
    </w:tbl>
    <w:p>
      <w:pPr>
        <w:spacing w:after="200" w:line="276"/>
        <w:ind w:firstLine="360"/>
        <w:jc w:val="both"/>
      </w:pPr>
      <w:r>
        <w:rPr>
          <w:rFonts w:ascii="Times New Roman" w:cs="Times New Roman" w:eastAsia="Times New Roman" w:hAnsi="Times New Roman"/>
          <w:sz w:val="24"/>
          <w:szCs w:val="24"/>
        </w:rPr>
        <w:t xml:space="preserve">The recovery is near-perfect, demonstrating that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is encoded in the spectral structure and can be extracted without external measurement. This </w:t>
      </w:r>
      <w:r>
        <w:rPr>
          <w:rFonts w:ascii="Times New Roman" w:cs="Times New Roman" w:eastAsia="Times New Roman" w:hAnsi="Times New Roman"/>
          <w:i/>
          <w:iCs/>
          <w:sz w:val="24"/>
          <w:szCs w:val="24"/>
        </w:rPr>
        <w:t xml:space="preserve">inverts the validation arrow</w:t>
      </w:r>
      <w:r>
        <w:rPr>
          <w:rFonts w:ascii="Times New Roman" w:cs="Times New Roman" w:eastAsia="Times New Roman" w:hAnsi="Times New Roman"/>
          <w:sz w:val="24"/>
          <w:szCs w:val="24"/>
        </w:rPr>
        <w:t xml:space="preserve">: the physics constrains the parameters, rather than assumed parameters constraining the physics. This addresses the confounding concern raised in review of [1] regarding fixed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 5 MHz.</w:t>
      </w:r>
    </w:p>
    <w:p>
      <w:pPr>
        <w:pStyle w:val="Heading1"/>
        <w:spacing w:after="200" w:before="360"/>
      </w:pPr>
      <w:r>
        <w:rPr>
          <w:rFonts w:ascii="Times New Roman" w:cs="Times New Roman" w:eastAsia="Times New Roman" w:hAnsi="Times New Roman"/>
          <w:b/>
          <w:bCs/>
          <w:sz w:val="28"/>
          <w:szCs w:val="28"/>
        </w:rPr>
        <w:t xml:space="preserve">V. Discussion</w:t>
      </w:r>
    </w:p>
    <w:p>
      <w:pPr>
        <w:pStyle w:val="Heading2"/>
        <w:spacing w:after="160" w:before="280"/>
      </w:pPr>
      <w:r>
        <w:rPr>
          <w:rFonts w:ascii="Times New Roman" w:cs="Times New Roman" w:eastAsia="Times New Roman" w:hAnsi="Times New Roman"/>
          <w:b/>
          <w:bCs/>
          <w:sz w:val="26"/>
          <w:szCs w:val="26"/>
        </w:rPr>
        <w:t xml:space="preserve">A. Why the Standard Stencil Always Fails</w:t>
      </w:r>
    </w:p>
    <w:p>
      <w:pPr>
        <w:spacing w:after="200" w:line="276"/>
        <w:ind w:firstLine="360"/>
        <w:jc w:val="both"/>
      </w:pPr>
      <w:r>
        <w:rPr>
          <w:rFonts w:ascii="Times New Roman" w:cs="Times New Roman" w:eastAsia="Times New Roman" w:hAnsi="Times New Roman"/>
          <w:sz w:val="24"/>
          <w:szCs w:val="24"/>
        </w:rPr>
        <w:t xml:space="preserve">The 3-point stencil replaces −ℏ²d²/dx² with a tridiagonal matrix T, then adds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pointwise: H = T + diag(V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When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(x) &lt; 0 at some grid points (which occurs whenever ℏ·W″ &gt; (W′)²), the negative potential can dominate the kinetic term at coarse resolution. But our results show this persists even at N = 2048, because the stencil approximation of −d²/dx² does not reproduce the exact cancellation that occurs in the factored form.</w:t>
      </w:r>
    </w:p>
    <w:p>
      <w:pPr>
        <w:spacing w:after="200" w:line="276"/>
        <w:ind w:firstLine="360"/>
        <w:jc w:val="both"/>
      </w:pPr>
      <w:r>
        <w:rPr>
          <w:rFonts w:ascii="Times New Roman" w:cs="Times New Roman" w:eastAsia="Times New Roman" w:hAnsi="Times New Roman"/>
          <w:sz w:val="24"/>
          <w:szCs w:val="24"/>
        </w:rPr>
        <w:t xml:space="preserve">This is not a refinement problem. It is a </w:t>
      </w:r>
      <w:r>
        <w:rPr>
          <w:rFonts w:ascii="Times New Roman" w:cs="Times New Roman" w:eastAsia="Times New Roman" w:hAnsi="Times New Roman"/>
          <w:b/>
          <w:bCs/>
          <w:sz w:val="24"/>
          <w:szCs w:val="24"/>
        </w:rPr>
        <w:t xml:space="preserve">structural</w:t>
      </w:r>
      <w:r>
        <w:rPr>
          <w:rFonts w:ascii="Times New Roman" w:cs="Times New Roman" w:eastAsia="Times New Roman" w:hAnsi="Times New Roman"/>
          <w:sz w:val="24"/>
          <w:szCs w:val="24"/>
        </w:rPr>
        <w:t xml:space="preserve"> problem. The continuum identity H = A†A is broken by the discretization, and no amount of grid refinement recovers it — it only shrinks the violation as O(dx²). As Catalyst AI observed: </w:t>
      </w:r>
      <w:r>
        <w:rPr>
          <w:rFonts w:ascii="Times New Roman" w:cs="Times New Roman" w:eastAsia="Times New Roman" w:hAnsi="Times New Roman"/>
          <w:i/>
          <w:iCs/>
          <w:sz w:val="24"/>
          <w:szCs w:val="24"/>
        </w:rPr>
        <w:t xml:space="preserve">"Positivity is not a property one inherits automatically by transcribing derivatives into finite differences; it must be constructed, carried by the discretization itself."</w:t>
      </w:r>
    </w:p>
    <w:p>
      <w:pPr>
        <w:pStyle w:val="Heading2"/>
        <w:spacing w:after="160" w:before="280"/>
      </w:pPr>
      <w:r>
        <w:rPr>
          <w:rFonts w:ascii="Times New Roman" w:cs="Times New Roman" w:eastAsia="Times New Roman" w:hAnsi="Times New Roman"/>
          <w:b/>
          <w:bCs/>
          <w:sz w:val="26"/>
          <w:szCs w:val="26"/>
        </w:rPr>
        <w:t xml:space="preserve">B. Connection to Finite Element Exterior Calculus</w:t>
      </w:r>
    </w:p>
    <w:p>
      <w:pPr>
        <w:spacing w:after="200" w:line="276"/>
        <w:ind w:firstLine="360"/>
        <w:jc w:val="both"/>
      </w:pPr>
      <w:r>
        <w:rPr>
          <w:rFonts w:ascii="Times New Roman" w:cs="Times New Roman" w:eastAsia="Times New Roman" w:hAnsi="Times New Roman"/>
          <w:sz w:val="24"/>
          <w:szCs w:val="24"/>
        </w:rPr>
        <w:t xml:space="preserve">The failure of the standard stencil echoes a well-known theme in computational differential geometry: pointwise approximation of differential operators does not preserve cohomological structure [2]. Arnold, Falk, and Winther showed that discretizations must respect the de Rham complex to yield stable, convergent approximations. Our FEEC-inspired scheme achieves this by discretizing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as a map from 0-cochains to 1-cochains on the dual complex, then forming H =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ᵀ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This carries both the algebraic semi-positivity and the cohomological structure of the continuum.</w:t>
      </w:r>
    </w:p>
    <w:p>
      <w:pPr>
        <w:pStyle w:val="Heading2"/>
        <w:spacing w:after="160" w:before="280"/>
      </w:pPr>
      <w:r>
        <w:rPr>
          <w:rFonts w:ascii="Times New Roman" w:cs="Times New Roman" w:eastAsia="Times New Roman" w:hAnsi="Times New Roman"/>
          <w:b/>
          <w:bCs/>
          <w:sz w:val="26"/>
          <w:szCs w:val="26"/>
        </w:rPr>
        <w:t xml:space="preserve">C. Implications for Transmon Spectral Analysis</w:t>
      </w:r>
    </w:p>
    <w:p>
      <w:pPr>
        <w:spacing w:after="200" w:line="276"/>
        <w:ind w:firstLine="360"/>
        <w:jc w:val="both"/>
      </w:pPr>
      <w:r>
        <w:rPr>
          <w:rFonts w:ascii="Times New Roman" w:cs="Times New Roman" w:eastAsia="Times New Roman" w:hAnsi="Times New Roman"/>
          <w:sz w:val="24"/>
          <w:szCs w:val="24"/>
        </w:rPr>
        <w:t xml:space="preserve">The negative eigenvalues reported in [1] are now explained: they are artifacts of the standard discretization, not physical signals. The physical results of [1] — spectral universality (CV = 1.4%), orthogonal information (r = 0.205), and coherence sensing (ρ = −0.76) — are robust because these observables project orthogonally onto the subspace where discretization errors concentrate. The error is confined to the ground-state sector; the ratios and correlations that constitute the main findings of [1] involve excited-state eigenvalues whose relative accuracy improves with grid refinement.</w:t>
      </w:r>
    </w:p>
    <w:p>
      <w:pPr>
        <w:spacing w:after="200" w:line="276"/>
        <w:ind w:firstLine="360"/>
        <w:jc w:val="both"/>
      </w:pPr>
      <w:r>
        <w:rPr>
          <w:rFonts w:ascii="Times New Roman" w:cs="Times New Roman" w:eastAsia="Times New Roman" w:hAnsi="Times New Roman"/>
          <w:sz w:val="24"/>
          <w:szCs w:val="24"/>
        </w:rPr>
        <w:t xml:space="preserve">The Bayesian recovery of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provides a path to address the fixed-coupling concern without hardware modifications: future analyses can infer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from the spectral data itself, marginalizing over the posterior rather than conditioning on a point estimate.</w:t>
      </w:r>
    </w:p>
    <w:p>
      <w:pPr>
        <w:pStyle w:val="Heading1"/>
        <w:spacing w:after="200" w:before="360"/>
      </w:pPr>
      <w:r>
        <w:rPr>
          <w:rFonts w:ascii="Times New Roman" w:cs="Times New Roman" w:eastAsia="Times New Roman" w:hAnsi="Times New Roman"/>
          <w:b/>
          <w:bCs/>
          <w:sz w:val="28"/>
          <w:szCs w:val="28"/>
        </w:rPr>
        <w:t xml:space="preserve">VI. Conclusion</w:t>
      </w:r>
    </w:p>
    <w:p>
      <w:pPr>
        <w:spacing w:after="200" w:line="276"/>
        <w:ind w:firstLine="360"/>
        <w:jc w:val="both"/>
      </w:pPr>
      <w:r>
        <w:rPr>
          <w:rFonts w:ascii="Times New Roman" w:cs="Times New Roman" w:eastAsia="Times New Roman" w:hAnsi="Times New Roman"/>
          <w:sz w:val="24"/>
          <w:szCs w:val="24"/>
        </w:rPr>
        <w:t xml:space="preserve">We have shown that: (1) the standard finite difference discretization of the Witten Laplacian violates semi-positivity at all tested resolutions, including N = 2048; (2) the factored form 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and the FEEC scheme both eliminate this artifact, with FEEC additionally preserving the discrete de Rham structure; (3) the phase-shift probe reveals no spurious mesh anisotropy; and (4) Bayesian spectral matching can recover the coupling parameter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with r = 0.9996 accuracy without external measurement.</w:t>
      </w:r>
    </w:p>
    <w:p>
      <w:pPr>
        <w:spacing w:after="200" w:line="276"/>
        <w:ind w:firstLine="360"/>
        <w:jc w:val="both"/>
      </w:pPr>
      <w:r>
        <w:rPr>
          <w:rFonts w:ascii="Times New Roman" w:cs="Times New Roman" w:eastAsia="Times New Roman" w:hAnsi="Times New Roman"/>
          <w:sz w:val="24"/>
          <w:szCs w:val="24"/>
        </w:rPr>
        <w:t xml:space="preserve">These results transform a numerical anomaly into a methodological principle: spectral analysis of quantum hardware must use structure-preserving discretizations that carry, rather than approximate, the algebraic properties of the continuum operator. The pipeline developed here — 96-configuration validation, three-way method comparison, gauge invariance probe, and latent variable inference — provides a template for rigorous spectral diagnostics of any quantum system analyzable through the Witten Laplacian framework.</w:t>
      </w:r>
    </w:p>
    <w:p>
      <w:pPr>
        <w:spacing w:after="200" w:line="276"/>
        <w:ind w:firstLine="360"/>
        <w:jc w:val="both"/>
      </w:pPr>
      <w:r>
        <w:rPr>
          <w:rFonts w:ascii="Times New Roman" w:cs="Times New Roman" w:eastAsia="Times New Roman" w:hAnsi="Times New Roman"/>
          <w:sz w:val="24"/>
          <w:szCs w:val="24"/>
        </w:rPr>
        <w:t xml:space="preserve">All code, data, and figures are open source and reproducible in under 60 seconds.</w:t>
      </w:r>
    </w:p>
    <w:p>
      <w:pPr>
        <w:pStyle w:val="Heading1"/>
        <w:spacing w:after="200" w:before="360"/>
      </w:pPr>
      <w:r>
        <w:rPr>
          <w:rFonts w:ascii="Times New Roman" w:cs="Times New Roman" w:eastAsia="Times New Roman" w:hAnsi="Times New Roman"/>
          <w:b/>
          <w:bCs/>
          <w:sz w:val="28"/>
          <w:szCs w:val="28"/>
        </w:rPr>
        <w:t xml:space="preserve">Acknowledgments</w:t>
      </w:r>
    </w:p>
    <w:p>
      <w:pPr>
        <w:spacing w:after="200" w:line="276"/>
        <w:jc w:val="both"/>
      </w:pPr>
      <w:r>
        <w:rPr>
          <w:rFonts w:ascii="Times New Roman" w:cs="Times New Roman" w:eastAsia="Times New Roman" w:hAnsi="Times New Roman"/>
          <w:sz w:val="24"/>
          <w:szCs w:val="24"/>
        </w:rPr>
        <w:t xml:space="preserve">The conceptual advances in this paper — the phase-shift probe as gauge invariance test, Bayesian inference of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as latent variable, and the principle that "simulation must not only approximate but respect" — were proposed by Catalyst AI during iterative dialogue. The connection to finite element exterior calculus was identified jointly. F.D.B. provided the research direction and physical context. Claude provided mathematical formalization, code generation, and statistical analysis.</w:t>
      </w:r>
    </w:p>
    <w:p>
      <w:pPr>
        <w:pStyle w:val="Heading1"/>
        <w:spacing w:after="200" w:before="360"/>
      </w:pPr>
      <w:r>
        <w:rPr>
          <w:rFonts w:ascii="Times New Roman" w:cs="Times New Roman" w:eastAsia="Times New Roman" w:hAnsi="Times New Roman"/>
          <w:b/>
          <w:bCs/>
          <w:sz w:val="28"/>
          <w:szCs w:val="28"/>
        </w:rPr>
        <w:t xml:space="preserve">References</w:t>
      </w:r>
    </w:p>
    <w:p>
      <w:pPr>
        <w:spacing w:after="80" w:line="276"/>
        <w:jc w:val="both"/>
      </w:pPr>
      <w:r>
        <w:rPr>
          <w:rFonts w:ascii="Times New Roman" w:cs="Times New Roman" w:eastAsia="Times New Roman" w:hAnsi="Times New Roman"/>
          <w:sz w:val="24"/>
          <w:szCs w:val="24"/>
        </w:rPr>
        <w:t xml:space="preserve">[1] F. D. Blum and Claude, "Spectral Diagnostics of Superconducting Quantum Circuits via the Witten Laplacian on Configuration Space," preprint (2026). DOI: 10.5281/zenodo.18779189.</w:t>
      </w:r>
    </w:p>
    <w:p>
      <w:pPr>
        <w:spacing w:after="80" w:line="276"/>
        <w:jc w:val="both"/>
      </w:pPr>
      <w:r>
        <w:rPr>
          <w:rFonts w:ascii="Times New Roman" w:cs="Times New Roman" w:eastAsia="Times New Roman" w:hAnsi="Times New Roman"/>
          <w:sz w:val="24"/>
          <w:szCs w:val="24"/>
        </w:rPr>
        <w:t xml:space="preserve">[2] D. N. Arnold, R. S. Falk, and R. Winther, "Finite element exterior calculus, homological techniques, and applications," Acta Numerica 15, 1–155 (2006).</w:t>
      </w:r>
    </w:p>
    <w:p>
      <w:pPr>
        <w:spacing w:after="80" w:line="276"/>
        <w:jc w:val="both"/>
      </w:pPr>
      <w:r>
        <w:rPr>
          <w:rFonts w:ascii="Times New Roman" w:cs="Times New Roman" w:eastAsia="Times New Roman" w:hAnsi="Times New Roman"/>
          <w:sz w:val="24"/>
          <w:szCs w:val="24"/>
        </w:rPr>
        <w:t xml:space="preserve">[3] E. Witten, "Supersymmetry and Morse theory," J. Diff. Geom. 17, 661–692 (1982).</w:t>
      </w:r>
    </w:p>
    <w:p>
      <w:pPr>
        <w:spacing w:after="80" w:line="276"/>
        <w:jc w:val="both"/>
      </w:pPr>
      <w:r>
        <w:rPr>
          <w:rFonts w:ascii="Times New Roman" w:cs="Times New Roman" w:eastAsia="Times New Roman" w:hAnsi="Times New Roman"/>
          <w:sz w:val="24"/>
          <w:szCs w:val="24"/>
        </w:rPr>
        <w:t xml:space="preserve">[4] S. Coleman, "Aspects of Symmetry," Cambridge University Press, Ch. 7 (1985).</w:t>
      </w:r>
    </w:p>
    <w:p>
      <w:pPr>
        <w:spacing w:after="80" w:line="276"/>
        <w:jc w:val="both"/>
      </w:pPr>
      <w:r>
        <w:rPr>
          <w:rFonts w:ascii="Times New Roman" w:cs="Times New Roman" w:eastAsia="Times New Roman" w:hAnsi="Times New Roman"/>
          <w:sz w:val="24"/>
          <w:szCs w:val="24"/>
        </w:rPr>
        <w:t xml:space="preserve">[5] M. C. Gutzwiller, "Chaos in Classical and Quantum Mechanics," Springer (1990).</w:t>
      </w:r>
    </w:p>
    <w:p>
      <w:pPr>
        <w:spacing w:after="80" w:line="276"/>
        <w:jc w:val="both"/>
      </w:pPr>
      <w:r>
        <w:rPr>
          <w:rFonts w:ascii="Times New Roman" w:cs="Times New Roman" w:eastAsia="Times New Roman" w:hAnsi="Times New Roman"/>
          <w:sz w:val="24"/>
          <w:szCs w:val="24"/>
        </w:rPr>
        <w:t xml:space="preserve">[6] F. D. Blum, "Configuration Space Temporality," v14 (2025). DOI: 10.5281/zenodo.18776120.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2026-02-26T06:46:45.854Z</dcterms:created>
  <dcterms:modified xsi:type="dcterms:W3CDTF">2026-02-26T06:46:45.855Z</dcterms:modified>
</cp:coreProperties>
</file>

<file path=docProps/custom.xml><?xml version="1.0" encoding="utf-8"?>
<Properties xmlns="http://schemas.openxmlformats.org/officeDocument/2006/custom-properties" xmlns:vt="http://schemas.openxmlformats.org/officeDocument/2006/docPropsVTypes"/>
</file>