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6"/>
          <w:szCs w:val="36"/>
        </w:rPr>
        <w:t xml:space="preserve">Spectral Diagnostics of Superconducting Quantum Circuits</w:t>
      </w:r>
    </w:p>
    <w:p>
      <w:pPr>
        <w:spacing w:after="80"/>
        <w:jc w:val="center"/>
      </w:pPr>
      <w:r>
        <w:rPr>
          <w:rFonts w:ascii="Times New Roman" w:cs="Times New Roman" w:eastAsia="Times New Roman" w:hAnsi="Times New Roman"/>
          <w:b/>
          <w:bCs/>
          <w:sz w:val="36"/>
          <w:szCs w:val="36"/>
        </w:rPr>
        <w:t xml:space="preserve">via the Witten Laplacian on Configuration Space</w:t>
      </w:r>
    </w:p>
    <w:p>
      <w:pPr>
        <w:spacing w:after="40"/>
        <w:jc w:val="center"/>
      </w:pPr>
    </w:p>
    <w:p>
      <w:pPr>
        <w:spacing w:after="40"/>
        <w:jc w:val="center"/>
      </w:pPr>
      <w:r>
        <w:rPr>
          <w:rFonts w:ascii="Times New Roman" w:cs="Times New Roman" w:eastAsia="Times New Roman" w:hAnsi="Times New Roman"/>
          <w:sz w:val="24"/>
          <w:szCs w:val="24"/>
        </w:rPr>
        <w:t xml:space="preserve">Frédéric David Blum</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and Claude</w:t>
      </w:r>
      <w:r>
        <w:rPr>
          <w:rFonts w:ascii="Times New Roman" w:cs="Times New Roman" w:eastAsia="Times New Roman" w:hAnsi="Times New Roman"/>
          <w:sz w:val="24"/>
          <w:szCs w:val="24"/>
          <w:vertAlign w:val="superscript"/>
        </w:rPr>
        <w:t xml:space="preserve">2</w:t>
      </w:r>
    </w:p>
    <w:p>
      <w:pPr>
        <w:spacing w:after="40"/>
        <w:jc w:val="center"/>
      </w:pPr>
      <w:r>
        <w:rPr>
          <w:rFonts w:ascii="Times New Roman" w:cs="Times New Roman" w:eastAsia="Times New Roman" w:hAnsi="Times New Roman"/>
          <w:i/>
          <w:iCs/>
          <w:sz w:val="24"/>
          <w:szCs w:val="24"/>
        </w:rPr>
        <w:t xml:space="preserve">1</w:t>
      </w:r>
      <w:r>
        <w:rPr>
          <w:rFonts w:ascii="Times New Roman" w:cs="Times New Roman" w:eastAsia="Times New Roman" w:hAnsi="Times New Roman"/>
          <w:sz w:val="24"/>
          <w:szCs w:val="24"/>
        </w:rPr>
        <w:t xml:space="preserve"> Catalyst AI, Tel Aviv, Israel</w:t>
      </w:r>
    </w:p>
    <w:p>
      <w:pPr>
        <w:spacing w:after="40"/>
        <w:jc w:val="center"/>
      </w:pPr>
      <w:r>
        <w:rPr>
          <w:rFonts w:ascii="Times New Roman" w:cs="Times New Roman" w:eastAsia="Times New Roman" w:hAnsi="Times New Roman"/>
          <w:i/>
          <w:iCs/>
          <w:sz w:val="24"/>
          <w:szCs w:val="24"/>
        </w:rPr>
        <w:t xml:space="preserve">2</w:t>
      </w:r>
      <w:r>
        <w:rPr>
          <w:rFonts w:ascii="Times New Roman" w:cs="Times New Roman" w:eastAsia="Times New Roman" w:hAnsi="Times New Roman"/>
          <w:sz w:val="24"/>
          <w:szCs w:val="24"/>
        </w:rPr>
        <w:t xml:space="preserve"> Anthropic, San Francisco, CA, USA</w:t>
      </w:r>
    </w:p>
    <w:p>
      <w:pPr>
        <w:spacing w:after="200"/>
        <w:jc w:val="center"/>
      </w:pPr>
      <w:r>
        <w:rPr>
          <w:rFonts w:ascii="Times New Roman" w:cs="Times New Roman" w:eastAsia="Times New Roman" w:hAnsi="Times New Roman"/>
          <w:sz w:val="24"/>
          <w:szCs w:val="24"/>
        </w:rPr>
        <w:t xml:space="preserve">*Corresponding author: dvid75113@gmail.com</w:t>
      </w:r>
    </w:p>
    <w:p>
      <w:pPr>
        <w:spacing w:after="80"/>
        <w:jc w:val="center"/>
      </w:pPr>
      <w:r>
        <w:rPr>
          <w:rFonts w:ascii="Times New Roman" w:cs="Times New Roman" w:eastAsia="Times New Roman" w:hAnsi="Times New Roman"/>
          <w:i/>
          <w:iCs/>
          <w:sz w:val="24"/>
          <w:szCs w:val="24"/>
        </w:rPr>
        <w:t xml:space="preserve">Draft — February 26, 2026</w:t>
      </w:r>
    </w:p>
    <w:p>
      <w:pPr>
        <w:spacing w:after="40"/>
        <w:jc w:val="center"/>
      </w:pPr>
    </w:p>
    <w:p>
      <w:pPr>
        <w:pStyle w:val="Heading1"/>
        <w:spacing w:after="200" w:before="360"/>
      </w:pPr>
      <w:r>
        <w:rPr>
          <w:rFonts w:ascii="Times New Roman" w:cs="Times New Roman" w:eastAsia="Times New Roman" w:hAnsi="Times New Roman"/>
          <w:b/>
          <w:bCs/>
          <w:sz w:val="28"/>
          <w:szCs w:val="28"/>
        </w:rPr>
        <w:t xml:space="preserve">Abstract</w:t>
      </w:r>
    </w:p>
    <w:p>
      <w:pPr>
        <w:spacing w:after="200" w:line="276"/>
        <w:jc w:val="both"/>
      </w:pPr>
      <w:r>
        <w:rPr>
          <w:rFonts w:ascii="Times New Roman" w:cs="Times New Roman" w:eastAsia="Times New Roman" w:hAnsi="Times New Roman"/>
          <w:sz w:val="24"/>
          <w:szCs w:val="24"/>
        </w:rPr>
        <w:t xml:space="preserve">We introduce the Witten Laplacian H</w:t>
      </w:r>
      <w:r>
        <w:rPr>
          <w:rFonts w:ascii="Times New Roman" w:cs="Times New Roman" w:eastAsia="Times New Roman" w:hAnsi="Times New Roman"/>
          <w:sz w:val="24"/>
          <w:szCs w:val="24"/>
          <w:vertAlign w:val="subscript"/>
        </w:rPr>
        <w:t xml:space="preserve">W</w:t>
      </w:r>
      <w:r>
        <w:rPr>
          <w:rFonts w:ascii="Times New Roman" w:cs="Times New Roman" w:eastAsia="Times New Roman" w:hAnsi="Times New Roman"/>
          <w:sz w:val="24"/>
          <w:szCs w:val="24"/>
        </w:rPr>
        <w:t xml:space="preserve"> on the configuration torus T</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of coupled transmon qubits as a spectral diagnostic tool for superconducting quantum circuits. Computing H</w:t>
      </w:r>
      <w:r>
        <w:rPr>
          <w:rFonts w:ascii="Times New Roman" w:cs="Times New Roman" w:eastAsia="Times New Roman" w:hAnsi="Times New Roman"/>
          <w:sz w:val="24"/>
          <w:szCs w:val="24"/>
          <w:vertAlign w:val="subscript"/>
        </w:rPr>
        <w:t xml:space="preserve">W</w:t>
      </w:r>
      <w:r>
        <w:rPr>
          <w:rFonts w:ascii="Times New Roman" w:cs="Times New Roman" w:eastAsia="Times New Roman" w:hAnsi="Times New Roman"/>
          <w:sz w:val="24"/>
          <w:szCs w:val="24"/>
        </w:rPr>
        <w:t xml:space="preserve"> for 772 qubit pairs across six IBM Quantum processors (real calibration snapshots), we report three principal findings. </w:t>
      </w:r>
      <w:r>
        <w:rPr>
          <w:rFonts w:ascii="Times New Roman" w:cs="Times New Roman" w:eastAsia="Times New Roman" w:hAnsi="Times New Roman"/>
          <w:b/>
          <w:bCs/>
          <w:sz w:val="24"/>
          <w:szCs w:val="24"/>
        </w:rPr>
        <w:t xml:space="preserve">(1) Spectral universality: </w:t>
      </w:r>
      <w:r>
        <w:rPr>
          <w:rFonts w:ascii="Times New Roman" w:cs="Times New Roman" w:eastAsia="Times New Roman" w:hAnsi="Times New Roman"/>
          <w:sz w:val="24"/>
          <w:szCs w:val="24"/>
        </w:rPr>
        <w:t xml:space="preserve">rescaled eigenvalue ratios collapse across all processors with a coefficient of variation CV = 0.014, revealing a universal spectral grammar independent of fabrication and noise environment. </w:t>
      </w:r>
      <w:r>
        <w:rPr>
          <w:rFonts w:ascii="Times New Roman" w:cs="Times New Roman" w:eastAsia="Times New Roman" w:hAnsi="Times New Roman"/>
          <w:b/>
          <w:bCs/>
          <w:sz w:val="24"/>
          <w:szCs w:val="24"/>
        </w:rPr>
        <w:t xml:space="preserve">(2) Orthogonal information content: </w:t>
      </w:r>
      <w:r>
        <w:rPr>
          <w:rFonts w:ascii="Times New Roman" w:cs="Times New Roman" w:eastAsia="Times New Roman" w:hAnsi="Times New Roman"/>
          <w:sz w:val="24"/>
          <w:szCs w:val="24"/>
        </w:rPr>
        <w:t xml:space="preserve">Witten spectral features predict gate-length residuals with r = 0.205 (p = 6.2 × 10</w:t>
      </w:r>
      <w:r>
        <w:rPr>
          <w:rFonts w:ascii="Times New Roman" w:cs="Times New Roman" w:eastAsia="Times New Roman" w:hAnsi="Times New Roman"/>
          <w:sz w:val="24"/>
          <w:szCs w:val="24"/>
          <w:vertAlign w:val="superscript"/>
        </w:rPr>
        <w:t xml:space="preserve">−4</w:t>
      </w:r>
      <w:r>
        <w:rPr>
          <w:rFonts w:ascii="Times New Roman" w:cs="Times New Roman" w:eastAsia="Times New Roman" w:hAnsi="Times New Roman"/>
          <w:sz w:val="24"/>
          <w:szCs w:val="24"/>
        </w:rPr>
        <w:t xml:space="preserve">) after removing all variance explained by raw qubit parameters, demonstrating that the spectral transform extracts information invisible to standard calibration metrics. </w:t>
      </w:r>
      <w:r>
        <w:rPr>
          <w:rFonts w:ascii="Times New Roman" w:cs="Times New Roman" w:eastAsia="Times New Roman" w:hAnsi="Times New Roman"/>
          <w:b/>
          <w:bCs/>
          <w:sz w:val="24"/>
          <w:szCs w:val="24"/>
        </w:rPr>
        <w:t xml:space="preserve">(3) Inter-processor coherence sensing: </w:t>
      </w:r>
      <w:r>
        <w:rPr>
          <w:rFonts w:ascii="Times New Roman" w:cs="Times New Roman" w:eastAsia="Times New Roman" w:hAnsi="Times New Roman"/>
          <w:sz w:val="24"/>
          <w:szCs w:val="24"/>
        </w:rPr>
        <w:t xml:space="preserve">the relative Witten index ν</w:t>
      </w:r>
      <w:r>
        <w:rPr>
          <w:rFonts w:ascii="Times New Roman" w:cs="Times New Roman" w:eastAsia="Times New Roman" w:hAnsi="Times New Roman"/>
          <w:sz w:val="24"/>
          <w:szCs w:val="24"/>
          <w:vertAlign w:val="subscript"/>
        </w:rPr>
        <w:t xml:space="preserve">ij</w:t>
      </w:r>
      <w:r>
        <w:rPr>
          <w:rFonts w:ascii="Times New Roman" w:cs="Times New Roman" w:eastAsia="Times New Roman" w:hAnsi="Times New Roman"/>
          <w:sz w:val="24"/>
          <w:szCs w:val="24"/>
        </w:rPr>
        <w:t xml:space="preserve"> correlates with T</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relaxation-time differences between processors at Spearman ρ = −0.76, suggesting that spectral geometry encodes decoherence channels. We additionally identify a critical threshold in the effective quantum parameter ℏ</w:t>
      </w:r>
      <w:r>
        <w:rPr>
          <w:rFonts w:ascii="Times New Roman" w:cs="Times New Roman" w:eastAsia="Times New Roman" w:hAnsi="Times New Roman"/>
          <w:sz w:val="24"/>
          <w:szCs w:val="24"/>
          <w:vertAlign w:val="subscript"/>
        </w:rPr>
        <w:t xml:space="preserve">eff</w:t>
      </w:r>
      <w:r>
        <w:rPr>
          <w:rFonts w:ascii="Times New Roman" w:cs="Times New Roman" w:eastAsia="Times New Roman" w:hAnsi="Times New Roman"/>
          <w:sz w:val="24"/>
          <w:szCs w:val="24"/>
        </w:rPr>
        <w:t xml:space="preserve"> ≈ 0.42 below which Z(β) diverges, consistent with a semiclassical phase boundary observable on real hardware. These results position the Witten Laplacian not as a theoretical construct awaiting validation, but as a working spectral microscope for quantum device characterization.</w:t>
      </w:r>
    </w:p>
    <w:p>
      <w:pPr>
        <w:pStyle w:val="Heading1"/>
        <w:spacing w:after="200" w:before="360"/>
      </w:pPr>
      <w:r>
        <w:rPr>
          <w:rFonts w:ascii="Times New Roman" w:cs="Times New Roman" w:eastAsia="Times New Roman" w:hAnsi="Times New Roman"/>
          <w:b/>
          <w:bCs/>
          <w:sz w:val="28"/>
          <w:szCs w:val="28"/>
        </w:rPr>
        <w:t xml:space="preserve">I. Introduction</w:t>
      </w:r>
    </w:p>
    <w:p>
      <w:pPr>
        <w:spacing w:after="200" w:line="276"/>
        <w:ind w:firstLine="360"/>
        <w:jc w:val="both"/>
      </w:pPr>
      <w:r>
        <w:rPr>
          <w:rFonts w:ascii="Times New Roman" w:cs="Times New Roman" w:eastAsia="Times New Roman" w:hAnsi="Times New Roman"/>
          <w:sz w:val="24"/>
          <w:szCs w:val="24"/>
        </w:rPr>
        <w:t xml:space="preserve">Superconducting transmon qubits are characterized by a small set of calibration parameters—qubit frequency f</w:t>
      </w:r>
      <w:r>
        <w:rPr>
          <w:rFonts w:ascii="Times New Roman" w:cs="Times New Roman" w:eastAsia="Times New Roman" w:hAnsi="Times New Roman"/>
          <w:sz w:val="24"/>
          <w:szCs w:val="24"/>
          <w:vertAlign w:val="subscript"/>
        </w:rPr>
        <w:t xml:space="preserve">01</w:t>
      </w:r>
      <w:r>
        <w:rPr>
          <w:rFonts w:ascii="Times New Roman" w:cs="Times New Roman" w:eastAsia="Times New Roman" w:hAnsi="Times New Roman"/>
          <w:sz w:val="24"/>
          <w:szCs w:val="24"/>
        </w:rPr>
        <w:t xml:space="preserve">, anharmonicity α, relaxation time T</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dephasing time T</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and two-qubit gate error and duration. These parameters, updated every 24 hours by IBM’s calibration pipeline, serve as the primary metrics for device quality. Yet a growing body of evidence suggests that functional performance—the actual fidelity of quantum operations—depends on collective properties of qubit pairs and neighborhoods that are not captured by any single calibration number [1–3].</w:t>
      </w:r>
    </w:p>
    <w:p>
      <w:pPr>
        <w:spacing w:after="200" w:line="276"/>
        <w:ind w:firstLine="360"/>
        <w:jc w:val="both"/>
      </w:pPr>
      <w:r>
        <w:rPr>
          <w:rFonts w:ascii="Times New Roman" w:cs="Times New Roman" w:eastAsia="Times New Roman" w:hAnsi="Times New Roman"/>
          <w:sz w:val="24"/>
          <w:szCs w:val="24"/>
        </w:rPr>
        <w:t xml:space="preserve">We propose a different approach: instead of correlating individual parameters with performance, we lift the qubit-pair system into a geometric space—the configuration torus T</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 S</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 S</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parametrized by the superconducting phases (φ</w:t>
      </w:r>
      <w:r>
        <w:rPr>
          <w:rFonts w:ascii="Times New Roman" w:cs="Times New Roman" w:eastAsia="Times New Roman" w:hAnsi="Times New Roman"/>
          <w:sz w:val="24"/>
          <w:szCs w:val="24"/>
          <w:vertAlign w:val="subscript"/>
        </w:rPr>
        <w:t xml:space="preserve">A</w:t>
      </w:r>
      <w:r>
        <w:rPr>
          <w:rFonts w:ascii="Times New Roman" w:cs="Times New Roman" w:eastAsia="Times New Roman" w:hAnsi="Times New Roman"/>
          <w:sz w:val="24"/>
          <w:szCs w:val="24"/>
        </w:rPr>
        <w:t xml:space="preserve">, φ</w:t>
      </w:r>
      <w:r>
        <w:rPr>
          <w:rFonts w:ascii="Times New Roman" w:cs="Times New Roman" w:eastAsia="Times New Roman" w:hAnsi="Times New Roman"/>
          <w:sz w:val="24"/>
          <w:szCs w:val="24"/>
          <w:vertAlign w:val="subscript"/>
        </w:rPr>
        <w:t xml:space="preserve">B</w:t>
      </w:r>
      <w:r>
        <w:rPr>
          <w:rFonts w:ascii="Times New Roman" w:cs="Times New Roman" w:eastAsia="Times New Roman" w:hAnsi="Times New Roman"/>
          <w:sz w:val="24"/>
          <w:szCs w:val="24"/>
        </w:rPr>
        <w:t xml:space="preserve">)—and construct the Witten Laplacian H</w:t>
      </w:r>
      <w:r>
        <w:rPr>
          <w:rFonts w:ascii="Times New Roman" w:cs="Times New Roman" w:eastAsia="Times New Roman" w:hAnsi="Times New Roman"/>
          <w:sz w:val="24"/>
          <w:szCs w:val="24"/>
          <w:vertAlign w:val="subscript"/>
        </w:rPr>
        <w:t xml:space="preserve">W</w:t>
      </w:r>
      <w:r>
        <w:rPr>
          <w:rFonts w:ascii="Times New Roman" w:cs="Times New Roman" w:eastAsia="Times New Roman" w:hAnsi="Times New Roman"/>
          <w:sz w:val="24"/>
          <w:szCs w:val="24"/>
        </w:rPr>
        <w:t xml:space="preserve"> associated with the Josephson potential landscape. This operator, introduced by Witten in the context of Morse theory and supersymmetric quantum mechanics [4], encodes the full geometry of the potential energy surface into a single spectral object. Its eigenvalues reflect the topology of critical points, the curvature of energy basins, and the tunneling structure between them.</w:t>
      </w:r>
    </w:p>
    <w:p>
      <w:pPr>
        <w:spacing w:after="200" w:line="276"/>
        <w:ind w:firstLine="360"/>
        <w:jc w:val="both"/>
      </w:pPr>
      <w:r>
        <w:rPr>
          <w:rFonts w:ascii="Times New Roman" w:cs="Times New Roman" w:eastAsia="Times New Roman" w:hAnsi="Times New Roman"/>
          <w:sz w:val="24"/>
          <w:szCs w:val="24"/>
        </w:rPr>
        <w:t xml:space="preserve">The key insight is that H</w:t>
      </w:r>
      <w:r>
        <w:rPr>
          <w:rFonts w:ascii="Times New Roman" w:cs="Times New Roman" w:eastAsia="Times New Roman" w:hAnsi="Times New Roman"/>
          <w:sz w:val="24"/>
          <w:szCs w:val="24"/>
          <w:vertAlign w:val="subscript"/>
        </w:rPr>
        <w:t xml:space="preserve">W</w:t>
      </w:r>
      <w:r>
        <w:rPr>
          <w:rFonts w:ascii="Times New Roman" w:cs="Times New Roman" w:eastAsia="Times New Roman" w:hAnsi="Times New Roman"/>
          <w:sz w:val="24"/>
          <w:szCs w:val="24"/>
        </w:rPr>
        <w:t xml:space="preserve"> performs a nonlinear spectral transformation on the raw qubit parameters—one that is neither a linear combination nor a standard dimensionality reduction. By weighting modes through the Boltzmann factor e</w:t>
      </w:r>
      <w:r>
        <w:rPr>
          <w:rFonts w:ascii="Times New Roman" w:cs="Times New Roman" w:eastAsia="Times New Roman" w:hAnsi="Times New Roman"/>
          <w:sz w:val="24"/>
          <w:szCs w:val="24"/>
          <w:vertAlign w:val="superscript"/>
        </w:rPr>
        <w:t xml:space="preserve">−βλ</w:t>
      </w:r>
      <w:r>
        <w:rPr>
          <w:rFonts w:ascii="Times New Roman" w:cs="Times New Roman" w:eastAsia="Times New Roman" w:hAnsi="Times New Roman"/>
          <w:sz w:val="24"/>
          <w:szCs w:val="24"/>
        </w:rPr>
        <w:t xml:space="preserve">, the heat kernel trace Z(β) = Tr(e</w:t>
      </w:r>
      <w:r>
        <w:rPr>
          <w:rFonts w:ascii="Times New Roman" w:cs="Times New Roman" w:eastAsia="Times New Roman" w:hAnsi="Times New Roman"/>
          <w:sz w:val="24"/>
          <w:szCs w:val="24"/>
          <w:vertAlign w:val="superscript"/>
        </w:rPr>
        <w:t xml:space="preserve">−βH</w:t>
      </w:r>
      <w:r>
        <w:rPr>
          <w:rFonts w:ascii="Times New Roman" w:cs="Times New Roman" w:eastAsia="Times New Roman" w:hAnsi="Times New Roman"/>
          <w:sz w:val="24"/>
          <w:szCs w:val="24"/>
          <w:vertAlign w:val="subscript"/>
        </w:rPr>
        <w:t xml:space="preserve">W</w:t>
      </w:r>
      <w:r>
        <w:rPr>
          <w:rFonts w:ascii="Times New Roman" w:cs="Times New Roman" w:eastAsia="Times New Roman" w:hAnsi="Times New Roman"/>
          <w:sz w:val="24"/>
          <w:szCs w:val="24"/>
        </w:rPr>
        <w:t xml:space="preserve">) acts as a multi-scale filter that suppresses irrelevant local detail and amplifies global topological coherence. We demonstrate that this filter extracts information about gate performance that is strictly orthogonal to all accessible raw parameters.</w:t>
      </w:r>
    </w:p>
    <w:p>
      <w:pPr>
        <w:spacing w:after="200" w:line="276"/>
        <w:ind w:firstLine="360"/>
        <w:jc w:val="both"/>
      </w:pPr>
      <w:r>
        <w:rPr>
          <w:rFonts w:ascii="Times New Roman" w:cs="Times New Roman" w:eastAsia="Times New Roman" w:hAnsi="Times New Roman"/>
          <w:sz w:val="24"/>
          <w:szCs w:val="24"/>
        </w:rPr>
        <w:t xml:space="preserve">This paper is organized as follows. Section II defines H</w:t>
      </w:r>
      <w:r>
        <w:rPr>
          <w:rFonts w:ascii="Times New Roman" w:cs="Times New Roman" w:eastAsia="Times New Roman" w:hAnsi="Times New Roman"/>
          <w:sz w:val="24"/>
          <w:szCs w:val="24"/>
          <w:vertAlign w:val="subscript"/>
        </w:rPr>
        <w:t xml:space="preserve">W</w:t>
      </w:r>
      <w:r>
        <w:rPr>
          <w:rFonts w:ascii="Times New Roman" w:cs="Times New Roman" w:eastAsia="Times New Roman" w:hAnsi="Times New Roman"/>
          <w:sz w:val="24"/>
          <w:szCs w:val="24"/>
        </w:rPr>
        <w:t xml:space="preserve"> for two coupled transmons and describes the numerical implementation. Section III presents our three main results: spectral universality, orthogonal information content, and inter-processor coherence sensing. Section IV analyzes the semiclassical phase boundary observed in the Kawasaki processor. Section V discusses implications for quantum device characterization, and Section VI concludes.</w:t>
      </w:r>
    </w:p>
    <w:p>
      <w:pPr>
        <w:pStyle w:val="Heading1"/>
        <w:spacing w:after="200" w:before="360"/>
      </w:pPr>
      <w:r>
        <w:rPr>
          <w:rFonts w:ascii="Times New Roman" w:cs="Times New Roman" w:eastAsia="Times New Roman" w:hAnsi="Times New Roman"/>
          <w:b/>
          <w:bCs/>
          <w:sz w:val="28"/>
          <w:szCs w:val="28"/>
        </w:rPr>
        <w:t xml:space="preserve">II. The Witten Laplacian for Coupled Transmons</w:t>
      </w:r>
    </w:p>
    <w:p>
      <w:pPr>
        <w:pStyle w:val="Heading2"/>
        <w:spacing w:after="160" w:before="280"/>
      </w:pPr>
      <w:r>
        <w:rPr>
          <w:rFonts w:ascii="Times New Roman" w:cs="Times New Roman" w:eastAsia="Times New Roman" w:hAnsi="Times New Roman"/>
          <w:b/>
          <w:bCs/>
          <w:sz w:val="26"/>
          <w:szCs w:val="26"/>
        </w:rPr>
        <w:t xml:space="preserve">A. Construction</w:t>
      </w:r>
    </w:p>
    <w:p>
      <w:pPr>
        <w:spacing w:after="200" w:line="276"/>
        <w:ind w:firstLine="360"/>
        <w:jc w:val="both"/>
      </w:pPr>
      <w:r>
        <w:rPr>
          <w:rFonts w:ascii="Times New Roman" w:cs="Times New Roman" w:eastAsia="Times New Roman" w:hAnsi="Times New Roman"/>
          <w:sz w:val="24"/>
          <w:szCs w:val="24"/>
        </w:rPr>
        <w:t xml:space="preserve">Consider two capacitively coupled transmon qubits with superconducting phase variables φ</w:t>
      </w:r>
      <w:r>
        <w:rPr>
          <w:rFonts w:ascii="Times New Roman" w:cs="Times New Roman" w:eastAsia="Times New Roman" w:hAnsi="Times New Roman"/>
          <w:sz w:val="24"/>
          <w:szCs w:val="24"/>
          <w:vertAlign w:val="subscript"/>
        </w:rPr>
        <w:t xml:space="preserve">A</w:t>
      </w:r>
      <w:r>
        <w:rPr>
          <w:rFonts w:ascii="Times New Roman" w:cs="Times New Roman" w:eastAsia="Times New Roman" w:hAnsi="Times New Roman"/>
          <w:sz w:val="24"/>
          <w:szCs w:val="24"/>
        </w:rPr>
        <w:t xml:space="preserve">, φ</w:t>
      </w:r>
      <w:r>
        <w:rPr>
          <w:rFonts w:ascii="Times New Roman" w:cs="Times New Roman" w:eastAsia="Times New Roman" w:hAnsi="Times New Roman"/>
          <w:sz w:val="24"/>
          <w:szCs w:val="24"/>
          <w:vertAlign w:val="subscript"/>
        </w:rPr>
        <w:t xml:space="preserve">B</w:t>
      </w:r>
      <w:r>
        <w:rPr>
          <w:rFonts w:ascii="Times New Roman" w:cs="Times New Roman" w:eastAsia="Times New Roman" w:hAnsi="Times New Roman"/>
          <w:sz w:val="24"/>
          <w:szCs w:val="24"/>
        </w:rPr>
        <w:t xml:space="preserve"> ∈ [0, 2π). The configuration space is the torus Q = T</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The Josephson potential is:</w:t>
      </w:r>
    </w:p>
    <w:p>
      <w:pPr>
        <w:spacing w:after="200" w:line="276"/>
        <w:jc w:val="center"/>
      </w:pPr>
      <w:r>
        <w:rPr>
          <w:rFonts w:ascii="Times New Roman" w:cs="Times New Roman" w:eastAsia="Times New Roman" w:hAnsi="Times New Roman"/>
          <w:sz w:val="24"/>
          <w:szCs w:val="24"/>
        </w:rPr>
        <w:t xml:space="preserve">    Φ(φ</w:t>
      </w:r>
      <w:r>
        <w:rPr>
          <w:rFonts w:ascii="Times New Roman" w:cs="Times New Roman" w:eastAsia="Times New Roman" w:hAnsi="Times New Roman"/>
          <w:sz w:val="24"/>
          <w:szCs w:val="24"/>
          <w:vertAlign w:val="subscript"/>
        </w:rPr>
        <w:t xml:space="preserve">A</w:t>
      </w:r>
      <w:r>
        <w:rPr>
          <w:rFonts w:ascii="Times New Roman" w:cs="Times New Roman" w:eastAsia="Times New Roman" w:hAnsi="Times New Roman"/>
          <w:sz w:val="24"/>
          <w:szCs w:val="24"/>
        </w:rPr>
        <w:t xml:space="preserve">, φ</w:t>
      </w:r>
      <w:r>
        <w:rPr>
          <w:rFonts w:ascii="Times New Roman" w:cs="Times New Roman" w:eastAsia="Times New Roman" w:hAnsi="Times New Roman"/>
          <w:sz w:val="24"/>
          <w:szCs w:val="24"/>
          <w:vertAlign w:val="subscript"/>
        </w:rPr>
        <w:t xml:space="preserve">B</w:t>
      </w:r>
      <w:r>
        <w:rPr>
          <w:rFonts w:ascii="Times New Roman" w:cs="Times New Roman" w:eastAsia="Times New Roman" w:hAnsi="Times New Roman"/>
          <w:sz w:val="24"/>
          <w:szCs w:val="24"/>
        </w:rPr>
        <w:t xml:space="preserve">) = −E</w:t>
      </w:r>
      <w:r>
        <w:rPr>
          <w:rFonts w:ascii="Times New Roman" w:cs="Times New Roman" w:eastAsia="Times New Roman" w:hAnsi="Times New Roman"/>
          <w:sz w:val="24"/>
          <w:szCs w:val="24"/>
          <w:vertAlign w:val="subscript"/>
        </w:rPr>
        <w:t xml:space="preserve">J,A</w:t>
      </w:r>
      <w:r>
        <w:rPr>
          <w:rFonts w:ascii="Times New Roman" w:cs="Times New Roman" w:eastAsia="Times New Roman" w:hAnsi="Times New Roman"/>
          <w:sz w:val="24"/>
          <w:szCs w:val="24"/>
        </w:rPr>
        <w:t xml:space="preserve"> cos φ</w:t>
      </w:r>
      <w:r>
        <w:rPr>
          <w:rFonts w:ascii="Times New Roman" w:cs="Times New Roman" w:eastAsia="Times New Roman" w:hAnsi="Times New Roman"/>
          <w:sz w:val="24"/>
          <w:szCs w:val="24"/>
          <w:vertAlign w:val="subscript"/>
        </w:rPr>
        <w:t xml:space="preserve">A</w:t>
      </w:r>
      <w:r>
        <w:rPr>
          <w:rFonts w:ascii="Times New Roman" w:cs="Times New Roman" w:eastAsia="Times New Roman" w:hAnsi="Times New Roman"/>
          <w:sz w:val="24"/>
          <w:szCs w:val="24"/>
        </w:rPr>
        <w:t xml:space="preserve"> − E</w:t>
      </w:r>
      <w:r>
        <w:rPr>
          <w:rFonts w:ascii="Times New Roman" w:cs="Times New Roman" w:eastAsia="Times New Roman" w:hAnsi="Times New Roman"/>
          <w:sz w:val="24"/>
          <w:szCs w:val="24"/>
          <w:vertAlign w:val="subscript"/>
        </w:rPr>
        <w:t xml:space="preserve">J,B</w:t>
      </w:r>
      <w:r>
        <w:rPr>
          <w:rFonts w:ascii="Times New Roman" w:cs="Times New Roman" w:eastAsia="Times New Roman" w:hAnsi="Times New Roman"/>
          <w:sz w:val="24"/>
          <w:szCs w:val="24"/>
        </w:rPr>
        <w:t xml:space="preserve"> cos φ</w:t>
      </w:r>
      <w:r>
        <w:rPr>
          <w:rFonts w:ascii="Times New Roman" w:cs="Times New Roman" w:eastAsia="Times New Roman" w:hAnsi="Times New Roman"/>
          <w:sz w:val="24"/>
          <w:szCs w:val="24"/>
          <w:vertAlign w:val="subscript"/>
        </w:rPr>
        <w:t xml:space="preserve">B</w:t>
      </w:r>
      <w:r>
        <w:rPr>
          <w:rFonts w:ascii="Times New Roman" w:cs="Times New Roman" w:eastAsia="Times New Roman" w:hAnsi="Times New Roman"/>
          <w:sz w:val="24"/>
          <w:szCs w:val="24"/>
        </w:rPr>
        <w:t xml:space="preserve"> − E</w:t>
      </w:r>
      <w:r>
        <w:rPr>
          <w:rFonts w:ascii="Times New Roman" w:cs="Times New Roman" w:eastAsia="Times New Roman" w:hAnsi="Times New Roman"/>
          <w:sz w:val="24"/>
          <w:szCs w:val="24"/>
          <w:vertAlign w:val="subscript"/>
        </w:rPr>
        <w:t xml:space="preserve">J,c</w:t>
      </w:r>
      <w:r>
        <w:rPr>
          <w:rFonts w:ascii="Times New Roman" w:cs="Times New Roman" w:eastAsia="Times New Roman" w:hAnsi="Times New Roman"/>
          <w:sz w:val="24"/>
          <w:szCs w:val="24"/>
        </w:rPr>
        <w:t xml:space="preserve"> cos(φ</w:t>
      </w:r>
      <w:r>
        <w:rPr>
          <w:rFonts w:ascii="Times New Roman" w:cs="Times New Roman" w:eastAsia="Times New Roman" w:hAnsi="Times New Roman"/>
          <w:sz w:val="24"/>
          <w:szCs w:val="24"/>
          <w:vertAlign w:val="subscript"/>
        </w:rPr>
        <w:t xml:space="preserve">A</w:t>
      </w:r>
      <w:r>
        <w:rPr>
          <w:rFonts w:ascii="Times New Roman" w:cs="Times New Roman" w:eastAsia="Times New Roman" w:hAnsi="Times New Roman"/>
          <w:sz w:val="24"/>
          <w:szCs w:val="24"/>
        </w:rPr>
        <w:t xml:space="preserve"> − φ</w:t>
      </w:r>
      <w:r>
        <w:rPr>
          <w:rFonts w:ascii="Times New Roman" w:cs="Times New Roman" w:eastAsia="Times New Roman" w:hAnsi="Times New Roman"/>
          <w:sz w:val="24"/>
          <w:szCs w:val="24"/>
          <w:vertAlign w:val="subscript"/>
        </w:rPr>
        <w:t xml:space="preserve">B</w:t>
      </w:r>
      <w:r>
        <w:rPr>
          <w:rFonts w:ascii="Times New Roman" w:cs="Times New Roman" w:eastAsia="Times New Roman" w:hAnsi="Times New Roman"/>
          <w:sz w:val="24"/>
          <w:szCs w:val="24"/>
        </w:rPr>
        <w:t xml:space="preserve">)</w:t>
      </w:r>
    </w:p>
    <w:p>
      <w:pPr>
        <w:spacing w:after="200" w:line="276"/>
        <w:ind w:firstLine="360"/>
        <w:jc w:val="both"/>
      </w:pPr>
      <w:r>
        <w:rPr>
          <w:rFonts w:ascii="Times New Roman" w:cs="Times New Roman" w:eastAsia="Times New Roman" w:hAnsi="Times New Roman"/>
          <w:sz w:val="24"/>
          <w:szCs w:val="24"/>
        </w:rPr>
        <w:t xml:space="preserve">where E</w:t>
      </w:r>
      <w:r>
        <w:rPr>
          <w:rFonts w:ascii="Times New Roman" w:cs="Times New Roman" w:eastAsia="Times New Roman" w:hAnsi="Times New Roman"/>
          <w:sz w:val="24"/>
          <w:szCs w:val="24"/>
          <w:vertAlign w:val="subscript"/>
        </w:rPr>
        <w:t xml:space="preserve">J,A</w:t>
      </w:r>
      <w:r>
        <w:rPr>
          <w:rFonts w:ascii="Times New Roman" w:cs="Times New Roman" w:eastAsia="Times New Roman" w:hAnsi="Times New Roman"/>
          <w:sz w:val="24"/>
          <w:szCs w:val="24"/>
        </w:rPr>
        <w:t xml:space="preserve">, E</w:t>
      </w:r>
      <w:r>
        <w:rPr>
          <w:rFonts w:ascii="Times New Roman" w:cs="Times New Roman" w:eastAsia="Times New Roman" w:hAnsi="Times New Roman"/>
          <w:sz w:val="24"/>
          <w:szCs w:val="24"/>
          <w:vertAlign w:val="subscript"/>
        </w:rPr>
        <w:t xml:space="preserve">J,B</w:t>
      </w:r>
      <w:r>
        <w:rPr>
          <w:rFonts w:ascii="Times New Roman" w:cs="Times New Roman" w:eastAsia="Times New Roman" w:hAnsi="Times New Roman"/>
          <w:sz w:val="24"/>
          <w:szCs w:val="24"/>
        </w:rPr>
        <w:t xml:space="preserve"> are the Josephson energies of each qubit and E</w:t>
      </w:r>
      <w:r>
        <w:rPr>
          <w:rFonts w:ascii="Times New Roman" w:cs="Times New Roman" w:eastAsia="Times New Roman" w:hAnsi="Times New Roman"/>
          <w:sz w:val="24"/>
          <w:szCs w:val="24"/>
          <w:vertAlign w:val="subscript"/>
        </w:rPr>
        <w:t xml:space="preserve">J,c</w:t>
      </w:r>
      <w:r>
        <w:rPr>
          <w:rFonts w:ascii="Times New Roman" w:cs="Times New Roman" w:eastAsia="Times New Roman" w:hAnsi="Times New Roman"/>
          <w:sz w:val="24"/>
          <w:szCs w:val="24"/>
        </w:rPr>
        <w:t xml:space="preserve"> is the coupling energy. We define the effective quantum scale ℏ</w:t>
      </w:r>
      <w:r>
        <w:rPr>
          <w:rFonts w:ascii="Times New Roman" w:cs="Times New Roman" w:eastAsia="Times New Roman" w:hAnsi="Times New Roman"/>
          <w:sz w:val="24"/>
          <w:szCs w:val="24"/>
          <w:vertAlign w:val="subscript"/>
        </w:rPr>
        <w:t xml:space="preserve">eff</w:t>
      </w:r>
      <w:r>
        <w:rPr>
          <w:rFonts w:ascii="Times New Roman" w:cs="Times New Roman" w:eastAsia="Times New Roman" w:hAnsi="Times New Roman"/>
          <w:sz w:val="24"/>
          <w:szCs w:val="24"/>
        </w:rPr>
        <w:t xml:space="preserve"> = (8E</w:t>
      </w:r>
      <w:r>
        <w:rPr>
          <w:rFonts w:ascii="Times New Roman" w:cs="Times New Roman" w:eastAsia="Times New Roman" w:hAnsi="Times New Roman"/>
          <w:sz w:val="24"/>
          <w:szCs w:val="24"/>
          <w:vertAlign w:val="subscript"/>
        </w:rPr>
        <w:t xml:space="preserve">C,A</w:t>
      </w:r>
      <w:r>
        <w:rPr>
          <w:rFonts w:ascii="Times New Roman" w:cs="Times New Roman" w:eastAsia="Times New Roman" w:hAnsi="Times New Roman"/>
          <w:sz w:val="24"/>
          <w:szCs w:val="24"/>
        </w:rPr>
        <w:t xml:space="preserve">/E</w:t>
      </w:r>
      <w:r>
        <w:rPr>
          <w:rFonts w:ascii="Times New Roman" w:cs="Times New Roman" w:eastAsia="Times New Roman" w:hAnsi="Times New Roman"/>
          <w:sz w:val="24"/>
          <w:szCs w:val="24"/>
          <w:vertAlign w:val="subscript"/>
        </w:rPr>
        <w:t xml:space="preserve">J,A</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vertAlign w:val="superscript"/>
        </w:rPr>
        <w:t xml:space="preserve">1/4</w:t>
      </w:r>
      <w:r>
        <w:rPr>
          <w:rFonts w:ascii="Times New Roman" w:cs="Times New Roman" w:eastAsia="Times New Roman" w:hAnsi="Times New Roman"/>
          <w:sz w:val="24"/>
          <w:szCs w:val="24"/>
        </w:rPr>
        <w:t xml:space="preserve">(8E</w:t>
      </w:r>
      <w:r>
        <w:rPr>
          <w:rFonts w:ascii="Times New Roman" w:cs="Times New Roman" w:eastAsia="Times New Roman" w:hAnsi="Times New Roman"/>
          <w:sz w:val="24"/>
          <w:szCs w:val="24"/>
          <w:vertAlign w:val="subscript"/>
        </w:rPr>
        <w:t xml:space="preserve">C,B</w:t>
      </w:r>
      <w:r>
        <w:rPr>
          <w:rFonts w:ascii="Times New Roman" w:cs="Times New Roman" w:eastAsia="Times New Roman" w:hAnsi="Times New Roman"/>
          <w:sz w:val="24"/>
          <w:szCs w:val="24"/>
        </w:rPr>
        <w:t xml:space="preserve">/E</w:t>
      </w:r>
      <w:r>
        <w:rPr>
          <w:rFonts w:ascii="Times New Roman" w:cs="Times New Roman" w:eastAsia="Times New Roman" w:hAnsi="Times New Roman"/>
          <w:sz w:val="24"/>
          <w:szCs w:val="24"/>
          <w:vertAlign w:val="subscript"/>
        </w:rPr>
        <w:t xml:space="preserve">J,B</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vertAlign w:val="superscript"/>
        </w:rPr>
        <w:t xml:space="preserve">1/4</w:t>
      </w:r>
      <w:r>
        <w:rPr>
          <w:rFonts w:ascii="Times New Roman" w:cs="Times New Roman" w:eastAsia="Times New Roman" w:hAnsi="Times New Roman"/>
          <w:sz w:val="24"/>
          <w:szCs w:val="24"/>
        </w:rPr>
        <w:t xml:space="preserve">, where E</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 = |α| is the charging energy extracted from the anharmonicity.</w:t>
      </w:r>
    </w:p>
    <w:p>
      <w:pPr>
        <w:spacing w:after="200" w:line="276"/>
        <w:ind w:firstLine="360"/>
        <w:jc w:val="both"/>
      </w:pPr>
      <w:r>
        <w:rPr>
          <w:rFonts w:ascii="Times New Roman" w:cs="Times New Roman" w:eastAsia="Times New Roman" w:hAnsi="Times New Roman"/>
          <w:sz w:val="24"/>
          <w:szCs w:val="24"/>
        </w:rPr>
        <w:t xml:space="preserve">The Witten superpotential is W = Φ/ℏ</w:t>
      </w:r>
      <w:r>
        <w:rPr>
          <w:rFonts w:ascii="Times New Roman" w:cs="Times New Roman" w:eastAsia="Times New Roman" w:hAnsi="Times New Roman"/>
          <w:sz w:val="24"/>
          <w:szCs w:val="24"/>
          <w:vertAlign w:val="subscript"/>
        </w:rPr>
        <w:t xml:space="preserve">eff</w:t>
      </w:r>
      <w:r>
        <w:rPr>
          <w:rFonts w:ascii="Times New Roman" w:cs="Times New Roman" w:eastAsia="Times New Roman" w:hAnsi="Times New Roman"/>
          <w:sz w:val="24"/>
          <w:szCs w:val="24"/>
        </w:rPr>
        <w:t xml:space="preserve">. The Witten Laplacian acting on 0-forms (scalar functions) is:</w:t>
      </w:r>
    </w:p>
    <w:p>
      <w:pPr>
        <w:spacing w:after="200" w:line="276"/>
        <w:jc w:val="center"/>
      </w:pPr>
      <w:r>
        <w:rPr>
          <w:rFonts w:ascii="Times New Roman" w:cs="Times New Roman" w:eastAsia="Times New Roman" w:hAnsi="Times New Roman"/>
          <w:sz w:val="24"/>
          <w:szCs w:val="24"/>
        </w:rPr>
        <w:t xml:space="preserve">    H</w:t>
      </w:r>
      <w:r>
        <w:rPr>
          <w:rFonts w:ascii="Times New Roman" w:cs="Times New Roman" w:eastAsia="Times New Roman" w:hAnsi="Times New Roman"/>
          <w:sz w:val="24"/>
          <w:szCs w:val="24"/>
          <w:vertAlign w:val="subscript"/>
        </w:rPr>
        <w:t xml:space="preserve">W</w:t>
      </w:r>
      <w:r>
        <w:rPr>
          <w:rFonts w:ascii="Times New Roman" w:cs="Times New Roman" w:eastAsia="Times New Roman" w:hAnsi="Times New Roman"/>
          <w:sz w:val="24"/>
          <w:szCs w:val="24"/>
        </w:rPr>
        <w:t xml:space="preserve"> = −Δ + |∇W|</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 ΔW</w:t>
      </w:r>
    </w:p>
    <w:p>
      <w:pPr>
        <w:spacing w:after="200" w:line="276"/>
        <w:ind w:firstLine="360"/>
        <w:jc w:val="both"/>
      </w:pPr>
      <w:r>
        <w:rPr>
          <w:rFonts w:ascii="Times New Roman" w:cs="Times New Roman" w:eastAsia="Times New Roman" w:hAnsi="Times New Roman"/>
          <w:sz w:val="24"/>
          <w:szCs w:val="24"/>
        </w:rPr>
        <w:t xml:space="preserve">This is a Schrödinger-type operator with an effective potential V</w:t>
      </w:r>
      <w:r>
        <w:rPr>
          <w:rFonts w:ascii="Times New Roman" w:cs="Times New Roman" w:eastAsia="Times New Roman" w:hAnsi="Times New Roman"/>
          <w:sz w:val="24"/>
          <w:szCs w:val="24"/>
          <w:vertAlign w:val="subscript"/>
        </w:rPr>
        <w:t xml:space="preserve">eff</w:t>
      </w:r>
      <w:r>
        <w:rPr>
          <w:rFonts w:ascii="Times New Roman" w:cs="Times New Roman" w:eastAsia="Times New Roman" w:hAnsi="Times New Roman"/>
          <w:sz w:val="24"/>
          <w:szCs w:val="24"/>
        </w:rPr>
        <w:t xml:space="preserve"> = |∇W|</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 ΔW that encodes both the steepness and curvature of the Josephson landscape. By construction, H</w:t>
      </w:r>
      <w:r>
        <w:rPr>
          <w:rFonts w:ascii="Times New Roman" w:cs="Times New Roman" w:eastAsia="Times New Roman" w:hAnsi="Times New Roman"/>
          <w:sz w:val="24"/>
          <w:szCs w:val="24"/>
          <w:vertAlign w:val="subscript"/>
        </w:rPr>
        <w:t xml:space="preserve">W</w:t>
      </w:r>
      <w:r>
        <w:rPr>
          <w:rFonts w:ascii="Times New Roman" w:cs="Times New Roman" w:eastAsia="Times New Roman" w:hAnsi="Times New Roman"/>
          <w:sz w:val="24"/>
          <w:szCs w:val="24"/>
        </w:rPr>
        <w:t xml:space="preserve"> ≥ 0 with equality at the ground state ψ</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 e</w:t>
      </w:r>
      <w:r>
        <w:rPr>
          <w:rFonts w:ascii="Times New Roman" w:cs="Times New Roman" w:eastAsia="Times New Roman" w:hAnsi="Times New Roman"/>
          <w:sz w:val="24"/>
          <w:szCs w:val="24"/>
          <w:vertAlign w:val="superscript"/>
        </w:rPr>
        <w:t xml:space="preserve">−W</w:t>
      </w:r>
      <w:r>
        <w:rPr>
          <w:rFonts w:ascii="Times New Roman" w:cs="Times New Roman" w:eastAsia="Times New Roman" w:hAnsi="Times New Roman"/>
          <w:sz w:val="24"/>
          <w:szCs w:val="24"/>
        </w:rPr>
        <w:t xml:space="preserve">, ensuring a well-defined spectral theory.</w:t>
      </w:r>
    </w:p>
    <w:p>
      <w:pPr>
        <w:pStyle w:val="Heading2"/>
        <w:spacing w:after="160" w:before="280"/>
      </w:pPr>
      <w:r>
        <w:rPr>
          <w:rFonts w:ascii="Times New Roman" w:cs="Times New Roman" w:eastAsia="Times New Roman" w:hAnsi="Times New Roman"/>
          <w:b/>
          <w:bCs/>
          <w:sz w:val="26"/>
          <w:szCs w:val="26"/>
        </w:rPr>
        <w:t xml:space="preserve">B. Numerical Implementation</w:t>
      </w:r>
    </w:p>
    <w:p>
      <w:pPr>
        <w:spacing w:after="200" w:line="276"/>
        <w:ind w:firstLine="360"/>
        <w:jc w:val="both"/>
      </w:pPr>
      <w:r>
        <w:rPr>
          <w:rFonts w:ascii="Times New Roman" w:cs="Times New Roman" w:eastAsia="Times New Roman" w:hAnsi="Times New Roman"/>
          <w:sz w:val="24"/>
          <w:szCs w:val="24"/>
        </w:rPr>
        <w:t xml:space="preserve">We discretize T</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on an N × N periodic grid (N = 32) with spacing dφ = 2π/N. The Laplacian uses the standard 5-point stencil with periodic boundary conditions. The effective potential V</w:t>
      </w:r>
      <w:r>
        <w:rPr>
          <w:rFonts w:ascii="Times New Roman" w:cs="Times New Roman" w:eastAsia="Times New Roman" w:hAnsi="Times New Roman"/>
          <w:sz w:val="24"/>
          <w:szCs w:val="24"/>
          <w:vertAlign w:val="subscript"/>
        </w:rPr>
        <w:t xml:space="preserve">eff</w:t>
      </w:r>
      <w:r>
        <w:rPr>
          <w:rFonts w:ascii="Times New Roman" w:cs="Times New Roman" w:eastAsia="Times New Roman" w:hAnsi="Times New Roman"/>
          <w:sz w:val="24"/>
          <w:szCs w:val="24"/>
        </w:rPr>
        <w:t xml:space="preserve"> is computed analytically at each grid point. The resulting sparse matrix (1024 × 1024) is diagonalized via ARPACK (scipy.sparse.linalg.eigsh) for the lowest 10 eigenvalues. Grid convergence was verified against N = 48 and N = 64 computations, with eigenvalue changes below 0.1% for the first 10 levels.</w:t>
      </w:r>
    </w:p>
    <w:p>
      <w:pPr>
        <w:pStyle w:val="Heading2"/>
        <w:spacing w:after="160" w:before="280"/>
      </w:pPr>
      <w:r>
        <w:rPr>
          <w:rFonts w:ascii="Times New Roman" w:cs="Times New Roman" w:eastAsia="Times New Roman" w:hAnsi="Times New Roman"/>
          <w:b/>
          <w:bCs/>
          <w:sz w:val="26"/>
          <w:szCs w:val="26"/>
        </w:rPr>
        <w:t xml:space="preserve">C. Data</w:t>
      </w:r>
    </w:p>
    <w:p>
      <w:pPr>
        <w:spacing w:after="200" w:line="276"/>
        <w:ind w:firstLine="360"/>
        <w:jc w:val="both"/>
      </w:pPr>
      <w:r>
        <w:rPr>
          <w:rFonts w:ascii="Times New Roman" w:cs="Times New Roman" w:eastAsia="Times New Roman" w:hAnsi="Times New Roman"/>
          <w:sz w:val="24"/>
          <w:szCs w:val="24"/>
        </w:rPr>
        <w:t xml:space="preserve">We extract qubit calibration data from six IBM Quantum processors via the Qiskit FakeProvider, which contains real calibration snapshots: Sherbrooke, Brisbane, Osaka, Kawasaki, Kyiv, and Quebec. For each processor, we identify all ECR (echoed cross-resonance) gate pairs, extract qubit frequencies f</w:t>
      </w:r>
      <w:r>
        <w:rPr>
          <w:rFonts w:ascii="Times New Roman" w:cs="Times New Roman" w:eastAsia="Times New Roman" w:hAnsi="Times New Roman"/>
          <w:sz w:val="24"/>
          <w:szCs w:val="24"/>
          <w:vertAlign w:val="subscript"/>
        </w:rPr>
        <w:t xml:space="preserve">01</w:t>
      </w:r>
      <w:r>
        <w:rPr>
          <w:rFonts w:ascii="Times New Roman" w:cs="Times New Roman" w:eastAsia="Times New Roman" w:hAnsi="Times New Roman"/>
          <w:sz w:val="24"/>
          <w:szCs w:val="24"/>
        </w:rPr>
        <w:t xml:space="preserve"> and anharmonicities α from the properties API, compute E</w:t>
      </w:r>
      <w:r>
        <w:rPr>
          <w:rFonts w:ascii="Times New Roman" w:cs="Times New Roman" w:eastAsia="Times New Roman" w:hAnsi="Times New Roman"/>
          <w:sz w:val="24"/>
          <w:szCs w:val="24"/>
          <w:vertAlign w:val="subscript"/>
        </w:rPr>
        <w:t xml:space="preserve">J</w:t>
      </w:r>
      <w:r>
        <w:rPr>
          <w:rFonts w:ascii="Times New Roman" w:cs="Times New Roman" w:eastAsia="Times New Roman" w:hAnsi="Times New Roman"/>
          <w:sz w:val="24"/>
          <w:szCs w:val="24"/>
        </w:rPr>
        <w:t xml:space="preserve"> = (f</w:t>
      </w:r>
      <w:r>
        <w:rPr>
          <w:rFonts w:ascii="Times New Roman" w:cs="Times New Roman" w:eastAsia="Times New Roman" w:hAnsi="Times New Roman"/>
          <w:sz w:val="24"/>
          <w:szCs w:val="24"/>
          <w:vertAlign w:val="subscript"/>
        </w:rPr>
        <w:t xml:space="preserve">01</w:t>
      </w:r>
      <w:r>
        <w:rPr>
          <w:rFonts w:ascii="Times New Roman" w:cs="Times New Roman" w:eastAsia="Times New Roman" w:hAnsi="Times New Roman"/>
          <w:sz w:val="24"/>
          <w:szCs w:val="24"/>
        </w:rPr>
        <w:t xml:space="preserve"> + E</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/(8E</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 from Koch et al. [5], and construct H</w:t>
      </w:r>
      <w:r>
        <w:rPr>
          <w:rFonts w:ascii="Times New Roman" w:cs="Times New Roman" w:eastAsia="Times New Roman" w:hAnsi="Times New Roman"/>
          <w:sz w:val="24"/>
          <w:szCs w:val="24"/>
          <w:vertAlign w:val="subscript"/>
        </w:rPr>
        <w:t xml:space="preserve">W</w:t>
      </w:r>
      <w:r>
        <w:rPr>
          <w:rFonts w:ascii="Times New Roman" w:cs="Times New Roman" w:eastAsia="Times New Roman" w:hAnsi="Times New Roman"/>
          <w:sz w:val="24"/>
          <w:szCs w:val="24"/>
        </w:rPr>
        <w:t xml:space="preserve"> for each of the 772 valid qubit pairs. The coupling energy E</w:t>
      </w:r>
      <w:r>
        <w:rPr>
          <w:rFonts w:ascii="Times New Roman" w:cs="Times New Roman" w:eastAsia="Times New Roman" w:hAnsi="Times New Roman"/>
          <w:sz w:val="24"/>
          <w:szCs w:val="24"/>
          <w:vertAlign w:val="subscript"/>
        </w:rPr>
        <w:t xml:space="preserve">J,c</w:t>
      </w:r>
      <w:r>
        <w:rPr>
          <w:rFonts w:ascii="Times New Roman" w:cs="Times New Roman" w:eastAsia="Times New Roman" w:hAnsi="Times New Roman"/>
          <w:sz w:val="24"/>
          <w:szCs w:val="24"/>
        </w:rPr>
        <w:t xml:space="preserve"> = 5 MHz is fixed (not available in public calibration data), a limitation we address in Section V.</w:t>
      </w:r>
    </w:p>
    <w:p>
      <w:pPr>
        <w:pStyle w:val="Heading1"/>
        <w:spacing w:after="200" w:before="360"/>
      </w:pPr>
      <w:r>
        <w:rPr>
          <w:rFonts w:ascii="Times New Roman" w:cs="Times New Roman" w:eastAsia="Times New Roman" w:hAnsi="Times New Roman"/>
          <w:b/>
          <w:bCs/>
          <w:sz w:val="28"/>
          <w:szCs w:val="28"/>
        </w:rPr>
        <w:t xml:space="preserve">III. Results</w:t>
      </w:r>
    </w:p>
    <w:p>
      <w:pPr>
        <w:pStyle w:val="Heading2"/>
        <w:spacing w:after="160" w:before="280"/>
      </w:pPr>
      <w:r>
        <w:rPr>
          <w:rFonts w:ascii="Times New Roman" w:cs="Times New Roman" w:eastAsia="Times New Roman" w:hAnsi="Times New Roman"/>
          <w:b/>
          <w:bCs/>
          <w:sz w:val="26"/>
          <w:szCs w:val="26"/>
        </w:rPr>
        <w:t xml:space="preserve">A. Spectral Universality</w:t>
      </w:r>
    </w:p>
    <w:p>
      <w:pPr>
        <w:spacing w:after="200" w:line="276"/>
        <w:ind w:firstLine="360"/>
        <w:jc w:val="both"/>
      </w:pPr>
      <w:r>
        <w:rPr>
          <w:rFonts w:ascii="Times New Roman" w:cs="Times New Roman" w:eastAsia="Times New Roman" w:hAnsi="Times New Roman"/>
          <w:sz w:val="24"/>
          <w:szCs w:val="24"/>
        </w:rPr>
        <w:t xml:space="preserve">For each qubit pair, we compute the rescaled eigenvalue ratios r</w:t>
      </w:r>
      <w:r>
        <w:rPr>
          <w:rFonts w:ascii="Times New Roman" w:cs="Times New Roman" w:eastAsia="Times New Roman" w:hAnsi="Times New Roman"/>
          <w:sz w:val="24"/>
          <w:szCs w:val="24"/>
          <w:vertAlign w:val="subscript"/>
        </w:rPr>
        <w:t xml:space="preserve">n</w:t>
      </w:r>
      <w:r>
        <w:rPr>
          <w:rFonts w:ascii="Times New Roman" w:cs="Times New Roman" w:eastAsia="Times New Roman" w:hAnsi="Times New Roman"/>
          <w:sz w:val="24"/>
          <w:szCs w:val="24"/>
        </w:rPr>
        <w:t xml:space="preserve"> = (λ</w:t>
      </w:r>
      <w:r>
        <w:rPr>
          <w:rFonts w:ascii="Times New Roman" w:cs="Times New Roman" w:eastAsia="Times New Roman" w:hAnsi="Times New Roman"/>
          <w:sz w:val="24"/>
          <w:szCs w:val="24"/>
          <w:vertAlign w:val="subscript"/>
        </w:rPr>
        <w:t xml:space="preserve">n</w:t>
      </w:r>
      <w:r>
        <w:rPr>
          <w:rFonts w:ascii="Times New Roman" w:cs="Times New Roman" w:eastAsia="Times New Roman" w:hAnsi="Times New Roman"/>
          <w:sz w:val="24"/>
          <w:szCs w:val="24"/>
        </w:rPr>
        <w:t xml:space="preserve"> − λ</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)/(λ</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 λ</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If the Witten spectrum carries no universal structure, these ratios should vary freely across pairs and processors. Instead, we find remarkable collapse. After mild outlier removal (Z(β = 1) &lt; 100, removing 82 pairs dominated by Kawasaki’s extreme E</w:t>
      </w:r>
      <w:r>
        <w:rPr>
          <w:rFonts w:ascii="Times New Roman" w:cs="Times New Roman" w:eastAsia="Times New Roman" w:hAnsi="Times New Roman"/>
          <w:sz w:val="24"/>
          <w:szCs w:val="24"/>
          <w:vertAlign w:val="subscript"/>
        </w:rPr>
        <w:t xml:space="preserve">J</w:t>
      </w:r>
      <w:r>
        <w:rPr>
          <w:rFonts w:ascii="Times New Roman" w:cs="Times New Roman" w:eastAsia="Times New Roman" w:hAnsi="Times New Roman"/>
          <w:sz w:val="24"/>
          <w:szCs w:val="24"/>
        </w:rPr>
        <w:t xml:space="preserve">/E</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 regime, see Section IV), the per-processor averages of r</w:t>
      </w:r>
      <w:r>
        <w:rPr>
          <w:rFonts w:ascii="Times New Roman" w:cs="Times New Roman" w:eastAsia="Times New Roman" w:hAnsi="Times New Roman"/>
          <w:sz w:val="24"/>
          <w:szCs w:val="24"/>
          <w:vertAlign w:val="subscript"/>
        </w:rPr>
        <w:t xml:space="preserve">n</w:t>
      </w:r>
      <w:r>
        <w:rPr>
          <w:rFonts w:ascii="Times New Roman" w:cs="Times New Roman" w:eastAsia="Times New Roman" w:hAnsi="Times New Roman"/>
          <w:sz w:val="24"/>
          <w:szCs w:val="24"/>
        </w:rPr>
        <w:t xml:space="preserve"> agree to within: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Level n</w:t>
            </w:r>
          </w:p>
        </w:tc>
        <w:tc>
          <w:tcPr>
            <w:tcW w:type="dxa" w:w="15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2</w:t>
            </w:r>
          </w:p>
        </w:tc>
        <w:tc>
          <w:tcPr>
            <w:tcW w:type="dxa" w:w="15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3</w:t>
            </w:r>
          </w:p>
        </w:tc>
        <w:tc>
          <w:tcPr>
            <w:tcW w:type="dxa" w:w="15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4</w:t>
            </w:r>
          </w:p>
        </w:tc>
        <w:tc>
          <w:tcPr>
            <w:tcW w:type="dxa" w:w="15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7</w:t>
            </w:r>
          </w:p>
        </w:tc>
        <w:tc>
          <w:tcPr>
            <w:tcW w:type="dxa" w:w="15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8</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rₙ (mean)</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1.052</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1.124</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1.187</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2.051</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2.104</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 std</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0.004</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0.007</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0.007</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0.004</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0.007</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CV</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0.4%</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0.6%</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0.6%</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0.2%</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0.3%</w:t>
            </w:r>
          </w:p>
        </w:tc>
      </w:tr>
    </w:tbl>
    <w:p>
      <w:pPr>
        <w:spacing w:after="300" w:line="276"/>
        <w:jc w:val="both"/>
      </w:pPr>
      <w:r>
        <w:rPr>
          <w:rFonts w:ascii="Times New Roman" w:cs="Times New Roman" w:eastAsia="Times New Roman" w:hAnsi="Times New Roman"/>
          <w:b/>
          <w:bCs/>
          <w:sz w:val="24"/>
          <w:szCs w:val="24"/>
        </w:rPr>
        <w:t xml:space="preserve">Table I. </w:t>
      </w:r>
      <w:r>
        <w:rPr>
          <w:rFonts w:ascii="Times New Roman" w:cs="Times New Roman" w:eastAsia="Times New Roman" w:hAnsi="Times New Roman"/>
          <w:i/>
          <w:iCs/>
          <w:sz w:val="24"/>
          <w:szCs w:val="24"/>
        </w:rPr>
        <w:t xml:space="preserve">Universal rescaled eigenvalue ratios of H</w:t>
      </w:r>
      <w:r>
        <w:rPr>
          <w:rFonts w:ascii="Times New Roman" w:cs="Times New Roman" w:eastAsia="Times New Roman" w:hAnsi="Times New Roman"/>
          <w:i/>
          <w:iCs/>
          <w:sz w:val="24"/>
          <w:szCs w:val="24"/>
          <w:vertAlign w:val="subscript"/>
        </w:rPr>
        <w:t xml:space="preserve">W</w:t>
      </w:r>
      <w:r>
        <w:rPr>
          <w:rFonts w:ascii="Times New Roman" w:cs="Times New Roman" w:eastAsia="Times New Roman" w:hAnsi="Times New Roman"/>
          <w:i/>
          <w:iCs/>
          <w:sz w:val="24"/>
          <w:szCs w:val="24"/>
        </w:rPr>
        <w:t xml:space="preserve"> across six IBM processors (690 pairs after cleaning). Levels n = 5, 6 show higher CV (≈4%) consistent with a near-degeneracy that splits differently across processors.</w:t>
      </w:r>
    </w:p>
    <w:p>
      <w:pPr>
        <w:spacing w:after="200" w:line="276"/>
        <w:ind w:firstLine="360"/>
        <w:jc w:val="both"/>
      </w:pPr>
      <w:r>
        <w:rPr>
          <w:rFonts w:ascii="Times New Roman" w:cs="Times New Roman" w:eastAsia="Times New Roman" w:hAnsi="Times New Roman"/>
          <w:sz w:val="24"/>
          <w:szCs w:val="24"/>
        </w:rPr>
        <w:t xml:space="preserve">The overall coefficient of variation is CV = 0.014 across all levels n ≥ 2. Removing Kawasaki entirely (5 processors, 639 pairs) improves this to CV = 0.009. The spectral ratios are processor-independent at the sub-percent level for most eigenvalues, indicating that the Witten Laplacian on T</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with transmon parameters possesses a universal spectral structure.</w:t>
      </w:r>
    </w:p>
    <w:p>
      <w:pPr>
        <w:pStyle w:val="Heading2"/>
        <w:spacing w:after="160" w:before="280"/>
      </w:pPr>
      <w:r>
        <w:rPr>
          <w:rFonts w:ascii="Times New Roman" w:cs="Times New Roman" w:eastAsia="Times New Roman" w:hAnsi="Times New Roman"/>
          <w:b/>
          <w:bCs/>
          <w:sz w:val="26"/>
          <w:szCs w:val="26"/>
        </w:rPr>
        <w:t xml:space="preserve">B. Orthogonal Information Content</w:t>
      </w:r>
    </w:p>
    <w:p>
      <w:pPr>
        <w:spacing w:after="200" w:line="276"/>
        <w:ind w:firstLine="360"/>
        <w:jc w:val="both"/>
      </w:pPr>
      <w:r>
        <w:rPr>
          <w:rFonts w:ascii="Times New Roman" w:cs="Times New Roman" w:eastAsia="Times New Roman" w:hAnsi="Times New Roman"/>
          <w:sz w:val="24"/>
          <w:szCs w:val="24"/>
        </w:rPr>
        <w:t xml:space="preserve">The heat kernel trace Z(β) = Σ</w:t>
      </w:r>
      <w:r>
        <w:rPr>
          <w:rFonts w:ascii="Times New Roman" w:cs="Times New Roman" w:eastAsia="Times New Roman" w:hAnsi="Times New Roman"/>
          <w:sz w:val="24"/>
          <w:szCs w:val="24"/>
          <w:vertAlign w:val="subscript"/>
        </w:rPr>
        <w:t xml:space="preserve">n</w:t>
      </w:r>
      <w:r>
        <w:rPr>
          <w:rFonts w:ascii="Times New Roman" w:cs="Times New Roman" w:eastAsia="Times New Roman" w:hAnsi="Times New Roman"/>
          <w:sz w:val="24"/>
          <w:szCs w:val="24"/>
        </w:rPr>
        <w:t xml:space="preserve"> e</w:t>
      </w:r>
      <w:r>
        <w:rPr>
          <w:rFonts w:ascii="Times New Roman" w:cs="Times New Roman" w:eastAsia="Times New Roman" w:hAnsi="Times New Roman"/>
          <w:sz w:val="24"/>
          <w:szCs w:val="24"/>
          <w:vertAlign w:val="superscript"/>
        </w:rPr>
        <w:t xml:space="preserve">−βλ</w:t>
      </w:r>
      <w:r>
        <w:rPr>
          <w:rFonts w:ascii="Times New Roman" w:cs="Times New Roman" w:eastAsia="Times New Roman" w:hAnsi="Times New Roman"/>
          <w:sz w:val="24"/>
          <w:szCs w:val="24"/>
          <w:vertAlign w:val="subscript"/>
        </w:rPr>
        <w:t xml:space="preserve">n</w:t>
      </w:r>
      <w:r>
        <w:rPr>
          <w:rFonts w:ascii="Times New Roman" w:cs="Times New Roman" w:eastAsia="Times New Roman" w:hAnsi="Times New Roman"/>
          <w:sz w:val="24"/>
          <w:szCs w:val="24"/>
        </w:rPr>
        <w:t xml:space="preserve"> provides a one-parameter family of spectral observables. We find that Z(β = 0.05) correlates with ECR gate duration at r = −0.22, while the raw energy ratio R</w:t>
      </w:r>
      <w:r>
        <w:rPr>
          <w:rFonts w:ascii="Times New Roman" w:cs="Times New Roman" w:eastAsia="Times New Roman" w:hAnsi="Times New Roman"/>
          <w:sz w:val="24"/>
          <w:szCs w:val="24"/>
          <w:vertAlign w:val="subscript"/>
        </w:rPr>
        <w:t xml:space="preserve">ij</w:t>
      </w:r>
      <w:r>
        <w:rPr>
          <w:rFonts w:ascii="Times New Roman" w:cs="Times New Roman" w:eastAsia="Times New Roman" w:hAnsi="Times New Roman"/>
          <w:sz w:val="24"/>
          <w:szCs w:val="24"/>
        </w:rPr>
        <w:t xml:space="preserve"> = √(E</w:t>
      </w:r>
      <w:r>
        <w:rPr>
          <w:rFonts w:ascii="Times New Roman" w:cs="Times New Roman" w:eastAsia="Times New Roman" w:hAnsi="Times New Roman"/>
          <w:sz w:val="24"/>
          <w:szCs w:val="24"/>
          <w:vertAlign w:val="subscript"/>
        </w:rPr>
        <w:t xml:space="preserve">J,A</w:t>
      </w:r>
      <w:r>
        <w:rPr>
          <w:rFonts w:ascii="Times New Roman" w:cs="Times New Roman" w:eastAsia="Times New Roman" w:hAnsi="Times New Roman"/>
          <w:sz w:val="24"/>
          <w:szCs w:val="24"/>
        </w:rPr>
        <w:t xml:space="preserve">/E</w:t>
      </w:r>
      <w:r>
        <w:rPr>
          <w:rFonts w:ascii="Times New Roman" w:cs="Times New Roman" w:eastAsia="Times New Roman" w:hAnsi="Times New Roman"/>
          <w:sz w:val="24"/>
          <w:szCs w:val="24"/>
          <w:vertAlign w:val="subscript"/>
        </w:rPr>
        <w:t xml:space="preserve">J,B</w:t>
      </w:r>
      <w:r>
        <w:rPr>
          <w:rFonts w:ascii="Times New Roman" w:cs="Times New Roman" w:eastAsia="Times New Roman" w:hAnsi="Times New Roman"/>
          <w:sz w:val="24"/>
          <w:szCs w:val="24"/>
        </w:rPr>
        <w:t xml:space="preserve">) yields r = −0.008—a 28× amplification of predictive signal.</w:t>
      </w:r>
    </w:p>
    <w:p>
      <w:pPr>
        <w:spacing w:after="200" w:line="276"/>
        <w:ind w:firstLine="360"/>
        <w:jc w:val="both"/>
      </w:pPr>
      <w:r>
        <w:rPr>
          <w:rFonts w:ascii="Times New Roman" w:cs="Times New Roman" w:eastAsia="Times New Roman" w:hAnsi="Times New Roman"/>
          <w:sz w:val="24"/>
          <w:szCs w:val="24"/>
        </w:rPr>
        <w:t xml:space="preserve">To establish that this signal is genuinely new—not merely a re-encoding of raw parameters in a different basis—we perform a residual analysis. We first fit a Ridge regression (α = 1.0) of gate duration on all 10 available raw features (f</w:t>
      </w:r>
      <w:r>
        <w:rPr>
          <w:rFonts w:ascii="Times New Roman" w:cs="Times New Roman" w:eastAsia="Times New Roman" w:hAnsi="Times New Roman"/>
          <w:sz w:val="24"/>
          <w:szCs w:val="24"/>
          <w:vertAlign w:val="subscript"/>
        </w:rPr>
        <w:t xml:space="preserve">A</w:t>
      </w:r>
      <w:r>
        <w:rPr>
          <w:rFonts w:ascii="Times New Roman" w:cs="Times New Roman" w:eastAsia="Times New Roman" w:hAnsi="Times New Roman"/>
          <w:sz w:val="24"/>
          <w:szCs w:val="24"/>
        </w:rPr>
        <w:t xml:space="preserve">, f</w:t>
      </w:r>
      <w:r>
        <w:rPr>
          <w:rFonts w:ascii="Times New Roman" w:cs="Times New Roman" w:eastAsia="Times New Roman" w:hAnsi="Times New Roman"/>
          <w:sz w:val="24"/>
          <w:szCs w:val="24"/>
          <w:vertAlign w:val="subscript"/>
        </w:rPr>
        <w:t xml:space="preserve">B</w:t>
      </w:r>
      <w:r>
        <w:rPr>
          <w:rFonts w:ascii="Times New Roman" w:cs="Times New Roman" w:eastAsia="Times New Roman" w:hAnsi="Times New Roman"/>
          <w:sz w:val="24"/>
          <w:szCs w:val="24"/>
        </w:rPr>
        <w:t xml:space="preserve">, E</w:t>
      </w:r>
      <w:r>
        <w:rPr>
          <w:rFonts w:ascii="Times New Roman" w:cs="Times New Roman" w:eastAsia="Times New Roman" w:hAnsi="Times New Roman"/>
          <w:sz w:val="24"/>
          <w:szCs w:val="24"/>
          <w:vertAlign w:val="subscript"/>
        </w:rPr>
        <w:t xml:space="preserve">J,A</w:t>
      </w:r>
      <w:r>
        <w:rPr>
          <w:rFonts w:ascii="Times New Roman" w:cs="Times New Roman" w:eastAsia="Times New Roman" w:hAnsi="Times New Roman"/>
          <w:sz w:val="24"/>
          <w:szCs w:val="24"/>
        </w:rPr>
        <w:t xml:space="preserve">, E</w:t>
      </w:r>
      <w:r>
        <w:rPr>
          <w:rFonts w:ascii="Times New Roman" w:cs="Times New Roman" w:eastAsia="Times New Roman" w:hAnsi="Times New Roman"/>
          <w:sz w:val="24"/>
          <w:szCs w:val="24"/>
          <w:vertAlign w:val="subscript"/>
        </w:rPr>
        <w:t xml:space="preserve">J,B</w:t>
      </w:r>
      <w:r>
        <w:rPr>
          <w:rFonts w:ascii="Times New Roman" w:cs="Times New Roman" w:eastAsia="Times New Roman" w:hAnsi="Times New Roman"/>
          <w:sz w:val="24"/>
          <w:szCs w:val="24"/>
        </w:rPr>
        <w:t xml:space="preserve">, E</w:t>
      </w:r>
      <w:r>
        <w:rPr>
          <w:rFonts w:ascii="Times New Roman" w:cs="Times New Roman" w:eastAsia="Times New Roman" w:hAnsi="Times New Roman"/>
          <w:sz w:val="24"/>
          <w:szCs w:val="24"/>
          <w:vertAlign w:val="subscript"/>
        </w:rPr>
        <w:t xml:space="preserve">C,A</w:t>
      </w:r>
      <w:r>
        <w:rPr>
          <w:rFonts w:ascii="Times New Roman" w:cs="Times New Roman" w:eastAsia="Times New Roman" w:hAnsi="Times New Roman"/>
          <w:sz w:val="24"/>
          <w:szCs w:val="24"/>
        </w:rPr>
        <w:t xml:space="preserve">, E</w:t>
      </w:r>
      <w:r>
        <w:rPr>
          <w:rFonts w:ascii="Times New Roman" w:cs="Times New Roman" w:eastAsia="Times New Roman" w:hAnsi="Times New Roman"/>
          <w:sz w:val="24"/>
          <w:szCs w:val="24"/>
          <w:vertAlign w:val="subscript"/>
        </w:rPr>
        <w:t xml:space="preserve">C,B</w:t>
      </w:r>
      <w:r>
        <w:rPr>
          <w:rFonts w:ascii="Times New Roman" w:cs="Times New Roman" w:eastAsia="Times New Roman" w:hAnsi="Times New Roman"/>
          <w:sz w:val="24"/>
          <w:szCs w:val="24"/>
        </w:rPr>
        <w:t xml:space="preserve">, Δf, Σf, R</w:t>
      </w:r>
      <w:r>
        <w:rPr>
          <w:rFonts w:ascii="Times New Roman" w:cs="Times New Roman" w:eastAsia="Times New Roman" w:hAnsi="Times New Roman"/>
          <w:sz w:val="24"/>
          <w:szCs w:val="24"/>
          <w:vertAlign w:val="subscript"/>
        </w:rPr>
        <w:t xml:space="preserve">ij</w:t>
      </w:r>
      <w:r>
        <w:rPr>
          <w:rFonts w:ascii="Times New Roman" w:cs="Times New Roman" w:eastAsia="Times New Roman" w:hAnsi="Times New Roman"/>
          <w:sz w:val="24"/>
          <w:szCs w:val="24"/>
        </w:rPr>
        <w:t xml:space="preserve">, √(E</w:t>
      </w:r>
      <w:r>
        <w:rPr>
          <w:rFonts w:ascii="Times New Roman" w:cs="Times New Roman" w:eastAsia="Times New Roman" w:hAnsi="Times New Roman"/>
          <w:sz w:val="24"/>
          <w:szCs w:val="24"/>
          <w:vertAlign w:val="subscript"/>
        </w:rPr>
        <w:t xml:space="preserve">J,A</w:t>
      </w:r>
      <w:r>
        <w:rPr>
          <w:rFonts w:ascii="Times New Roman" w:cs="Times New Roman" w:eastAsia="Times New Roman" w:hAnsi="Times New Roman"/>
          <w:sz w:val="24"/>
          <w:szCs w:val="24"/>
        </w:rPr>
        <w:t xml:space="preserve">·E</w:t>
      </w:r>
      <w:r>
        <w:rPr>
          <w:rFonts w:ascii="Times New Roman" w:cs="Times New Roman" w:eastAsia="Times New Roman" w:hAnsi="Times New Roman"/>
          <w:sz w:val="24"/>
          <w:szCs w:val="24"/>
          <w:vertAlign w:val="subscript"/>
        </w:rPr>
        <w:t xml:space="preserve">J,B</w:t>
      </w:r>
      <w:r>
        <w:rPr>
          <w:rFonts w:ascii="Times New Roman" w:cs="Times New Roman" w:eastAsia="Times New Roman" w:hAnsi="Times New Roman"/>
          <w:sz w:val="24"/>
          <w:szCs w:val="24"/>
        </w:rPr>
        <w:t xml:space="preserve">)) on a 60% training split. We then regress the 8 Witten spectral features against the residuals of this raw model on the held-out 40%.</w:t>
      </w:r>
    </w:p>
    <w:p>
      <w:pPr>
        <w:spacing w:after="200" w:line="276"/>
        <w:ind w:firstLine="360"/>
        <w:jc w:val="both"/>
      </w:pPr>
      <w:r>
        <w:rPr>
          <w:rFonts w:ascii="Times New Roman" w:cs="Times New Roman" w:eastAsia="Times New Roman" w:hAnsi="Times New Roman"/>
          <w:sz w:val="24"/>
          <w:szCs w:val="24"/>
        </w:rPr>
        <w:t xml:space="preserve">Result: r = 0.205 (p = 6.2 × 10</w:t>
      </w:r>
      <w:r>
        <w:rPr>
          <w:rFonts w:ascii="Times New Roman" w:cs="Times New Roman" w:eastAsia="Times New Roman" w:hAnsi="Times New Roman"/>
          <w:sz w:val="24"/>
          <w:szCs w:val="24"/>
          <w:vertAlign w:val="superscript"/>
        </w:rPr>
        <w:t xml:space="preserve">−4</w:t>
      </w:r>
      <w:r>
        <w:rPr>
          <w:rFonts w:ascii="Times New Roman" w:cs="Times New Roman" w:eastAsia="Times New Roman" w:hAnsi="Times New Roman"/>
          <w:sz w:val="24"/>
          <w:szCs w:val="24"/>
        </w:rPr>
        <w:t xml:space="preserve">). The Witten spectral transform captures 4.2% of residual variance that is strictly orthogonal to all raw calibration information. This is the central result of this paper: the spectral transform is not a filter of known parameters, but a probe of structure invisible to standard characterization.</w:t>
      </w:r>
    </w:p>
    <w:p>
      <w:pPr>
        <w:spacing w:after="200" w:line="276"/>
        <w:ind w:firstLine="360"/>
        <w:jc w:val="both"/>
      </w:pPr>
      <w:r>
        <w:rPr>
          <w:rFonts w:ascii="Times New Roman" w:cs="Times New Roman" w:eastAsia="Times New Roman" w:hAnsi="Times New Roman"/>
          <w:sz w:val="24"/>
          <w:szCs w:val="24"/>
        </w:rPr>
        <w:t xml:space="preserve">In a systematic 5-fold cross-validated benchmark (Table II), Witten spectral features (8 features, R</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 0.134) outperform raw features (10 features, R</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 0.097), PCA (R</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 0.086), polynomial Koopman lifting (R</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 0.114), and all single-parameter baselines. Only kernel PCA with a tuned RBF kernel achieves comparable performance (R</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 0.151), but without physical interpretability.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Method</w:t>
            </w:r>
          </w:p>
        </w:tc>
        <w:tc>
          <w:tcPr>
            <w:tcW w:type="dxa" w:w="234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R² (5-fold CV)</w:t>
            </w:r>
          </w:p>
        </w:tc>
        <w:tc>
          <w:tcPr>
            <w:tcW w:type="dxa" w:w="234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 Std</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KernelPCA(γ=0.1) on raw</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+0.151</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0.062</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Raw + Witten combined (18)</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+0.146</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0.050</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Witten spectral (8 features)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+0.134</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0.046</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Koopman (poly² + PCA)</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+0.114</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0.016</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Raw features (10)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+0.097</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0.043</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PCA-5 (raw)</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+0.086</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0.046</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sum(f) alone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+0.080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0.035</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R_ij alone (CST baseline)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−0.008</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0.006</w:t>
            </w:r>
          </w:p>
        </w:tc>
      </w:tr>
    </w:tbl>
    <w:p>
      <w:pPr>
        <w:spacing w:after="300" w:line="276"/>
        <w:jc w:val="both"/>
      </w:pPr>
      <w:r>
        <w:rPr>
          <w:rFonts w:ascii="Times New Roman" w:cs="Times New Roman" w:eastAsia="Times New Roman" w:hAnsi="Times New Roman"/>
          <w:b/>
          <w:bCs/>
          <w:sz w:val="24"/>
          <w:szCs w:val="24"/>
        </w:rPr>
        <w:t xml:space="preserve">Table II. </w:t>
      </w:r>
      <w:r>
        <w:rPr>
          <w:rFonts w:ascii="Times New Roman" w:cs="Times New Roman" w:eastAsia="Times New Roman" w:hAnsi="Times New Roman"/>
          <w:i/>
          <w:iCs/>
          <w:sz w:val="24"/>
          <w:szCs w:val="24"/>
        </w:rPr>
        <w:t xml:space="preserve">5-fold cross-validated benchmark for ECR gate-length prediction. Ridge regression (α = 1.0), 690 qubit pairs after cleaning. The Witten spectral features outperform all physics-based alternatives with fewer parameters.</w:t>
      </w:r>
    </w:p>
    <w:p>
      <w:pPr>
        <w:pStyle w:val="Heading2"/>
        <w:spacing w:after="160" w:before="280"/>
      </w:pPr>
      <w:r>
        <w:rPr>
          <w:rFonts w:ascii="Times New Roman" w:cs="Times New Roman" w:eastAsia="Times New Roman" w:hAnsi="Times New Roman"/>
          <w:b/>
          <w:bCs/>
          <w:sz w:val="26"/>
          <w:szCs w:val="26"/>
        </w:rPr>
        <w:t xml:space="preserve">C. Inter-Processor Coherence Sensing</w:t>
      </w:r>
    </w:p>
    <w:p>
      <w:pPr>
        <w:spacing w:after="200" w:line="276"/>
        <w:ind w:firstLine="360"/>
        <w:jc w:val="both"/>
      </w:pPr>
      <w:r>
        <w:rPr>
          <w:rFonts w:ascii="Times New Roman" w:cs="Times New Roman" w:eastAsia="Times New Roman" w:hAnsi="Times New Roman"/>
          <w:sz w:val="24"/>
          <w:szCs w:val="24"/>
        </w:rPr>
        <w:t xml:space="preserve">We define the relative Witten index between processors i and j as ν</w:t>
      </w:r>
      <w:r>
        <w:rPr>
          <w:rFonts w:ascii="Times New Roman" w:cs="Times New Roman" w:eastAsia="Times New Roman" w:hAnsi="Times New Roman"/>
          <w:sz w:val="24"/>
          <w:szCs w:val="24"/>
          <w:vertAlign w:val="subscript"/>
        </w:rPr>
        <w:t xml:space="preserve">ij</w:t>
      </w:r>
      <w:r>
        <w:rPr>
          <w:rFonts w:ascii="Times New Roman" w:cs="Times New Roman" w:eastAsia="Times New Roman" w:hAnsi="Times New Roman"/>
          <w:sz w:val="24"/>
          <w:szCs w:val="24"/>
        </w:rPr>
        <w:t xml:space="preserve">(β) = ⟨Z</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(β)⟩ − ⟨Z</w:t>
      </w:r>
      <w:r>
        <w:rPr>
          <w:rFonts w:ascii="Times New Roman" w:cs="Times New Roman" w:eastAsia="Times New Roman" w:hAnsi="Times New Roman"/>
          <w:sz w:val="24"/>
          <w:szCs w:val="24"/>
          <w:vertAlign w:val="subscript"/>
        </w:rPr>
        <w:t xml:space="preserve">J</w:t>
      </w:r>
      <w:r>
        <w:rPr>
          <w:rFonts w:ascii="Times New Roman" w:cs="Times New Roman" w:eastAsia="Times New Roman" w:hAnsi="Times New Roman"/>
          <w:sz w:val="24"/>
          <w:szCs w:val="24"/>
        </w:rPr>
        <w:t xml:space="preserve">(β)⟩, where the average is over all valid qubit pairs on each processor. This quantity measures the spectral “distance” between processors as seen through the Witten Laplacian.</w:t>
      </w:r>
    </w:p>
    <w:p>
      <w:pPr>
        <w:spacing w:after="200" w:line="276"/>
        <w:ind w:firstLine="360"/>
        <w:jc w:val="both"/>
      </w:pPr>
      <w:r>
        <w:rPr>
          <w:rFonts w:ascii="Times New Roman" w:cs="Times New Roman" w:eastAsia="Times New Roman" w:hAnsi="Times New Roman"/>
          <w:sz w:val="24"/>
          <w:szCs w:val="24"/>
        </w:rPr>
        <w:t xml:space="preserve">Despite the small sample (15 processor pairs from 6 backends), ν</w:t>
      </w:r>
      <w:r>
        <w:rPr>
          <w:rFonts w:ascii="Times New Roman" w:cs="Times New Roman" w:eastAsia="Times New Roman" w:hAnsi="Times New Roman"/>
          <w:sz w:val="24"/>
          <w:szCs w:val="24"/>
          <w:vertAlign w:val="subscript"/>
        </w:rPr>
        <w:t xml:space="preserve">ij</w:t>
      </w:r>
      <w:r>
        <w:rPr>
          <w:rFonts w:ascii="Times New Roman" w:cs="Times New Roman" w:eastAsia="Times New Roman" w:hAnsi="Times New Roman"/>
          <w:sz w:val="24"/>
          <w:szCs w:val="24"/>
        </w:rPr>
        <w:t xml:space="preserve">(β = 0.1) correlates with the difference in mean T</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relaxation times at Spearman ρ = −0.76. The correlation with gate-error differences is ρ = −0.66. Critically, ν</w:t>
      </w:r>
      <w:r>
        <w:rPr>
          <w:rFonts w:ascii="Times New Roman" w:cs="Times New Roman" w:eastAsia="Times New Roman" w:hAnsi="Times New Roman"/>
          <w:sz w:val="24"/>
          <w:szCs w:val="24"/>
          <w:vertAlign w:val="subscript"/>
        </w:rPr>
        <w:t xml:space="preserve">ij</w:t>
      </w:r>
      <w:r>
        <w:rPr>
          <w:rFonts w:ascii="Times New Roman" w:cs="Times New Roman" w:eastAsia="Times New Roman" w:hAnsi="Times New Roman"/>
          <w:sz w:val="24"/>
          <w:szCs w:val="24"/>
        </w:rPr>
        <w:t xml:space="preserve"> does not correlate with gate-length differences (ρ ≈ 0), which is physically consistent: gate durations are set by IBM’s calibration protocol, whereas T</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reflects the intrinsic energy relaxation of the hardware—a quantity determined by materials and fabrication, not software.</w:t>
      </w:r>
    </w:p>
    <w:p>
      <w:pPr>
        <w:spacing w:after="200" w:line="276"/>
        <w:ind w:firstLine="360"/>
        <w:jc w:val="both"/>
      </w:pPr>
      <w:r>
        <w:rPr>
          <w:rFonts w:ascii="Times New Roman" w:cs="Times New Roman" w:eastAsia="Times New Roman" w:hAnsi="Times New Roman"/>
          <w:sz w:val="24"/>
          <w:szCs w:val="24"/>
        </w:rPr>
        <w:t xml:space="preserve">This distinction is informative. The Witten index appears to sense the “physiological” state of the hardware (coherence times) rather than its “firmware” (calibrated gate parameters). If confirmed on a larger sample of processors, ν</w:t>
      </w:r>
      <w:r>
        <w:rPr>
          <w:rFonts w:ascii="Times New Roman" w:cs="Times New Roman" w:eastAsia="Times New Roman" w:hAnsi="Times New Roman"/>
          <w:sz w:val="24"/>
          <w:szCs w:val="24"/>
          <w:vertAlign w:val="subscript"/>
        </w:rPr>
        <w:t xml:space="preserve">ij</w:t>
      </w:r>
      <w:r>
        <w:rPr>
          <w:rFonts w:ascii="Times New Roman" w:cs="Times New Roman" w:eastAsia="Times New Roman" w:hAnsi="Times New Roman"/>
          <w:sz w:val="24"/>
          <w:szCs w:val="24"/>
        </w:rPr>
        <w:t xml:space="preserve"> could serve as a device-agnostic spectral signature for hardware quality assessment.</w:t>
      </w:r>
    </w:p>
    <w:p>
      <w:pPr>
        <w:pStyle w:val="Heading1"/>
        <w:spacing w:after="200" w:before="360"/>
      </w:pPr>
      <w:r>
        <w:rPr>
          <w:rFonts w:ascii="Times New Roman" w:cs="Times New Roman" w:eastAsia="Times New Roman" w:hAnsi="Times New Roman"/>
          <w:b/>
          <w:bCs/>
          <w:sz w:val="28"/>
          <w:szCs w:val="28"/>
        </w:rPr>
        <w:t xml:space="preserve">IV. Semiclassical Phase Boundary</w:t>
      </w:r>
    </w:p>
    <w:p>
      <w:pPr>
        <w:spacing w:after="200" w:line="276"/>
        <w:ind w:firstLine="360"/>
        <w:jc w:val="both"/>
      </w:pPr>
      <w:r>
        <w:rPr>
          <w:rFonts w:ascii="Times New Roman" w:cs="Times New Roman" w:eastAsia="Times New Roman" w:hAnsi="Times New Roman"/>
          <w:sz w:val="24"/>
          <w:szCs w:val="24"/>
        </w:rPr>
        <w:t xml:space="preserve">The Kawasaki processor contains qubit pairs with E</w:t>
      </w:r>
      <w:r>
        <w:rPr>
          <w:rFonts w:ascii="Times New Roman" w:cs="Times New Roman" w:eastAsia="Times New Roman" w:hAnsi="Times New Roman"/>
          <w:sz w:val="24"/>
          <w:szCs w:val="24"/>
          <w:vertAlign w:val="subscript"/>
        </w:rPr>
        <w:t xml:space="preserve">J</w:t>
      </w:r>
      <w:r>
        <w:rPr>
          <w:rFonts w:ascii="Times New Roman" w:cs="Times New Roman" w:eastAsia="Times New Roman" w:hAnsi="Times New Roman"/>
          <w:sz w:val="24"/>
          <w:szCs w:val="24"/>
        </w:rPr>
        <w:t xml:space="preserve">/E</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 ratios reaching 87—substantially higher than the typical range of 30–50 on other processors. For these pairs, ℏ</w:t>
      </w:r>
      <w:r>
        <w:rPr>
          <w:rFonts w:ascii="Times New Roman" w:cs="Times New Roman" w:eastAsia="Times New Roman" w:hAnsi="Times New Roman"/>
          <w:sz w:val="24"/>
          <w:szCs w:val="24"/>
          <w:vertAlign w:val="subscript"/>
        </w:rPr>
        <w:t xml:space="preserve">eff</w:t>
      </w:r>
      <w:r>
        <w:rPr>
          <w:rFonts w:ascii="Times New Roman" w:cs="Times New Roman" w:eastAsia="Times New Roman" w:hAnsi="Times New Roman"/>
          <w:sz w:val="24"/>
          <w:szCs w:val="24"/>
        </w:rPr>
        <w:t xml:space="preserve"> drops below 0.42, and Z(β = 1) diverges by up to three orders of magnitude (max Z = 10</w:t>
      </w:r>
      <w:r>
        <w:rPr>
          <w:rFonts w:ascii="Times New Roman" w:cs="Times New Roman" w:eastAsia="Times New Roman" w:hAnsi="Times New Roman"/>
          <w:sz w:val="24"/>
          <w:szCs w:val="24"/>
          <w:vertAlign w:val="superscript"/>
        </w:rPr>
        <w:t xml:space="preserve">6</w:t>
      </w:r>
      <w:r>
        <w:rPr>
          <w:rFonts w:ascii="Times New Roman" w:cs="Times New Roman" w:eastAsia="Times New Roman" w:hAnsi="Times New Roman"/>
          <w:sz w:val="24"/>
          <w:szCs w:val="24"/>
        </w:rPr>
        <w:t xml:space="preserve">).</w:t>
      </w:r>
    </w:p>
    <w:p>
      <w:pPr>
        <w:spacing w:after="200" w:line="276"/>
        <w:ind w:firstLine="360"/>
        <w:jc w:val="both"/>
      </w:pPr>
      <w:r>
        <w:rPr>
          <w:rFonts w:ascii="Times New Roman" w:cs="Times New Roman" w:eastAsia="Times New Roman" w:hAnsi="Times New Roman"/>
          <w:sz w:val="24"/>
          <w:szCs w:val="24"/>
        </w:rPr>
        <w:t xml:space="preserve">This is not an artifact. The divergence follows a smooth, monotonic gradient across 20 bins in ℏ</w:t>
      </w:r>
      <w:r>
        <w:rPr>
          <w:rFonts w:ascii="Times New Roman" w:cs="Times New Roman" w:eastAsia="Times New Roman" w:hAnsi="Times New Roman"/>
          <w:sz w:val="24"/>
          <w:szCs w:val="24"/>
          <w:vertAlign w:val="subscript"/>
        </w:rPr>
        <w:t xml:space="preserve">eff</w:t>
      </w:r>
      <w:r>
        <w:rPr>
          <w:rFonts w:ascii="Times New Roman" w:cs="Times New Roman" w:eastAsia="Times New Roman" w:hAnsi="Times New Roman"/>
          <w:sz w:val="24"/>
          <w:szCs w:val="24"/>
        </w:rPr>
        <w:t xml:space="preserve"> space, with peak variance in log</w:t>
      </w:r>
      <w:r>
        <w:rPr>
          <w:rFonts w:ascii="Times New Roman" w:cs="Times New Roman" w:eastAsia="Times New Roman" w:hAnsi="Times New Roman"/>
          <w:sz w:val="24"/>
          <w:szCs w:val="24"/>
          <w:vertAlign w:val="subscript"/>
        </w:rPr>
        <w:t xml:space="preserve">10</w:t>
      </w:r>
      <w:r>
        <w:rPr>
          <w:rFonts w:ascii="Times New Roman" w:cs="Times New Roman" w:eastAsia="Times New Roman" w:hAnsi="Times New Roman"/>
          <w:sz w:val="24"/>
          <w:szCs w:val="24"/>
        </w:rPr>
        <w:t xml:space="preserve">(Z) localizing at ℏ</w:t>
      </w:r>
      <w:r>
        <w:rPr>
          <w:rFonts w:ascii="Times New Roman" w:cs="Times New Roman" w:eastAsia="Times New Roman" w:hAnsi="Times New Roman"/>
          <w:sz w:val="24"/>
          <w:szCs w:val="24"/>
          <w:vertAlign w:val="subscript"/>
        </w:rPr>
        <w:t xml:space="preserve">eff</w:t>
      </w:r>
      <w:r>
        <w:rPr>
          <w:rFonts w:ascii="Times New Roman" w:cs="Times New Roman" w:eastAsia="Times New Roman" w:hAnsi="Times New Roman"/>
          <w:sz w:val="24"/>
          <w:szCs w:val="24"/>
        </w:rPr>
        <w:t xml:space="preserve"> ≈ 0.42. The behavior is consistent with the semiclassical limit of the Witten Laplacian: as ℏ</w:t>
      </w:r>
      <w:r>
        <w:rPr>
          <w:rFonts w:ascii="Times New Roman" w:cs="Times New Roman" w:eastAsia="Times New Roman" w:hAnsi="Times New Roman"/>
          <w:sz w:val="24"/>
          <w:szCs w:val="24"/>
          <w:vertAlign w:val="subscript"/>
        </w:rPr>
        <w:t xml:space="preserve">eff</w:t>
      </w:r>
      <w:r>
        <w:rPr>
          <w:rFonts w:ascii="Times New Roman" w:cs="Times New Roman" w:eastAsia="Times New Roman" w:hAnsi="Times New Roman"/>
          <w:sz w:val="24"/>
          <w:szCs w:val="24"/>
        </w:rPr>
        <w:t xml:space="preserve"> → 0, the potential wells deepen, spectral gaps widen, and the lowest eigenvalues dominate the heat kernel trace exponentially. The ℏ</w:t>
      </w:r>
      <w:r>
        <w:rPr>
          <w:rFonts w:ascii="Times New Roman" w:cs="Times New Roman" w:eastAsia="Times New Roman" w:hAnsi="Times New Roman"/>
          <w:sz w:val="24"/>
          <w:szCs w:val="24"/>
          <w:vertAlign w:val="subscript"/>
        </w:rPr>
        <w:t xml:space="preserve">eff</w:t>
      </w:r>
      <w:r>
        <w:rPr>
          <w:rFonts w:ascii="Times New Roman" w:cs="Times New Roman" w:eastAsia="Times New Roman" w:hAnsi="Times New Roman"/>
          <w:sz w:val="24"/>
          <w:szCs w:val="24"/>
        </w:rPr>
        <w:t xml:space="preserve"> = 0.42 threshold marks the onset of this regime—a phase boundary between the quantum-dominated regime (where spectral universality holds) and the semiclassical regime (where pair-specific potential geometry dominates).</w:t>
      </w:r>
    </w:p>
    <w:p>
      <w:pPr>
        <w:spacing w:after="200" w:line="276"/>
        <w:ind w:firstLine="360"/>
        <w:jc w:val="both"/>
      </w:pPr>
      <w:r>
        <w:rPr>
          <w:rFonts w:ascii="Times New Roman" w:cs="Times New Roman" w:eastAsia="Times New Roman" w:hAnsi="Times New Roman"/>
          <w:sz w:val="24"/>
          <w:szCs w:val="24"/>
        </w:rPr>
        <w:t xml:space="preserve">This observation has practical implications. Qubit pairs operating near or below this threshold may exhibit qualitatively different error behavior, and the Witten spectral signature could serve as an early-warning indicator for pairs approaching the semiclassical boundary.</w:t>
      </w:r>
    </w:p>
    <w:p>
      <w:pPr>
        <w:pStyle w:val="Heading1"/>
        <w:spacing w:after="200" w:before="360"/>
      </w:pPr>
      <w:r>
        <w:rPr>
          <w:rFonts w:ascii="Times New Roman" w:cs="Times New Roman" w:eastAsia="Times New Roman" w:hAnsi="Times New Roman"/>
          <w:b/>
          <w:bCs/>
          <w:sz w:val="28"/>
          <w:szCs w:val="28"/>
        </w:rPr>
        <w:t xml:space="preserve">V. Discussion</w:t>
      </w:r>
    </w:p>
    <w:p>
      <w:pPr>
        <w:spacing w:after="200" w:line="276"/>
        <w:ind w:firstLine="360"/>
        <w:jc w:val="both"/>
      </w:pPr>
      <w:r>
        <w:rPr>
          <w:rFonts w:ascii="Times New Roman" w:cs="Times New Roman" w:eastAsia="Times New Roman" w:hAnsi="Times New Roman"/>
          <w:b/>
          <w:bCs/>
          <w:sz w:val="24"/>
          <w:szCs w:val="24"/>
        </w:rPr>
        <w:t xml:space="preserve">Limitations. </w:t>
      </w:r>
      <w:r>
        <w:rPr>
          <w:rFonts w:ascii="Times New Roman" w:cs="Times New Roman" w:eastAsia="Times New Roman" w:hAnsi="Times New Roman"/>
          <w:sz w:val="24"/>
          <w:szCs w:val="24"/>
        </w:rPr>
        <w:t xml:space="preserve">The coupling energy E</w:t>
      </w:r>
      <w:r>
        <w:rPr>
          <w:rFonts w:ascii="Times New Roman" w:cs="Times New Roman" w:eastAsia="Times New Roman" w:hAnsi="Times New Roman"/>
          <w:sz w:val="24"/>
          <w:szCs w:val="24"/>
          <w:vertAlign w:val="subscript"/>
        </w:rPr>
        <w:t xml:space="preserve">J,c</w:t>
      </w:r>
      <w:r>
        <w:rPr>
          <w:rFonts w:ascii="Times New Roman" w:cs="Times New Roman" w:eastAsia="Times New Roman" w:hAnsi="Times New Roman"/>
          <w:sz w:val="24"/>
          <w:szCs w:val="24"/>
        </w:rPr>
        <w:t xml:space="preserve"> is fixed at 5 MHz for all pairs, as IBM does not publish per-pair coupling data for Eagle processors. The true variation of g across pairs could account for some of the unexplained gate-length variance. Access to measured coupling strengths—available for Heron-class tunable-coupler devices—would enable a definitive test of whether the spectral surplus persists when g is included as a raw feature. The inter-processor analysis (Section III.C) is limited to 15 pairs from 6 backends; larger device populations are needed for statistical confidence.</w:t>
      </w:r>
    </w:p>
    <w:p>
      <w:pPr>
        <w:spacing w:after="200" w:line="276"/>
        <w:ind w:firstLine="360"/>
        <w:jc w:val="both"/>
      </w:pPr>
      <w:r>
        <w:rPr>
          <w:rFonts w:ascii="Times New Roman" w:cs="Times New Roman" w:eastAsia="Times New Roman" w:hAnsi="Times New Roman"/>
          <w:b/>
          <w:bCs/>
          <w:sz w:val="24"/>
          <w:szCs w:val="24"/>
        </w:rPr>
        <w:t xml:space="preserve">Interpretation. </w:t>
      </w:r>
      <w:r>
        <w:rPr>
          <w:rFonts w:ascii="Times New Roman" w:cs="Times New Roman" w:eastAsia="Times New Roman" w:hAnsi="Times New Roman"/>
          <w:sz w:val="24"/>
          <w:szCs w:val="24"/>
        </w:rPr>
        <w:t xml:space="preserve">The Witten Laplacian acts as a multi-scale spectral filter. At small β, Z(β) probes the high-energy modes and is sensitive to local potential curvature. At large β, it is dominated by the ground state and reflects global topology. The fact that Z(β = 0.05) is the best single predictor of gate duration suggests that gate performance is sensitive to the intermediate spectral scale—neither purely local nor purely topological. This is physically plausible: the cross-resonance gate involves resonant driving at frequencies determined by the curvature of the joint potential landscape.</w:t>
      </w:r>
    </w:p>
    <w:p>
      <w:pPr>
        <w:spacing w:after="200" w:line="276"/>
        <w:ind w:firstLine="360"/>
        <w:jc w:val="both"/>
      </w:pPr>
      <w:r>
        <w:rPr>
          <w:rFonts w:ascii="Times New Roman" w:cs="Times New Roman" w:eastAsia="Times New Roman" w:hAnsi="Times New Roman"/>
          <w:b/>
          <w:bCs/>
          <w:sz w:val="24"/>
          <w:szCs w:val="24"/>
        </w:rPr>
        <w:t xml:space="preserve">Toward spectral calibration. </w:t>
      </w:r>
      <w:r>
        <w:rPr>
          <w:rFonts w:ascii="Times New Roman" w:cs="Times New Roman" w:eastAsia="Times New Roman" w:hAnsi="Times New Roman"/>
          <w:sz w:val="24"/>
          <w:szCs w:val="24"/>
        </w:rPr>
        <w:t xml:space="preserve">If the spectral universality reported here extends to dynamical settings (e.g., under flux tuning or driven evolution), it would suggest that quantum device calibration could be reformulated in spectral terms. Instead of tuning individual qubit frequencies and coupling strengths, one would sculpt the spectral shape of H</w:t>
      </w:r>
      <w:r>
        <w:rPr>
          <w:rFonts w:ascii="Times New Roman" w:cs="Times New Roman" w:eastAsia="Times New Roman" w:hAnsi="Times New Roman"/>
          <w:sz w:val="24"/>
          <w:szCs w:val="24"/>
          <w:vertAlign w:val="subscript"/>
        </w:rPr>
        <w:t xml:space="preserve">W</w:t>
      </w:r>
      <w:r>
        <w:rPr>
          <w:rFonts w:ascii="Times New Roman" w:cs="Times New Roman" w:eastAsia="Times New Roman" w:hAnsi="Times New Roman"/>
          <w:sz w:val="24"/>
          <w:szCs w:val="24"/>
        </w:rPr>
        <w:t xml:space="preserve"> toward a target spectrum. The universal ratios in Table I would then serve as reference points for “spectral health” of a quantum processor. We leave this direction for future work.</w:t>
      </w:r>
    </w:p>
    <w:p>
      <w:pPr>
        <w:pStyle w:val="Heading1"/>
        <w:spacing w:after="200" w:before="360"/>
      </w:pPr>
      <w:r>
        <w:rPr>
          <w:rFonts w:ascii="Times New Roman" w:cs="Times New Roman" w:eastAsia="Times New Roman" w:hAnsi="Times New Roman"/>
          <w:b/>
          <w:bCs/>
          <w:sz w:val="28"/>
          <w:szCs w:val="28"/>
        </w:rPr>
        <w:t xml:space="preserve">VI. Conclusion</w:t>
      </w:r>
    </w:p>
    <w:p>
      <w:pPr>
        <w:spacing w:after="200" w:line="276"/>
        <w:ind w:firstLine="360"/>
        <w:jc w:val="both"/>
      </w:pPr>
      <w:r>
        <w:rPr>
          <w:rFonts w:ascii="Times New Roman" w:cs="Times New Roman" w:eastAsia="Times New Roman" w:hAnsi="Times New Roman"/>
          <w:sz w:val="24"/>
          <w:szCs w:val="24"/>
        </w:rPr>
        <w:t xml:space="preserve">We have demonstrated that the Witten Laplacian, constructed from publicly available transmon calibration data, yields a spectral diagnostic with three unexpected properties: cross-processor universality, information content orthogonal to raw parameters, and sensitivity to intrinsic hardware coherence. These properties are established on real IBM Quantum calibration data (772 qubit pairs, 6 processors), with rigorous cross-validation and residual analysis.</w:t>
      </w:r>
    </w:p>
    <w:p>
      <w:pPr>
        <w:spacing w:after="200" w:line="276"/>
        <w:ind w:firstLine="360"/>
        <w:jc w:val="both"/>
      </w:pPr>
      <w:r>
        <w:rPr>
          <w:rFonts w:ascii="Times New Roman" w:cs="Times New Roman" w:eastAsia="Times New Roman" w:hAnsi="Times New Roman"/>
          <w:sz w:val="24"/>
          <w:szCs w:val="24"/>
        </w:rPr>
        <w:t xml:space="preserve">The spectral collapse (CV = 1.4%), the residual signal (r = 0.205, p &lt; 10</w:t>
      </w:r>
      <w:r>
        <w:rPr>
          <w:rFonts w:ascii="Times New Roman" w:cs="Times New Roman" w:eastAsia="Times New Roman" w:hAnsi="Times New Roman"/>
          <w:sz w:val="24"/>
          <w:szCs w:val="24"/>
          <w:vertAlign w:val="superscript"/>
        </w:rPr>
        <w:t xml:space="preserve">−3</w:t>
      </w:r>
      <w:r>
        <w:rPr>
          <w:rFonts w:ascii="Times New Roman" w:cs="Times New Roman" w:eastAsia="Times New Roman" w:hAnsi="Times New Roman"/>
          <w:sz w:val="24"/>
          <w:szCs w:val="24"/>
        </w:rPr>
        <w:t xml:space="preserve">), and the ν</w:t>
      </w:r>
      <w:r>
        <w:rPr>
          <w:rFonts w:ascii="Times New Roman" w:cs="Times New Roman" w:eastAsia="Times New Roman" w:hAnsi="Times New Roman"/>
          <w:sz w:val="24"/>
          <w:szCs w:val="24"/>
          <w:vertAlign w:val="subscript"/>
        </w:rPr>
        <w:t xml:space="preserve">ij</w:t>
      </w:r>
      <w:r>
        <w:rPr>
          <w:rFonts w:ascii="Times New Roman" w:cs="Times New Roman" w:eastAsia="Times New Roman" w:hAnsi="Times New Roman"/>
          <w:sz w:val="24"/>
          <w:szCs w:val="24"/>
        </w:rPr>
        <w:t xml:space="preserve">–T</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correlation (ρ = −0.76) are independent findings that converge on a single conclusion: the configuration-space geometry of coupled transmons, as encoded by the Witten Laplacian, contains physically meaningful structure that standard characterization misses. Whether this structure can be leveraged for improved quantum error mitigation, device benchmarking, or circuit compilation remains to be explored—but the spectral microscope is now built, calibrated, and ready for use.</w:t>
      </w:r>
    </w:p>
    <w:p>
      <w:pPr>
        <w:pStyle w:val="Heading1"/>
        <w:spacing w:after="200" w:before="360"/>
      </w:pPr>
      <w:r>
        <w:rPr>
          <w:rFonts w:ascii="Times New Roman" w:cs="Times New Roman" w:eastAsia="Times New Roman" w:hAnsi="Times New Roman"/>
          <w:b/>
          <w:bCs/>
          <w:sz w:val="28"/>
          <w:szCs w:val="28"/>
        </w:rPr>
        <w:t xml:space="preserve">Acknowledgments</w:t>
      </w:r>
    </w:p>
    <w:p>
      <w:pPr>
        <w:spacing w:after="200" w:line="276"/>
        <w:jc w:val="both"/>
      </w:pPr>
      <w:r>
        <w:rPr>
          <w:rFonts w:ascii="Times New Roman" w:cs="Times New Roman" w:eastAsia="Times New Roman" w:hAnsi="Times New Roman"/>
          <w:sz w:val="24"/>
          <w:szCs w:val="24"/>
        </w:rPr>
        <w:t xml:space="preserve">This work was conducted using IBM Quantum calibration data accessed via the Qiskit FakeProvider. Computations were performed using NumPy, SciPy, and scikit-learn. The spectral analysis framework was developed iteratively with Claude (Anthropic), which contributed to code implementation, statistical methodology, and manuscript preparation. F.D.B. acknowledges the Catalyst AI research program. Code and data are available at </w:t>
      </w:r>
      <w:r>
        <w:rPr>
          <w:rFonts w:ascii="Times New Roman" w:cs="Times New Roman" w:eastAsia="Times New Roman" w:hAnsi="Times New Roman"/>
          <w:color w:val="2E75B6"/>
          <w:sz w:val="24"/>
          <w:szCs w:val="24"/>
        </w:rPr>
        <w:t xml:space="preserve">https://github.com/davidangularme/cst</w:t>
      </w:r>
      <w:r>
        <w:rPr>
          <w:rFonts w:ascii="Times New Roman" w:cs="Times New Roman" w:eastAsia="Times New Roman" w:hAnsi="Times New Roman"/>
          <w:sz w:val="24"/>
          <w:szCs w:val="24"/>
        </w:rPr>
        <w:t xml:space="preserve"> with DOI: 10.5281/zenodo.18776120.</w:t>
      </w:r>
    </w:p>
    <w:p>
      <w:pPr>
        <w:pStyle w:val="Heading1"/>
        <w:spacing w:after="200" w:before="360"/>
      </w:pPr>
      <w:r>
        <w:rPr>
          <w:rFonts w:ascii="Times New Roman" w:cs="Times New Roman" w:eastAsia="Times New Roman" w:hAnsi="Times New Roman"/>
          <w:b/>
          <w:bCs/>
          <w:sz w:val="28"/>
          <w:szCs w:val="28"/>
        </w:rPr>
        <w:t xml:space="preserve">References</w:t>
      </w:r>
    </w:p>
    <w:p>
      <w:pPr>
        <w:spacing w:after="80" w:line="276"/>
        <w:jc w:val="both"/>
      </w:pPr>
      <w:r>
        <w:rPr>
          <w:rFonts w:ascii="Times New Roman" w:cs="Times New Roman" w:eastAsia="Times New Roman" w:hAnsi="Times New Roman"/>
          <w:sz w:val="24"/>
          <w:szCs w:val="24"/>
        </w:rPr>
        <w:t xml:space="preserve">[1] A. Kandala et al., “Hardware-efficient variational quantum eigensolver for small molecules and quantum magnets,” Nature 549, 242 (2017).</w:t>
      </w:r>
    </w:p>
    <w:p>
      <w:pPr>
        <w:spacing w:after="80" w:line="276"/>
        <w:jc w:val="both"/>
      </w:pPr>
      <w:r>
        <w:rPr>
          <w:rFonts w:ascii="Times New Roman" w:cs="Times New Roman" w:eastAsia="Times New Roman" w:hAnsi="Times New Roman"/>
          <w:sz w:val="24"/>
          <w:szCs w:val="24"/>
        </w:rPr>
        <w:t xml:space="preserve">[2] M. Brink et al., “Device challenges for near-term superconducting quantum processors,” PRX Quantum 2, 040338 (2021).</w:t>
      </w:r>
    </w:p>
    <w:p>
      <w:pPr>
        <w:spacing w:after="80" w:line="276"/>
        <w:jc w:val="both"/>
      </w:pPr>
      <w:r>
        <w:rPr>
          <w:rFonts w:ascii="Times New Roman" w:cs="Times New Roman" w:eastAsia="Times New Roman" w:hAnsi="Times New Roman"/>
          <w:sz w:val="24"/>
          <w:szCs w:val="24"/>
        </w:rPr>
        <w:t xml:space="preserve">[3] P. Jurcevic et al., “Demonstration of quantum volume 64 on a superconducting quantum computing system,” Quantum Sci. Technol. 6, 025020 (2021).</w:t>
      </w:r>
    </w:p>
    <w:p>
      <w:pPr>
        <w:spacing w:after="80" w:line="276"/>
        <w:jc w:val="both"/>
      </w:pPr>
      <w:r>
        <w:rPr>
          <w:rFonts w:ascii="Times New Roman" w:cs="Times New Roman" w:eastAsia="Times New Roman" w:hAnsi="Times New Roman"/>
          <w:sz w:val="24"/>
          <w:szCs w:val="24"/>
        </w:rPr>
        <w:t xml:space="preserve">[4] E. Witten, “Supersymmetry and Morse theory,” J. Diff. Geom. 17, 661 (1982).</w:t>
      </w:r>
    </w:p>
    <w:p>
      <w:pPr>
        <w:spacing w:after="80" w:line="276"/>
        <w:jc w:val="both"/>
      </w:pPr>
      <w:r>
        <w:rPr>
          <w:rFonts w:ascii="Times New Roman" w:cs="Times New Roman" w:eastAsia="Times New Roman" w:hAnsi="Times New Roman"/>
          <w:sz w:val="24"/>
          <w:szCs w:val="24"/>
        </w:rPr>
        <w:t xml:space="preserve">[5] J. Koch et al., “Charge-insensitive qubit design derived from the Cooper pair box,” Phys. Rev. A 76, 042319 (2007).</w:t>
      </w:r>
    </w:p>
    <w:p>
      <w:pPr>
        <w:spacing w:after="80" w:line="276"/>
        <w:jc w:val="both"/>
      </w:pPr>
      <w:r>
        <w:rPr>
          <w:rFonts w:ascii="Times New Roman" w:cs="Times New Roman" w:eastAsia="Times New Roman" w:hAnsi="Times New Roman"/>
          <w:sz w:val="24"/>
          <w:szCs w:val="24"/>
        </w:rPr>
        <w:t xml:space="preserve">[6] F. D. Blum, “Configuration Space Temporality: A Geometric Framework for Physics,” v14 (2025). DOI: 10.5281/zenodo.18776120.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2026-02-26T02:30:59.286Z</dcterms:created>
  <dcterms:modified xsi:type="dcterms:W3CDTF">2026-02-26T02:30:59.288Z</dcterms:modified>
</cp:coreProperties>
</file>

<file path=docProps/custom.xml><?xml version="1.0" encoding="utf-8"?>
<Properties xmlns="http://schemas.openxmlformats.org/officeDocument/2006/custom-properties" xmlns:vt="http://schemas.openxmlformats.org/officeDocument/2006/docPropsVTypes"/>
</file>