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5D50F" w14:textId="273E2459" w:rsidR="00135169" w:rsidRDefault="00135169" w:rsidP="006A2984">
      <w:pPr>
        <w:spacing w:after="120" w:line="240" w:lineRule="auto"/>
        <w:outlineLvl w:val="0"/>
        <w:rPr>
          <w:rFonts w:ascii="Arial" w:eastAsia="Times New Roman" w:hAnsi="Arial" w:cs="Times New Roman"/>
          <w:b/>
          <w:bCs/>
          <w:color w:val="1F1F1F"/>
          <w:kern w:val="36"/>
          <w:sz w:val="48"/>
          <w:szCs w:val="48"/>
          <w14:ligatures w14:val="none"/>
        </w:rPr>
      </w:pPr>
      <w:r>
        <w:rPr>
          <w:rFonts w:ascii="Arial" w:eastAsia="Times New Roman" w:hAnsi="Arial" w:cs="Times New Roman"/>
          <w:b/>
          <w:bCs/>
          <w:color w:val="1F1F1F"/>
          <w:kern w:val="36"/>
          <w:sz w:val="48"/>
          <w:szCs w:val="48"/>
          <w14:ligatures w14:val="none"/>
        </w:rPr>
        <w:fldChar w:fldCharType="begin"/>
      </w:r>
      <w:r>
        <w:rPr>
          <w:rFonts w:ascii="Arial" w:eastAsia="Times New Roman" w:hAnsi="Arial" w:cs="Times New Roman"/>
          <w:b/>
          <w:bCs/>
          <w:color w:val="1F1F1F"/>
          <w:kern w:val="36"/>
          <w:sz w:val="48"/>
          <w:szCs w:val="48"/>
          <w14:ligatures w14:val="none"/>
        </w:rPr>
        <w:instrText>HYPERLINK "</w:instrText>
      </w:r>
      <w:r w:rsidRPr="00135169">
        <w:rPr>
          <w:rFonts w:ascii="Arial" w:eastAsia="Times New Roman" w:hAnsi="Arial" w:cs="Times New Roman"/>
          <w:b/>
          <w:bCs/>
          <w:color w:val="1F1F1F"/>
          <w:kern w:val="36"/>
          <w:sz w:val="48"/>
          <w:szCs w:val="48"/>
          <w14:ligatures w14:val="none"/>
        </w:rPr>
        <w:instrText>https://gemini.google.com/share/f186f0a2ed70</w:instrText>
      </w:r>
      <w:r>
        <w:rPr>
          <w:rFonts w:ascii="Arial" w:eastAsia="Times New Roman" w:hAnsi="Arial" w:cs="Times New Roman"/>
          <w:b/>
          <w:bCs/>
          <w:color w:val="1F1F1F"/>
          <w:kern w:val="36"/>
          <w:sz w:val="48"/>
          <w:szCs w:val="48"/>
          <w14:ligatures w14:val="none"/>
        </w:rPr>
        <w:instrText>"</w:instrText>
      </w:r>
      <w:r>
        <w:rPr>
          <w:rFonts w:ascii="Arial" w:eastAsia="Times New Roman" w:hAnsi="Arial" w:cs="Times New Roman"/>
          <w:b/>
          <w:bCs/>
          <w:color w:val="1F1F1F"/>
          <w:kern w:val="36"/>
          <w:sz w:val="48"/>
          <w:szCs w:val="48"/>
          <w14:ligatures w14:val="none"/>
        </w:rPr>
        <w:fldChar w:fldCharType="separate"/>
      </w:r>
      <w:r w:rsidRPr="00F454D5">
        <w:rPr>
          <w:rStyle w:val="Hyperlink"/>
          <w:rFonts w:ascii="Arial" w:eastAsia="Times New Roman" w:hAnsi="Arial" w:cs="Times New Roman"/>
          <w:b/>
          <w:bCs/>
          <w:kern w:val="36"/>
          <w:sz w:val="48"/>
          <w:szCs w:val="48"/>
          <w14:ligatures w14:val="none"/>
        </w:rPr>
        <w:t>htt</w:t>
      </w:r>
      <w:r w:rsidRPr="00F454D5">
        <w:rPr>
          <w:rStyle w:val="Hyperlink"/>
          <w:rFonts w:ascii="Arial" w:eastAsia="Times New Roman" w:hAnsi="Arial" w:cs="Times New Roman"/>
          <w:b/>
          <w:bCs/>
          <w:kern w:val="36"/>
          <w:sz w:val="48"/>
          <w:szCs w:val="48"/>
          <w14:ligatures w14:val="none"/>
        </w:rPr>
        <w:t>p</w:t>
      </w:r>
      <w:r w:rsidRPr="00F454D5">
        <w:rPr>
          <w:rStyle w:val="Hyperlink"/>
          <w:rFonts w:ascii="Arial" w:eastAsia="Times New Roman" w:hAnsi="Arial" w:cs="Times New Roman"/>
          <w:b/>
          <w:bCs/>
          <w:kern w:val="36"/>
          <w:sz w:val="48"/>
          <w:szCs w:val="48"/>
          <w14:ligatures w14:val="none"/>
        </w:rPr>
        <w:t>s://gemini.google.com/share/f186f0a2ed70</w:t>
      </w:r>
      <w:r>
        <w:rPr>
          <w:rFonts w:ascii="Arial" w:eastAsia="Times New Roman" w:hAnsi="Arial" w:cs="Times New Roman"/>
          <w:b/>
          <w:bCs/>
          <w:color w:val="1F1F1F"/>
          <w:kern w:val="36"/>
          <w:sz w:val="48"/>
          <w:szCs w:val="48"/>
          <w14:ligatures w14:val="none"/>
        </w:rPr>
        <w:fldChar w:fldCharType="end"/>
      </w:r>
    </w:p>
    <w:p w14:paraId="4F3D7669" w14:textId="77777777" w:rsidR="00135169" w:rsidRDefault="00135169" w:rsidP="006A2984">
      <w:pPr>
        <w:spacing w:after="120" w:line="240" w:lineRule="auto"/>
        <w:outlineLvl w:val="0"/>
        <w:rPr>
          <w:rFonts w:ascii="Arial" w:eastAsia="Times New Roman" w:hAnsi="Arial" w:cs="Times New Roman"/>
          <w:b/>
          <w:bCs/>
          <w:color w:val="1F1F1F"/>
          <w:kern w:val="36"/>
          <w:sz w:val="48"/>
          <w:szCs w:val="48"/>
          <w14:ligatures w14:val="none"/>
        </w:rPr>
      </w:pPr>
    </w:p>
    <w:p w14:paraId="3B326B42" w14:textId="61E6C2A3" w:rsidR="006A2984" w:rsidRPr="006A2984" w:rsidRDefault="006A2984" w:rsidP="006A2984">
      <w:pPr>
        <w:spacing w:after="120" w:line="240" w:lineRule="auto"/>
        <w:outlineLvl w:val="0"/>
        <w:rPr>
          <w:rFonts w:ascii="Arial" w:eastAsia="Times New Roman" w:hAnsi="Arial" w:cs="Times New Roman"/>
          <w:b/>
          <w:bCs/>
          <w:color w:val="1F1F1F"/>
          <w:kern w:val="36"/>
          <w:sz w:val="48"/>
          <w:szCs w:val="48"/>
          <w14:ligatures w14:val="none"/>
        </w:rPr>
      </w:pPr>
      <w:r w:rsidRPr="006A2984">
        <w:rPr>
          <w:rFonts w:ascii="Arial" w:eastAsia="Times New Roman" w:hAnsi="Arial" w:cs="Times New Roman"/>
          <w:b/>
          <w:bCs/>
          <w:color w:val="1F1F1F"/>
          <w:kern w:val="36"/>
          <w:sz w:val="48"/>
          <w:szCs w:val="48"/>
          <w14:ligatures w14:val="none"/>
        </w:rPr>
        <w:t>Strategic Architecture for Real-World Asset Payout Operations: Resolving the Platform vs. Custodian Dilemma in the Spice Application</w:t>
      </w:r>
    </w:p>
    <w:p w14:paraId="184995DA"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The tokenization of real-world assets (RWAs) represents a profound paradigm shift in modern financial infrastructure, systematically bridging the historical gap between decentralized finance (DeFi) and traditional economic value. As of recent market data, tokenized RWAs have surpassed $26 billion in distributed asset value, with industry projections indicating a near-term trajectory toward $100 billion, supported by an additional $340 billion locked within permissioned institutional systems. Major financial institutions, including BlackRock and Apollo, have transitioned beyond pilot programs to deploy real institutional capital </w:t>
      </w:r>
      <w:proofErr w:type="gramStart"/>
      <w:r w:rsidRPr="006A2984">
        <w:rPr>
          <w:rFonts w:ascii="Arial" w:eastAsia="Times New Roman" w:hAnsi="Arial" w:cs="Times New Roman"/>
          <w:color w:val="1F1F1F"/>
          <w:kern w:val="0"/>
          <w:bdr w:val="none" w:sz="0" w:space="0" w:color="auto" w:frame="1"/>
          <w14:ligatures w14:val="none"/>
        </w:rPr>
        <w:t>on-chain</w:t>
      </w:r>
      <w:proofErr w:type="gramEnd"/>
      <w:r w:rsidRPr="006A2984">
        <w:rPr>
          <w:rFonts w:ascii="Arial" w:eastAsia="Times New Roman" w:hAnsi="Arial" w:cs="Times New Roman"/>
          <w:color w:val="1F1F1F"/>
          <w:kern w:val="0"/>
          <w:bdr w:val="none" w:sz="0" w:space="0" w:color="auto" w:frame="1"/>
          <w14:ligatures w14:val="none"/>
        </w:rPr>
        <w:t xml:space="preserve"> through instruments like BUIDL and ACRED. However, while the public discourse disproportionately focuses on the trillion-dollar total addressable market, fractional ownership, and composability, the operational realities of risk management, legal compliance, and cross-rail settlement remain severely under-addressed. Tokenization does not eliminate the underlying economics of an asset; rather, it wraps traditional economics in a new layer of complexity that sits at the uncomfortable intersection of legacy banking rails and decentralized infrastructure.</w:t>
      </w:r>
    </w:p>
    <w:p w14:paraId="5A067BA0"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For Anansi Technology, the development of the Spice application introduces a critical architectural dilemma regarding the distribution of agricultural surplus yields. In traditional agricultural models, such as that operated by the Grenada Cooperative Nutmeg Association (GCNA), the cooperative receives advance rates for its export of nutmeg and mace, and at the conclusion of the operational year, the difference between these advance rates and the net realized export prices constitutes a financial surplus. In a tokenized RWA ecosystem, this surplus must be routed efficiently to a globally distributed pool of token holders to justify the digital asset's core value proposition.</w:t>
      </w:r>
    </w:p>
    <w:p w14:paraId="45C18224" w14:textId="77777777" w:rsidR="006A2984" w:rsidRPr="006A2984" w:rsidRDefault="006A2984" w:rsidP="006A2984">
      <w:pPr>
        <w:spacing w:after="15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14:ligatures w14:val="none"/>
        </w:rPr>
        <w:t>The fundamental dilemma centers on capital flow and operational liability: Should the custodian (the physical asset manager, such as the GCNA) be responsible for paying out the surplus in cryptocurrency directly to token holders, or should the platform administrator (Anansi Technology) receive fiat currency from the custodian, convert it to a stablecoin such as USD Coin (USDC), and execute the digital distribution? As Anansi projects scaling to encompass 20 different island nations—representing 20 distinct custodial entities, multiple fiat currencies, and fragmented regulatory jurisdictions—the mechanism chosen for distributing this yield becomes the primary constraint on the platform's survival and growth.</w:t>
      </w:r>
    </w:p>
    <w:p w14:paraId="2BAA70D4" w14:textId="77777777" w:rsidR="006A2984" w:rsidRPr="006A2984" w:rsidRDefault="006A2984" w:rsidP="006A2984">
      <w:pPr>
        <w:spacing w:after="15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14:ligatures w14:val="none"/>
        </w:rPr>
        <w:lastRenderedPageBreak/>
        <w:t>This report provides an exhaustive, deeply researched analysis of these two baseline distribution models, exposing their respective technical frictions, severe regulatory liabilities, and scaling limitations. Furthermore, the analysis introduces a third, highly optimized paradigm—API-driven Stablecoin Orchestration via Virtual Accounts—which resolves the dilemma by abstracting the fiat-to-crypto conversion layer. This optimal architecture entirely shields the agricultural custodian from blockchain mechanics while protecting the platform administrator from catastrophic, enterprise-threatening regulatory burdens.</w:t>
      </w:r>
    </w:p>
    <w:p w14:paraId="44B72F03" w14:textId="77777777" w:rsidR="006A2984" w:rsidRPr="006A2984" w:rsidRDefault="006A2984" w:rsidP="006A2984">
      <w:pPr>
        <w:spacing w:after="120" w:line="240" w:lineRule="auto"/>
        <w:outlineLvl w:val="1"/>
        <w:rPr>
          <w:rFonts w:ascii="Arial" w:eastAsia="Times New Roman" w:hAnsi="Arial" w:cs="Times New Roman"/>
          <w:b/>
          <w:bCs/>
          <w:color w:val="1F1F1F"/>
          <w:kern w:val="0"/>
          <w:sz w:val="36"/>
          <w:szCs w:val="36"/>
          <w14:ligatures w14:val="none"/>
        </w:rPr>
      </w:pPr>
      <w:r w:rsidRPr="006A2984">
        <w:rPr>
          <w:rFonts w:ascii="Arial" w:eastAsia="Times New Roman" w:hAnsi="Arial" w:cs="Times New Roman"/>
          <w:b/>
          <w:bCs/>
          <w:color w:val="1F1F1F"/>
          <w:kern w:val="0"/>
          <w:sz w:val="36"/>
          <w:szCs w:val="36"/>
          <w14:ligatures w14:val="none"/>
        </w:rPr>
        <w:t>1. The Structural Mechanics of Yield Generation in RWA</w:t>
      </w:r>
    </w:p>
    <w:p w14:paraId="42935032"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Before analyzing the distribution architecture, it is essential to establish the mechanics of how yield is generated, tracked, and mapped within a tokenized ecosystem. RWA tokenization is the process of creating a cryptographically secured digital token on a distributed ledger that represents ownership or rights in an underlying physical or traditional financial asset. The ecosystem is heavily reliant on the seamless flow of capital. For investors, the appeal lies in portfolio diversification, improved liquidity, and passive income generated through automated yield distributions. Protocols operating in the private credit and RWA sectors, such as Centrifuge, Goldfinch, and Maple Finance, regularly target annualized returns between 8% and 10% for senior tranche investors, tightly coupling off-chain corporate cash flows with on-chain token mechanics.</w:t>
      </w:r>
    </w:p>
    <w:p w14:paraId="28785A4B"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The success of these platforms relies on their ability to enforce legal claims to real-world cash flows. In the United States and offshore jurisdictions, the most practical method for mapping an on-chain control event to an off-chain legal right is the utilization of Special Purpose Vehicles (SPVs) or trust containers maintained by licensed fiduciaries. By packaging off-chain debt or agricultural receivables into SPVs, platforms ensure that the digital tokens correspond directly to the underlying assets. As the underlying physical assets generate yield—such as the GCNA's successful export of nutmeg to European and North American markets —that fiat value must be injected back into the digital ecosystem and passed on to token holders.</w:t>
      </w:r>
    </w:p>
    <w:p w14:paraId="2C2CB7B4"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However, realizing this liquidity and distributing the yield presents severe structural barriers. The majority of tokenized RWAs currently exhibit low trading volumes, long holding periods, and limited investor participation due to friction in fiat onboarding, custodial concentration, and fragmented liquidity across disparate blockchains. If an RWA platform cannot efficiently process the distribution of off-chain yields to on-chain wallets, the economic link between the physical asset and the token breaks down. When anticipating scale to 20 distinct agricultural custodians across the Caribbean, the friction of moving value from dozens of local bank accounts into a unified smart contract system becomes the defining operational challenge.</w:t>
      </w:r>
    </w:p>
    <w:p w14:paraId="4A9040AB" w14:textId="77777777" w:rsidR="006A2984" w:rsidRPr="006A2984" w:rsidRDefault="006A2984" w:rsidP="006A2984">
      <w:pPr>
        <w:spacing w:after="120" w:line="240" w:lineRule="auto"/>
        <w:outlineLvl w:val="1"/>
        <w:rPr>
          <w:rFonts w:ascii="Arial" w:eastAsia="Times New Roman" w:hAnsi="Arial" w:cs="Times New Roman"/>
          <w:b/>
          <w:bCs/>
          <w:color w:val="1F1F1F"/>
          <w:kern w:val="0"/>
          <w:sz w:val="36"/>
          <w:szCs w:val="36"/>
          <w14:ligatures w14:val="none"/>
        </w:rPr>
      </w:pPr>
      <w:r w:rsidRPr="006A2984">
        <w:rPr>
          <w:rFonts w:ascii="Arial" w:eastAsia="Times New Roman" w:hAnsi="Arial" w:cs="Times New Roman"/>
          <w:b/>
          <w:bCs/>
          <w:color w:val="1F1F1F"/>
          <w:kern w:val="0"/>
          <w:sz w:val="36"/>
          <w:szCs w:val="36"/>
          <w14:ligatures w14:val="none"/>
        </w:rPr>
        <w:t>2. Evaluating the Platform Administrator Distribution Model</w:t>
      </w:r>
    </w:p>
    <w:p w14:paraId="1B0DB684" w14:textId="77777777" w:rsidR="006A2984" w:rsidRPr="006A2984" w:rsidRDefault="006A2984" w:rsidP="006A2984">
      <w:pPr>
        <w:spacing w:after="15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14:ligatures w14:val="none"/>
        </w:rPr>
        <w:t xml:space="preserve">In the Platform Administrator model, Anansi Technology would act as the central financial clearinghouse for the entire Spice application ecosystem. The operational flow dictates that each participating custodian—such as the GCNA—wires its respective </w:t>
      </w:r>
      <w:r w:rsidRPr="006A2984">
        <w:rPr>
          <w:rFonts w:ascii="Arial" w:eastAsia="Times New Roman" w:hAnsi="Arial" w:cs="Times New Roman"/>
          <w:color w:val="1F1F1F"/>
          <w:kern w:val="0"/>
          <w14:ligatures w14:val="none"/>
        </w:rPr>
        <w:lastRenderedPageBreak/>
        <w:t>end-of-year fiat surplus to a corporate bank account controlled by Anansi. Upon receipt, Anansi's treasury desk utilizes a cryptocurrency exchange or an institutional minting service to convert the aggregated fiat into a stablecoin like USDC. Finally, Anansi triggers a proprietary smart contract to distribute the stablecoin to the respective token holders. While several early-stage RWA projects utilize this centralized treasury model to maintain strict control over the user experience, this architecture introduces fatal flaws when subjected to multi-tenant scaling.</w:t>
      </w:r>
    </w:p>
    <w:p w14:paraId="781FA9FC" w14:textId="77777777" w:rsidR="006A2984" w:rsidRPr="006A2984" w:rsidRDefault="006A2984" w:rsidP="006A2984">
      <w:pPr>
        <w:spacing w:after="120" w:line="240" w:lineRule="auto"/>
        <w:outlineLvl w:val="2"/>
        <w:rPr>
          <w:rFonts w:ascii="Arial" w:eastAsia="Times New Roman" w:hAnsi="Arial" w:cs="Times New Roman"/>
          <w:b/>
          <w:bCs/>
          <w:color w:val="1F1F1F"/>
          <w:kern w:val="0"/>
          <w:sz w:val="27"/>
          <w:szCs w:val="27"/>
          <w14:ligatures w14:val="none"/>
        </w:rPr>
      </w:pPr>
      <w:r w:rsidRPr="006A2984">
        <w:rPr>
          <w:rFonts w:ascii="Arial" w:eastAsia="Times New Roman" w:hAnsi="Arial" w:cs="Times New Roman"/>
          <w:b/>
          <w:bCs/>
          <w:color w:val="1F1F1F"/>
          <w:kern w:val="0"/>
          <w:sz w:val="27"/>
          <w:szCs w:val="27"/>
          <w14:ligatures w14:val="none"/>
        </w:rPr>
        <w:t>2.1 Operational Bottlenecks and Cross-Border Friction</w:t>
      </w:r>
    </w:p>
    <w:p w14:paraId="71C9260D"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The Platform Admin model forces the technology provider to operate an internal, global treasury desk. When scaling to 20 different island nations, Anansi must process incoming international wire transfers in various fiat currencies (such as the Eastern Caribbean Dollar, Jamaican Dollar, or Euro), reconcile these incoming wires against specific RWA token pools, manage foreign exchange (FX) spread volatility, and manually execute </w:t>
      </w:r>
      <w:proofErr w:type="gramStart"/>
      <w:r w:rsidRPr="006A2984">
        <w:rPr>
          <w:rFonts w:ascii="Arial" w:eastAsia="Times New Roman" w:hAnsi="Arial" w:cs="Times New Roman"/>
          <w:color w:val="1F1F1F"/>
          <w:kern w:val="0"/>
          <w:bdr w:val="none" w:sz="0" w:space="0" w:color="auto" w:frame="1"/>
          <w14:ligatures w14:val="none"/>
        </w:rPr>
        <w:t>on-chain</w:t>
      </w:r>
      <w:proofErr w:type="gramEnd"/>
      <w:r w:rsidRPr="006A2984">
        <w:rPr>
          <w:rFonts w:ascii="Arial" w:eastAsia="Times New Roman" w:hAnsi="Arial" w:cs="Times New Roman"/>
          <w:color w:val="1F1F1F"/>
          <w:kern w:val="0"/>
          <w:bdr w:val="none" w:sz="0" w:space="0" w:color="auto" w:frame="1"/>
          <w14:ligatures w14:val="none"/>
        </w:rPr>
        <w:t xml:space="preserve"> stablecoin transactions.</w:t>
      </w:r>
    </w:p>
    <w:p w14:paraId="4CC5A427"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Managing this cross-border flow relies on legacy correspondent banking infrastructure designed for a slower, less integrated financial era. Incoming international wires typically route through multiple correspondent banks, taking three to five business days to settle and incurring flat fees ranging from $30 to $75 per transaction, alongside punitive FX spreads of 2% to 4%. Furthermore, these transactions must be manually reconciled. Finance teams are forced into a constant cycle of mapping every individual USDC on-chain payout back to a specific dollar transaction within enterprise resource planning (ERP) systems like QuickBooks or NetSuite. For Anansi, assuming the operational overhead of a global clearinghouse degrades the core business model, transforming what should be a highly scalable, high-margin software enterprise into a low-margin, high-friction payment processor constrained by banking hours and weekend delays.</w:t>
      </w:r>
    </w:p>
    <w:p w14:paraId="55374781" w14:textId="77777777" w:rsidR="006A2984" w:rsidRPr="006A2984" w:rsidRDefault="006A2984" w:rsidP="006A2984">
      <w:pPr>
        <w:spacing w:after="120" w:line="240" w:lineRule="auto"/>
        <w:outlineLvl w:val="2"/>
        <w:rPr>
          <w:rFonts w:ascii="Arial" w:eastAsia="Times New Roman" w:hAnsi="Arial" w:cs="Times New Roman"/>
          <w:b/>
          <w:bCs/>
          <w:color w:val="1F1F1F"/>
          <w:kern w:val="0"/>
          <w:sz w:val="27"/>
          <w:szCs w:val="27"/>
          <w14:ligatures w14:val="none"/>
        </w:rPr>
      </w:pPr>
      <w:r w:rsidRPr="006A2984">
        <w:rPr>
          <w:rFonts w:ascii="Arial" w:eastAsia="Times New Roman" w:hAnsi="Arial" w:cs="Times New Roman"/>
          <w:b/>
          <w:bCs/>
          <w:color w:val="1F1F1F"/>
          <w:kern w:val="0"/>
          <w:sz w:val="27"/>
          <w:szCs w:val="27"/>
          <w14:ligatures w14:val="none"/>
        </w:rPr>
        <w:t>2.2 The Regulatory Chasm: Money Transmission and MSB Liabilities</w:t>
      </w:r>
    </w:p>
    <w:p w14:paraId="44BF09D0"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The most severe consequence of the Platform Admin model is the assumption of immense regulatory liability. In the United States, the Financial Crimes Enforcement Network (FinCEN) stringently regulates the transmission of value to combat money laundering and terrorist financing. FinCEN’s comprehensive 2019 guidance on Convertible Virtual Currencies (CVCs) makes it explicitly clear that whether an entity qualifies as a regulated Money Services Business (MSB) depends entirely on its activities and business model, rather than its formal corporate status.</w:t>
      </w:r>
    </w:p>
    <w:p w14:paraId="6FE84441"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Tokenization is fundamentally a software technology; however, legal and regulatory risk emanates strictly from the financial activity wrapped around the token. If a platform controls customer funds, enables the redemption of tokens for money-like value, or sits in the middle of financial transfers between distinct users and third parties, federal regulators will view the platform as engaging in money transmission. Accepting fiat currency from a Caribbean custodian, converting it into stablecoins, and transmitting that equivalent value to users globally firmly categorizes the platform administrator as a money transmitter under the Bank Secrecy Act (BSA). FinCEN guidance explicitly warns that while a developer of a software application may be exempt from BSA obligations simply for creating the platform, they immediately incur MSB obligations if </w:t>
      </w:r>
      <w:r w:rsidRPr="006A2984">
        <w:rPr>
          <w:rFonts w:ascii="Arial" w:eastAsia="Times New Roman" w:hAnsi="Arial" w:cs="Times New Roman"/>
          <w:color w:val="1F1F1F"/>
          <w:kern w:val="0"/>
          <w:bdr w:val="none" w:sz="0" w:space="0" w:color="auto" w:frame="1"/>
          <w14:ligatures w14:val="none"/>
        </w:rPr>
        <w:lastRenderedPageBreak/>
        <w:t>they use that platform to engage as a business in accepting and transmitting currency or value that substitutes for currency.</w:t>
      </w:r>
    </w:p>
    <w:p w14:paraId="3C8F6DB2" w14:textId="77777777" w:rsidR="006A2984" w:rsidRPr="006A2984" w:rsidRDefault="006A2984" w:rsidP="006A2984">
      <w:pPr>
        <w:spacing w:after="15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14:ligatures w14:val="none"/>
        </w:rPr>
        <w:t>The financial and operational burden of operating as a licensed money transmitter in the United States is staggering, creating an almost insurmountable barrier to entry for early-stage technology platforms. Unlike federal securities laws, money transmission is regulated at the state level, requiring platforms to secure independent licenses in almost every jurisdiction where their users reside.</w:t>
      </w:r>
    </w:p>
    <w:tbl>
      <w:tblPr>
        <w:tblW w:w="0" w:type="auto"/>
        <w:tblCellSpacing w:w="15" w:type="dxa"/>
        <w:tblCellMar>
          <w:left w:w="0" w:type="dxa"/>
          <w:right w:w="0" w:type="dxa"/>
        </w:tblCellMar>
        <w:tblLook w:val="04A0" w:firstRow="1" w:lastRow="0" w:firstColumn="1" w:lastColumn="0" w:noHBand="0" w:noVBand="1"/>
      </w:tblPr>
      <w:tblGrid>
        <w:gridCol w:w="2921"/>
        <w:gridCol w:w="3034"/>
        <w:gridCol w:w="3389"/>
      </w:tblGrid>
      <w:tr w:rsidR="006A2984" w:rsidRPr="006A2984" w14:paraId="164D0C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7017B5"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Cost 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4A76FD"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Estimated Year-One Capital Requirement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C38187"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Estimated Annual Maintenance Requirement</w:t>
            </w:r>
          </w:p>
        </w:tc>
      </w:tr>
      <w:tr w:rsidR="006A2984" w:rsidRPr="006A2984" w14:paraId="30FD51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D36FA4"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State Application &amp; Renewal Fees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6EAD29"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$100,000 - $130,000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F5DBC7"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$80,000 - $120,000</w:t>
            </w:r>
          </w:p>
        </w:tc>
      </w:tr>
      <w:tr w:rsidR="006A2984" w:rsidRPr="006A2984" w14:paraId="0CBCE6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3F1195"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State-Mandated Surety Bonds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923D38"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$120,000 - $160,000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43811B"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$130,000+ (scales dynamically with transaction volume)</w:t>
            </w:r>
          </w:p>
        </w:tc>
      </w:tr>
      <w:tr w:rsidR="006A2984" w:rsidRPr="006A2984" w14:paraId="10D224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E22E29"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Registered Agents &amp; Secretary of State Fees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11A6F3"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$15,000 - $30,000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3E79C3"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$15,000 - $30,000</w:t>
            </w:r>
          </w:p>
        </w:tc>
      </w:tr>
      <w:tr w:rsidR="006A2984" w:rsidRPr="006A2984" w14:paraId="7B74A2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D2FE09"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Total Estimated Expense (50 States + DC)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689429"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$235,000 - $320,000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08AA29"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$225,000 - $280,000+</w:t>
            </w:r>
          </w:p>
        </w:tc>
      </w:tr>
    </w:tbl>
    <w:p w14:paraId="44869DD9"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Table 1: Estimated US Money Transmitter License (MTL) Capital Requirements for National Operations.</w:t>
      </w:r>
    </w:p>
    <w:p w14:paraId="7B6262DF"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Beyond the base capital requirements for licensing fees and surety bonds, operating as an MSB requires the implementation of a comprehensive Anti-Money Laundering (AML) and Know Your Customer (KYC) program. FinCEN mandates that MSBs incorporate written policies and internal controls, designate a dedicated compliance officer, provide ongoing training to detect suspicious transactions, and conduct independent third-party reviews to monitor the adequacy of the compliance program. Additionally, platforms must maintain rigorous reporting requirements for currency transactions </w:t>
      </w:r>
      <w:proofErr w:type="gramStart"/>
      <w:r w:rsidRPr="006A2984">
        <w:rPr>
          <w:rFonts w:ascii="Arial" w:eastAsia="Times New Roman" w:hAnsi="Arial" w:cs="Times New Roman"/>
          <w:color w:val="1F1F1F"/>
          <w:kern w:val="0"/>
          <w:bdr w:val="none" w:sz="0" w:space="0" w:color="auto" w:frame="1"/>
          <w14:ligatures w14:val="none"/>
        </w:rPr>
        <w:t>in excess of</w:t>
      </w:r>
      <w:proofErr w:type="gramEnd"/>
      <w:r w:rsidRPr="006A2984">
        <w:rPr>
          <w:rFonts w:ascii="Arial" w:eastAsia="Times New Roman" w:hAnsi="Arial" w:cs="Times New Roman"/>
          <w:color w:val="1F1F1F"/>
          <w:kern w:val="0"/>
          <w:bdr w:val="none" w:sz="0" w:space="0" w:color="auto" w:frame="1"/>
          <w14:ligatures w14:val="none"/>
        </w:rPr>
        <w:t xml:space="preserve"> $10,000 and file Suspicious Activity Reports (SARs) for activities over $2,000 that are deemed suspicious. Attempting to navigate state-by-state nuances—such as Alabama's inclusion of virtual currencies in its money transmission statutes, or Arizona's broad definition of receiving money for transmission—requires an army of specialized fintech attorneys.</w:t>
      </w:r>
    </w:p>
    <w:p w14:paraId="08780B70" w14:textId="77777777" w:rsidR="006A2984" w:rsidRPr="006A2984" w:rsidRDefault="006A2984" w:rsidP="006A2984">
      <w:pPr>
        <w:spacing w:after="120" w:line="240" w:lineRule="auto"/>
        <w:outlineLvl w:val="2"/>
        <w:rPr>
          <w:rFonts w:ascii="Arial" w:eastAsia="Times New Roman" w:hAnsi="Arial" w:cs="Times New Roman"/>
          <w:b/>
          <w:bCs/>
          <w:color w:val="1F1F1F"/>
          <w:kern w:val="0"/>
          <w:sz w:val="27"/>
          <w:szCs w:val="27"/>
          <w14:ligatures w14:val="none"/>
        </w:rPr>
      </w:pPr>
      <w:r w:rsidRPr="006A2984">
        <w:rPr>
          <w:rFonts w:ascii="Arial" w:eastAsia="Times New Roman" w:hAnsi="Arial" w:cs="Times New Roman"/>
          <w:b/>
          <w:bCs/>
          <w:color w:val="1F1F1F"/>
          <w:kern w:val="0"/>
          <w:sz w:val="27"/>
          <w:szCs w:val="27"/>
          <w14:ligatures w14:val="none"/>
        </w:rPr>
        <w:t>2.3 International and Caribbean Regulatory Constraints</w:t>
      </w:r>
    </w:p>
    <w:p w14:paraId="005B75EC"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The regulatory burden extends far beyond the United States. Jurisdictions globally are implementing aggressive frameworks to capture and control the flow of digital assets. In </w:t>
      </w:r>
      <w:r w:rsidRPr="006A2984">
        <w:rPr>
          <w:rFonts w:ascii="Arial" w:eastAsia="Times New Roman" w:hAnsi="Arial" w:cs="Times New Roman"/>
          <w:color w:val="1F1F1F"/>
          <w:kern w:val="0"/>
          <w:bdr w:val="none" w:sz="0" w:space="0" w:color="auto" w:frame="1"/>
          <w14:ligatures w14:val="none"/>
        </w:rPr>
        <w:lastRenderedPageBreak/>
        <w:t>the Caribbean, where Anansi’s operations and target custodians are concentrated, the regulatory landscape is rapidly hardening. In Grenada, the Virtual Asset Business Act of 2021 imposes strict registration requirements for any entity conducting virtual asset business. Applicants must provide the Grenada Authority for the Regulation of Financial Institutions (GARFIN) with exhaustive risk assessments, written AML policies, data management protocols, and cybersecurity safeguards. Operating an unlicensed virtual asset business in Grenada carries severe criminal penalties, including fines up to $250,000 and imprisonment for up to seven years for convictions on indictment.</w:t>
      </w:r>
    </w:p>
    <w:p w14:paraId="4FC794FB"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Other regional hubs have similarly formalized their oversight. The Bahamas enacted the Digital Assets and Registered Exchanges (DARE) Act to regulate digital asset businesses, while Bermuda established the Digital Asset Business Act (DABA) to oversee custodial wallet providers and electronic exchanges. By acting as the central financial clearinghouse and handling fiat-to-crypto conversions on behalf of 20 distinct islands, Anansi Technology exposes itself to overlapping, often contradictory, regulatory regimes globally, creating a compliance fragmentation nightmare that stifles product development.</w:t>
      </w:r>
    </w:p>
    <w:p w14:paraId="36AB4E82" w14:textId="77777777" w:rsidR="006A2984" w:rsidRPr="006A2984" w:rsidRDefault="006A2984" w:rsidP="006A2984">
      <w:pPr>
        <w:spacing w:after="120" w:line="240" w:lineRule="auto"/>
        <w:outlineLvl w:val="1"/>
        <w:rPr>
          <w:rFonts w:ascii="Arial" w:eastAsia="Times New Roman" w:hAnsi="Arial" w:cs="Times New Roman"/>
          <w:b/>
          <w:bCs/>
          <w:color w:val="1F1F1F"/>
          <w:kern w:val="0"/>
          <w:sz w:val="36"/>
          <w:szCs w:val="36"/>
          <w14:ligatures w14:val="none"/>
        </w:rPr>
      </w:pPr>
      <w:r w:rsidRPr="006A2984">
        <w:rPr>
          <w:rFonts w:ascii="Arial" w:eastAsia="Times New Roman" w:hAnsi="Arial" w:cs="Times New Roman"/>
          <w:b/>
          <w:bCs/>
          <w:color w:val="1F1F1F"/>
          <w:kern w:val="0"/>
          <w:sz w:val="36"/>
          <w:szCs w:val="36"/>
          <w14:ligatures w14:val="none"/>
        </w:rPr>
        <w:t>3. Evaluating the Custodian-Led Distribution Model</w:t>
      </w:r>
    </w:p>
    <w:p w14:paraId="64EF939C" w14:textId="77777777" w:rsidR="006A2984" w:rsidRPr="006A2984" w:rsidRDefault="006A2984" w:rsidP="006A2984">
      <w:pPr>
        <w:spacing w:after="15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14:ligatures w14:val="none"/>
        </w:rPr>
        <w:t>To avoid the catastrophic regulatory hazards of global money transmission, a platform architect might attempt to decentralize the financial flow, pushing the responsibility of fiat-to-crypto conversion and yield distribution entirely down to the custodian. In this Custodian-Led model, the GCNA would be responsible for establishing a corporate digital asset strategy, opening institutional accounts with a stablecoin issuer, managing cryptographic private keys, directly converting their end-of-year surplus into USDC, and executing on-chain smart contract transactions to pay the token holders.</w:t>
      </w:r>
    </w:p>
    <w:p w14:paraId="55FEC553" w14:textId="77777777" w:rsidR="006A2984" w:rsidRPr="006A2984" w:rsidRDefault="006A2984" w:rsidP="006A2984">
      <w:pPr>
        <w:spacing w:after="15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14:ligatures w14:val="none"/>
        </w:rPr>
        <w:t>While this model technically absolves Anansi Technology from MTL and MSB requirements—as the platform administrator never takes physical or legal possession of the funds—it introduces an unacceptable level of operational friction for traditional agricultural businesses, effectively destroying the platform's go-to-market strategy.</w:t>
      </w:r>
    </w:p>
    <w:p w14:paraId="29E4F272" w14:textId="77777777" w:rsidR="006A2984" w:rsidRPr="006A2984" w:rsidRDefault="006A2984" w:rsidP="006A2984">
      <w:pPr>
        <w:spacing w:after="120" w:line="240" w:lineRule="auto"/>
        <w:outlineLvl w:val="2"/>
        <w:rPr>
          <w:rFonts w:ascii="Arial" w:eastAsia="Times New Roman" w:hAnsi="Arial" w:cs="Times New Roman"/>
          <w:b/>
          <w:bCs/>
          <w:color w:val="1F1F1F"/>
          <w:kern w:val="0"/>
          <w:sz w:val="27"/>
          <w:szCs w:val="27"/>
          <w14:ligatures w14:val="none"/>
        </w:rPr>
      </w:pPr>
      <w:r w:rsidRPr="006A2984">
        <w:rPr>
          <w:rFonts w:ascii="Arial" w:eastAsia="Times New Roman" w:hAnsi="Arial" w:cs="Times New Roman"/>
          <w:b/>
          <w:bCs/>
          <w:color w:val="1F1F1F"/>
          <w:kern w:val="0"/>
          <w:sz w:val="27"/>
          <w:szCs w:val="27"/>
          <w14:ligatures w14:val="none"/>
        </w:rPr>
        <w:t>3.1 Disruption to Legacy Agricultural Operations</w:t>
      </w:r>
    </w:p>
    <w:p w14:paraId="4F35CB77"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Traditional agricultural cooperatives and regional businesses operate exclusively on legacy banking infrastructure. The GCNA, established in 1947, is fundamentally an organization designed to process, distill, and market physical nutmeg and mace. For businesses operating entirely in fiat currencies, holding, managing, or transmitting cryptocurrency introduces unnecessary accounting complexity that can severely derail standard cash flow management.</w:t>
      </w:r>
    </w:p>
    <w:p w14:paraId="5DCB7C14"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Expecting a legacy entity like the GCNA to overhaul its financial operations to accommodate Web3 infrastructure is strategically unviable. The onboarding processes for institutional cryptocurrency accounts, such as Circle Mint (the primary portal for minting USDC directly from </w:t>
      </w:r>
      <w:proofErr w:type="spellStart"/>
      <w:r w:rsidRPr="006A2984">
        <w:rPr>
          <w:rFonts w:ascii="Arial" w:eastAsia="Times New Roman" w:hAnsi="Arial" w:cs="Times New Roman"/>
          <w:color w:val="1F1F1F"/>
          <w:kern w:val="0"/>
          <w:bdr w:val="none" w:sz="0" w:space="0" w:color="auto" w:frame="1"/>
          <w14:ligatures w14:val="none"/>
        </w:rPr>
        <w:t>fiat</w:t>
      </w:r>
      <w:proofErr w:type="spellEnd"/>
      <w:r w:rsidRPr="006A2984">
        <w:rPr>
          <w:rFonts w:ascii="Arial" w:eastAsia="Times New Roman" w:hAnsi="Arial" w:cs="Times New Roman"/>
          <w:color w:val="1F1F1F"/>
          <w:kern w:val="0"/>
          <w:bdr w:val="none" w:sz="0" w:space="0" w:color="auto" w:frame="1"/>
          <w14:ligatures w14:val="none"/>
        </w:rPr>
        <w:t>), are highly invasive and complex for non-crypto native firms. Circle requires rigorous due diligence to comply with international financial regulations.</w:t>
      </w:r>
    </w:p>
    <w:tbl>
      <w:tblPr>
        <w:tblW w:w="0" w:type="auto"/>
        <w:tblCellSpacing w:w="15" w:type="dxa"/>
        <w:tblCellMar>
          <w:left w:w="0" w:type="dxa"/>
          <w:right w:w="0" w:type="dxa"/>
        </w:tblCellMar>
        <w:tblLook w:val="04A0" w:firstRow="1" w:lastRow="0" w:firstColumn="1" w:lastColumn="0" w:noHBand="0" w:noVBand="1"/>
      </w:tblPr>
      <w:tblGrid>
        <w:gridCol w:w="2699"/>
        <w:gridCol w:w="6645"/>
      </w:tblGrid>
      <w:tr w:rsidR="006A2984" w:rsidRPr="006A2984" w14:paraId="12B907D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40206"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lastRenderedPageBreak/>
              <w:t>Requirement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E9C90"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Specific Institutional Onboarding Documentation for Circle Mint</w:t>
            </w:r>
          </w:p>
        </w:tc>
      </w:tr>
      <w:tr w:rsidR="006A2984" w:rsidRPr="006A2984" w14:paraId="0DA1C4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FBB65"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Legal Entity Registration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4F32C"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Certificate of incorporation, articles of association, or operating agreements.</w:t>
            </w:r>
          </w:p>
        </w:tc>
      </w:tr>
      <w:tr w:rsidR="006A2984" w:rsidRPr="006A2984" w14:paraId="3FA220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B1381"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Ownership &amp;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809F0"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Exhaustive shareholder registries detailing beneficial owners holding 10% to 25% or more.</w:t>
            </w:r>
          </w:p>
        </w:tc>
      </w:tr>
      <w:tr w:rsidR="006A2984" w:rsidRPr="006A2984" w14:paraId="78755D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08A5E"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AML &amp; Compliance Program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91847"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Copies of formal AML policies, transaction monitoring procedures, and proof of an independent AML audit report.</w:t>
            </w:r>
          </w:p>
        </w:tc>
      </w:tr>
      <w:tr w:rsidR="006A2984" w:rsidRPr="006A2984" w14:paraId="736254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93455"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Financial Health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98EA7"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Recent audited or unaudited financial statements to support expected activity validation.</w:t>
            </w:r>
          </w:p>
        </w:tc>
      </w:tr>
      <w:tr w:rsidR="006A2984" w:rsidRPr="006A2984" w14:paraId="5F042E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1C643"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Security &amp; Risk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FB734"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Extensive documentation of corporate cybersecurity measures.</w:t>
            </w:r>
          </w:p>
        </w:tc>
      </w:tr>
    </w:tbl>
    <w:p w14:paraId="3E89A05A"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Table 2: Institutional Onboarding Requirements for Direct Stablecoin Minting Accounts.</w:t>
      </w:r>
    </w:p>
    <w:p w14:paraId="40D97D81" w14:textId="77777777" w:rsidR="006A2984" w:rsidRPr="006A2984" w:rsidRDefault="006A2984" w:rsidP="006A2984">
      <w:pPr>
        <w:spacing w:after="15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14:ligatures w14:val="none"/>
        </w:rPr>
        <w:t>For a Caribbean agricultural cooperative, producing independent AML audits, transaction monitoring procedures, and enterprise cybersecurity documentation simply to pay a year-end bonus to token holders represents an insurmountable operational barrier.</w:t>
      </w:r>
    </w:p>
    <w:p w14:paraId="72B08B69" w14:textId="77777777" w:rsidR="006A2984" w:rsidRPr="006A2984" w:rsidRDefault="006A2984" w:rsidP="006A2984">
      <w:pPr>
        <w:spacing w:after="120" w:line="240" w:lineRule="auto"/>
        <w:outlineLvl w:val="2"/>
        <w:rPr>
          <w:rFonts w:ascii="Arial" w:eastAsia="Times New Roman" w:hAnsi="Arial" w:cs="Times New Roman"/>
          <w:b/>
          <w:bCs/>
          <w:color w:val="1F1F1F"/>
          <w:kern w:val="0"/>
          <w:sz w:val="27"/>
          <w:szCs w:val="27"/>
          <w14:ligatures w14:val="none"/>
        </w:rPr>
      </w:pPr>
      <w:r w:rsidRPr="006A2984">
        <w:rPr>
          <w:rFonts w:ascii="Arial" w:eastAsia="Times New Roman" w:hAnsi="Arial" w:cs="Times New Roman"/>
          <w:b/>
          <w:bCs/>
          <w:color w:val="1F1F1F"/>
          <w:kern w:val="0"/>
          <w:sz w:val="27"/>
          <w:szCs w:val="27"/>
          <w14:ligatures w14:val="none"/>
        </w:rPr>
        <w:t>3.2 Custody, Key Management, and Operational Risk</w:t>
      </w:r>
    </w:p>
    <w:p w14:paraId="79E13B45"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If the custodian opts against opening an institutional minting account and instead attempts to purchase stablecoins on a secondary exchange and use self-custody wallets to distribute funds, the risks multiply exponentially. The custodian must securely manage private cryptographic keys, forcing a choice between institutional custodial wallets (which require additional vetting and fees) or non-custodial software/hardware wallets.</w:t>
      </w:r>
    </w:p>
    <w:p w14:paraId="50ABB722"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Relying on non-custodial wallets places the ultimate burden of security on the cooperative's finance department. Losing a private key, or falling victim to a phishing attack, results in the permanent, irreversible loss of the token holders' surplus. Furthermore, the custodian’s finance team would be forced to navigate the complexities of blockchain gas fees, network congestion, cross-chain routing, and wallet address whitelisting—skills that are entirely foreign to traditional agricultural accounting departments.</w:t>
      </w:r>
    </w:p>
    <w:p w14:paraId="669D70EF" w14:textId="77777777" w:rsidR="006A2984" w:rsidRPr="006A2984" w:rsidRDefault="006A2984" w:rsidP="006A2984">
      <w:pPr>
        <w:spacing w:after="120" w:line="240" w:lineRule="auto"/>
        <w:outlineLvl w:val="2"/>
        <w:rPr>
          <w:rFonts w:ascii="Arial" w:eastAsia="Times New Roman" w:hAnsi="Arial" w:cs="Times New Roman"/>
          <w:b/>
          <w:bCs/>
          <w:color w:val="1F1F1F"/>
          <w:kern w:val="0"/>
          <w:sz w:val="27"/>
          <w:szCs w:val="27"/>
          <w14:ligatures w14:val="none"/>
        </w:rPr>
      </w:pPr>
      <w:r w:rsidRPr="006A2984">
        <w:rPr>
          <w:rFonts w:ascii="Arial" w:eastAsia="Times New Roman" w:hAnsi="Arial" w:cs="Times New Roman"/>
          <w:b/>
          <w:bCs/>
          <w:color w:val="1F1F1F"/>
          <w:kern w:val="0"/>
          <w:sz w:val="27"/>
          <w:szCs w:val="27"/>
          <w14:ligatures w14:val="none"/>
        </w:rPr>
        <w:t xml:space="preserve">3.3 The </w:t>
      </w:r>
      <w:proofErr w:type="spellStart"/>
      <w:r w:rsidRPr="006A2984">
        <w:rPr>
          <w:rFonts w:ascii="Arial" w:eastAsia="Times New Roman" w:hAnsi="Arial" w:cs="Times New Roman"/>
          <w:b/>
          <w:bCs/>
          <w:color w:val="1F1F1F"/>
          <w:kern w:val="0"/>
          <w:sz w:val="27"/>
          <w:szCs w:val="27"/>
          <w14:ligatures w14:val="none"/>
        </w:rPr>
        <w:t>DCash</w:t>
      </w:r>
      <w:proofErr w:type="spellEnd"/>
      <w:r w:rsidRPr="006A2984">
        <w:rPr>
          <w:rFonts w:ascii="Arial" w:eastAsia="Times New Roman" w:hAnsi="Arial" w:cs="Times New Roman"/>
          <w:b/>
          <w:bCs/>
          <w:color w:val="1F1F1F"/>
          <w:kern w:val="0"/>
          <w:sz w:val="27"/>
          <w:szCs w:val="27"/>
          <w14:ligatures w14:val="none"/>
        </w:rPr>
        <w:t xml:space="preserve"> Precedent and Technological Friction</w:t>
      </w:r>
    </w:p>
    <w:p w14:paraId="41027C02"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The danger of introducing technological friction to traditional Caribbean populations and businesses is clearly illustrated by the region's recent experimentation with digital currencies. In 2021, the Eastern Caribbean Central Bank (ECCB) launched </w:t>
      </w:r>
      <w:proofErr w:type="spellStart"/>
      <w:r w:rsidRPr="006A2984">
        <w:rPr>
          <w:rFonts w:ascii="Arial" w:eastAsia="Times New Roman" w:hAnsi="Arial" w:cs="Times New Roman"/>
          <w:color w:val="1F1F1F"/>
          <w:kern w:val="0"/>
          <w:bdr w:val="none" w:sz="0" w:space="0" w:color="auto" w:frame="1"/>
          <w14:ligatures w14:val="none"/>
        </w:rPr>
        <w:t>DCash</w:t>
      </w:r>
      <w:proofErr w:type="spellEnd"/>
      <w:r w:rsidRPr="006A2984">
        <w:rPr>
          <w:rFonts w:ascii="Arial" w:eastAsia="Times New Roman" w:hAnsi="Arial" w:cs="Times New Roman"/>
          <w:color w:val="1F1F1F"/>
          <w:kern w:val="0"/>
          <w:bdr w:val="none" w:sz="0" w:space="0" w:color="auto" w:frame="1"/>
          <w14:ligatures w14:val="none"/>
        </w:rPr>
        <w:t>, a blockchain-based retail central bank digital currency (</w:t>
      </w:r>
      <w:proofErr w:type="spellStart"/>
      <w:r w:rsidRPr="006A2984">
        <w:rPr>
          <w:rFonts w:ascii="Arial" w:eastAsia="Times New Roman" w:hAnsi="Arial" w:cs="Times New Roman"/>
          <w:color w:val="1F1F1F"/>
          <w:kern w:val="0"/>
          <w:bdr w:val="none" w:sz="0" w:space="0" w:color="auto" w:frame="1"/>
          <w14:ligatures w14:val="none"/>
        </w:rPr>
        <w:t>rCBDC</w:t>
      </w:r>
      <w:proofErr w:type="spellEnd"/>
      <w:r w:rsidRPr="006A2984">
        <w:rPr>
          <w:rFonts w:ascii="Arial" w:eastAsia="Times New Roman" w:hAnsi="Arial" w:cs="Times New Roman"/>
          <w:color w:val="1F1F1F"/>
          <w:kern w:val="0"/>
          <w:bdr w:val="none" w:sz="0" w:space="0" w:color="auto" w:frame="1"/>
          <w14:ligatures w14:val="none"/>
        </w:rPr>
        <w:t xml:space="preserve">) aimed at modernizing the retail payment system, increasing financial inclusion, and reducing transaction costs. </w:t>
      </w:r>
      <w:r w:rsidRPr="006A2984">
        <w:rPr>
          <w:rFonts w:ascii="Arial" w:eastAsia="Times New Roman" w:hAnsi="Arial" w:cs="Times New Roman"/>
          <w:color w:val="1F1F1F"/>
          <w:kern w:val="0"/>
          <w:bdr w:val="none" w:sz="0" w:space="0" w:color="auto" w:frame="1"/>
          <w14:ligatures w14:val="none"/>
        </w:rPr>
        <w:lastRenderedPageBreak/>
        <w:t xml:space="preserve">Despite the backing of the central bank and the undeniable benefits of faster, cheaper settlements, </w:t>
      </w:r>
      <w:proofErr w:type="spellStart"/>
      <w:r w:rsidRPr="006A2984">
        <w:rPr>
          <w:rFonts w:ascii="Arial" w:eastAsia="Times New Roman" w:hAnsi="Arial" w:cs="Times New Roman"/>
          <w:color w:val="1F1F1F"/>
          <w:kern w:val="0"/>
          <w:bdr w:val="none" w:sz="0" w:space="0" w:color="auto" w:frame="1"/>
          <w14:ligatures w14:val="none"/>
        </w:rPr>
        <w:t>DCash</w:t>
      </w:r>
      <w:proofErr w:type="spellEnd"/>
      <w:r w:rsidRPr="006A2984">
        <w:rPr>
          <w:rFonts w:ascii="Arial" w:eastAsia="Times New Roman" w:hAnsi="Arial" w:cs="Times New Roman"/>
          <w:color w:val="1F1F1F"/>
          <w:kern w:val="0"/>
          <w:bdr w:val="none" w:sz="0" w:space="0" w:color="auto" w:frame="1"/>
          <w14:ligatures w14:val="none"/>
        </w:rPr>
        <w:t>—alongside the Bahamian Sand Dollar and Jamaican JAM-DEX—has struggled significantly to achieve expected widespread adoption from both consumers and merchants.</w:t>
      </w:r>
    </w:p>
    <w:p w14:paraId="175C23E2"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Research indicates that the underlying technologies of digital currencies have little positive effect on adoption unless the platform is seamlessly integrated into the larger, existing financial ecosystem without demanding new behavioral patterns from its users. Shifting traditional, cash-heavy or legacy-banking economies to digital infrastructure requires the technology to be entirely invisible. Forcing an agricultural custodian to maintain crypto wallets, secure private keys, and manage digital asset accounting violates this core principle of adoption. The </w:t>
      </w:r>
      <w:proofErr w:type="gramStart"/>
      <w:r w:rsidRPr="006A2984">
        <w:rPr>
          <w:rFonts w:ascii="Arial" w:eastAsia="Times New Roman" w:hAnsi="Arial" w:cs="Times New Roman"/>
          <w:color w:val="1F1F1F"/>
          <w:kern w:val="0"/>
          <w:bdr w:val="none" w:sz="0" w:space="0" w:color="auto" w:frame="1"/>
          <w14:ligatures w14:val="none"/>
        </w:rPr>
        <w:t>ultimate goal</w:t>
      </w:r>
      <w:proofErr w:type="gramEnd"/>
      <w:r w:rsidRPr="006A2984">
        <w:rPr>
          <w:rFonts w:ascii="Arial" w:eastAsia="Times New Roman" w:hAnsi="Arial" w:cs="Times New Roman"/>
          <w:color w:val="1F1F1F"/>
          <w:kern w:val="0"/>
          <w:bdr w:val="none" w:sz="0" w:space="0" w:color="auto" w:frame="1"/>
          <w14:ligatures w14:val="none"/>
        </w:rPr>
        <w:t xml:space="preserve"> of a technology platform should be to allow the custodian's business operations to remain entirely unchanged while delivering the benefits of global liquidity.</w:t>
      </w:r>
    </w:p>
    <w:p w14:paraId="44D94FB2" w14:textId="77777777" w:rsidR="006A2984" w:rsidRPr="006A2984" w:rsidRDefault="006A2984" w:rsidP="006A2984">
      <w:pPr>
        <w:spacing w:after="120" w:line="240" w:lineRule="auto"/>
        <w:outlineLvl w:val="1"/>
        <w:rPr>
          <w:rFonts w:ascii="Arial" w:eastAsia="Times New Roman" w:hAnsi="Arial" w:cs="Times New Roman"/>
          <w:b/>
          <w:bCs/>
          <w:color w:val="1F1F1F"/>
          <w:kern w:val="0"/>
          <w:sz w:val="36"/>
          <w:szCs w:val="36"/>
          <w14:ligatures w14:val="none"/>
        </w:rPr>
      </w:pPr>
      <w:r w:rsidRPr="006A2984">
        <w:rPr>
          <w:rFonts w:ascii="Arial" w:eastAsia="Times New Roman" w:hAnsi="Arial" w:cs="Times New Roman"/>
          <w:b/>
          <w:bCs/>
          <w:color w:val="1F1F1F"/>
          <w:kern w:val="0"/>
          <w:sz w:val="36"/>
          <w:szCs w:val="36"/>
          <w14:ligatures w14:val="none"/>
        </w:rPr>
        <w:t>4. Legal Structuring and Exemption Strategies</w:t>
      </w:r>
    </w:p>
    <w:p w14:paraId="5FD33B26" w14:textId="77777777" w:rsidR="006A2984" w:rsidRPr="006A2984" w:rsidRDefault="006A2984" w:rsidP="006A2984">
      <w:pPr>
        <w:spacing w:after="15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14:ligatures w14:val="none"/>
        </w:rPr>
        <w:t>Faced with the fatal flaws of both the Platform Admin and Custodian-Led models, RWA architects often attempt to engineer legal workarounds using complex corporate structures or statutory exemptions. While these strategies offer theoretical protection, they generally fail to scale effectively in multi-tenant environments.</w:t>
      </w:r>
    </w:p>
    <w:p w14:paraId="459118B1" w14:textId="77777777" w:rsidR="006A2984" w:rsidRPr="006A2984" w:rsidRDefault="006A2984" w:rsidP="006A2984">
      <w:pPr>
        <w:spacing w:after="120" w:line="240" w:lineRule="auto"/>
        <w:outlineLvl w:val="2"/>
        <w:rPr>
          <w:rFonts w:ascii="Arial" w:eastAsia="Times New Roman" w:hAnsi="Arial" w:cs="Times New Roman"/>
          <w:b/>
          <w:bCs/>
          <w:color w:val="1F1F1F"/>
          <w:kern w:val="0"/>
          <w:sz w:val="27"/>
          <w:szCs w:val="27"/>
          <w14:ligatures w14:val="none"/>
        </w:rPr>
      </w:pPr>
      <w:r w:rsidRPr="006A2984">
        <w:rPr>
          <w:rFonts w:ascii="Arial" w:eastAsia="Times New Roman" w:hAnsi="Arial" w:cs="Times New Roman"/>
          <w:b/>
          <w:bCs/>
          <w:color w:val="1F1F1F"/>
          <w:kern w:val="0"/>
          <w:sz w:val="27"/>
          <w:szCs w:val="27"/>
          <w14:ligatures w14:val="none"/>
        </w:rPr>
        <w:t>4.1 Special Purpose Vehicles (SPVs) and Offshore Trusts</w:t>
      </w:r>
    </w:p>
    <w:p w14:paraId="6A6D09C0"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To isolate risk and ensure that tokens carry enforceable rights to the underlying assets, RWA platforms frequently utilize SPVs or trust structures. In the United States, trust companies have emerged as a flexible tool for achieving this, acting as the legal bridge between on-chain tokens and off-chain physical assets. By housing the relevant rights inside a trust container maintained by a licensed fiduciary, the platform ensures that the assets are legally segregated and protected.</w:t>
      </w:r>
    </w:p>
    <w:p w14:paraId="741C0794"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For platforms seeking to avoid the complexities of U.S. securities and banking regulations, offshore structures are highly popular. Establishing an investment vehicle in a reputable offshore jurisdiction, such as a Cayman Islands Segregated Portfolio Company (SPC), allows a platform to create legally protected "cells" or portfolios for each distinct asset or island, isolating the liabilities of one agricultural cooperative from another. While these structures excel at managing the ownership rights of the underlying asset, they do not solve the mechanical problem of fiat-to-crypto value transmission. Even if an SPV owns the rights to the GCNA's surplus, the physical fiat must still be converted and transmitted, which inevitably triggers MSB and MTL scrutiny regardless of the corporate holding structure.</w:t>
      </w:r>
    </w:p>
    <w:p w14:paraId="725BAA21" w14:textId="77777777" w:rsidR="006A2984" w:rsidRPr="006A2984" w:rsidRDefault="006A2984" w:rsidP="006A2984">
      <w:pPr>
        <w:spacing w:after="120" w:line="240" w:lineRule="auto"/>
        <w:outlineLvl w:val="2"/>
        <w:rPr>
          <w:rFonts w:ascii="Arial" w:eastAsia="Times New Roman" w:hAnsi="Arial" w:cs="Times New Roman"/>
          <w:b/>
          <w:bCs/>
          <w:color w:val="1F1F1F"/>
          <w:kern w:val="0"/>
          <w:sz w:val="27"/>
          <w:szCs w:val="27"/>
          <w14:ligatures w14:val="none"/>
        </w:rPr>
      </w:pPr>
      <w:r w:rsidRPr="006A2984">
        <w:rPr>
          <w:rFonts w:ascii="Arial" w:eastAsia="Times New Roman" w:hAnsi="Arial" w:cs="Times New Roman"/>
          <w:b/>
          <w:bCs/>
          <w:color w:val="1F1F1F"/>
          <w:kern w:val="0"/>
          <w:sz w:val="27"/>
          <w:szCs w:val="27"/>
          <w14:ligatures w14:val="none"/>
        </w:rPr>
        <w:t>4.2 The "Agent of the Payee" Exemption</w:t>
      </w:r>
    </w:p>
    <w:p w14:paraId="419AAD73"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From a legal perspective, platforms handling fiat payouts frequently attempt to rely on the "Agent of the Payee" exemption. Under the laws of several U.S. states, a third-party processor that receives consumer funds on behalf of a merchant (or in this case, a platform receiving funds on behalf of token holders) may be exempt from state money transmitter licensing requirements.</w:t>
      </w:r>
    </w:p>
    <w:p w14:paraId="65FCD92F"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To qualify for this exemption, a formal, legally binding agency relationship must exist between the platform (the agent) and the token holders (the payees), explicitly stating that the payee’s receipt of funds by the agent satisfies the payer's (the custodian's) </w:t>
      </w:r>
      <w:r w:rsidRPr="006A2984">
        <w:rPr>
          <w:rFonts w:ascii="Arial" w:eastAsia="Times New Roman" w:hAnsi="Arial" w:cs="Times New Roman"/>
          <w:color w:val="1F1F1F"/>
          <w:kern w:val="0"/>
          <w:bdr w:val="none" w:sz="0" w:space="0" w:color="auto" w:frame="1"/>
          <w14:ligatures w14:val="none"/>
        </w:rPr>
        <w:lastRenderedPageBreak/>
        <w:t>obligation to the payee. However, this strategy is exceptionally fragile. State regulators frequently diverge from federal FinCEN interpretations. For example, in a recent ruling by the Florida Office of Financial Regulation (OFR), a company argued that because it fell under certain federal exemptions, it should be exempt from Florida's money transmitter laws. The OFR rejected this argument, ruling that the company was indeed a money transmitter under Florida law, demonstrating that while federal regulations provide a baseline, state-by-state enforcement is highly unpredictable. Relying on a patchwork of state exemptions for a platform intending to scale to 20 sovereign island nations introduces unacceptable regulatory volatility.</w:t>
      </w:r>
    </w:p>
    <w:p w14:paraId="3024DA0F" w14:textId="77777777" w:rsidR="006A2984" w:rsidRPr="006A2984" w:rsidRDefault="006A2984" w:rsidP="006A2984">
      <w:pPr>
        <w:spacing w:after="120" w:line="240" w:lineRule="auto"/>
        <w:outlineLvl w:val="1"/>
        <w:rPr>
          <w:rFonts w:ascii="Arial" w:eastAsia="Times New Roman" w:hAnsi="Arial" w:cs="Times New Roman"/>
          <w:b/>
          <w:bCs/>
          <w:color w:val="1F1F1F"/>
          <w:kern w:val="0"/>
          <w:sz w:val="36"/>
          <w:szCs w:val="36"/>
          <w14:ligatures w14:val="none"/>
        </w:rPr>
      </w:pPr>
      <w:r w:rsidRPr="006A2984">
        <w:rPr>
          <w:rFonts w:ascii="Arial" w:eastAsia="Times New Roman" w:hAnsi="Arial" w:cs="Times New Roman"/>
          <w:b/>
          <w:bCs/>
          <w:color w:val="1F1F1F"/>
          <w:kern w:val="0"/>
          <w:sz w:val="36"/>
          <w:szCs w:val="36"/>
          <w14:ligatures w14:val="none"/>
        </w:rPr>
        <w:t>5. The API-Driven Stablecoin Orchestration Paradigm</w:t>
      </w:r>
    </w:p>
    <w:p w14:paraId="10CE4034"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14:ligatures w14:val="none"/>
        </w:rPr>
        <w:t xml:space="preserve">If the Platform Admin model collapses under regulatory weight, the Custodian-Led model fails due to technological friction, and legal exemptions prove too fragile for scale, a structural synthesis is required. The optimal architecture for Anansi Technology’s multi-tenant Spice application is </w:t>
      </w:r>
      <w:r w:rsidRPr="006A2984">
        <w:rPr>
          <w:rFonts w:ascii="Arial" w:eastAsia="Times New Roman" w:hAnsi="Arial" w:cs="Times New Roman"/>
          <w:b/>
          <w:bCs/>
          <w:color w:val="1F1F1F"/>
          <w:kern w:val="0"/>
          <w:bdr w:val="none" w:sz="0" w:space="0" w:color="auto" w:frame="1"/>
          <w14:ligatures w14:val="none"/>
        </w:rPr>
        <w:t>API-Driven Stablecoin Orchestration</w:t>
      </w:r>
      <w:r w:rsidRPr="006A2984">
        <w:rPr>
          <w:rFonts w:ascii="Arial" w:eastAsia="Times New Roman" w:hAnsi="Arial" w:cs="Times New Roman"/>
          <w:color w:val="1F1F1F"/>
          <w:kern w:val="0"/>
          <w14:ligatures w14:val="none"/>
        </w:rPr>
        <w:t>.</w:t>
      </w:r>
    </w:p>
    <w:p w14:paraId="5381BAB2"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Stablecoin orchestration serves as an abstracted, intelligent infrastructure layer that connects traditional fiat banking networks, blockchain ledgers, and global payout mechanisms. By integrating with modern, enterprise-grade orchestration providers—such as </w:t>
      </w:r>
      <w:proofErr w:type="spellStart"/>
      <w:r w:rsidRPr="006A2984">
        <w:rPr>
          <w:rFonts w:ascii="Arial" w:eastAsia="Times New Roman" w:hAnsi="Arial" w:cs="Times New Roman"/>
          <w:color w:val="1F1F1F"/>
          <w:kern w:val="0"/>
          <w:bdr w:val="none" w:sz="0" w:space="0" w:color="auto" w:frame="1"/>
          <w14:ligatures w14:val="none"/>
        </w:rPr>
        <w:t>Bridge.xyz</w:t>
      </w:r>
      <w:proofErr w:type="spellEnd"/>
      <w:r w:rsidRPr="006A2984">
        <w:rPr>
          <w:rFonts w:ascii="Arial" w:eastAsia="Times New Roman" w:hAnsi="Arial" w:cs="Times New Roman"/>
          <w:color w:val="1F1F1F"/>
          <w:kern w:val="0"/>
          <w:bdr w:val="none" w:sz="0" w:space="0" w:color="auto" w:frame="1"/>
          <w14:ligatures w14:val="none"/>
        </w:rPr>
        <w:t xml:space="preserve">, </w:t>
      </w:r>
      <w:proofErr w:type="spellStart"/>
      <w:r w:rsidRPr="006A2984">
        <w:rPr>
          <w:rFonts w:ascii="Arial" w:eastAsia="Times New Roman" w:hAnsi="Arial" w:cs="Times New Roman"/>
          <w:color w:val="1F1F1F"/>
          <w:kern w:val="0"/>
          <w:bdr w:val="none" w:sz="0" w:space="0" w:color="auto" w:frame="1"/>
          <w14:ligatures w14:val="none"/>
        </w:rPr>
        <w:t>Crossmint</w:t>
      </w:r>
      <w:proofErr w:type="spellEnd"/>
      <w:r w:rsidRPr="006A2984">
        <w:rPr>
          <w:rFonts w:ascii="Arial" w:eastAsia="Times New Roman" w:hAnsi="Arial" w:cs="Times New Roman"/>
          <w:color w:val="1F1F1F"/>
          <w:kern w:val="0"/>
          <w:bdr w:val="none" w:sz="0" w:space="0" w:color="auto" w:frame="1"/>
          <w14:ligatures w14:val="none"/>
        </w:rPr>
        <w:t>, or BVNK—Anansi can fully automate the yield distribution process without ever taking legal custody of the funds. This allows the GCNA to pay out the surplus using a standard domestic or international wire transfer, while token holders receive stablecoins instantly.</w:t>
      </w:r>
    </w:p>
    <w:p w14:paraId="32E41429" w14:textId="77777777" w:rsidR="006A2984" w:rsidRPr="006A2984" w:rsidRDefault="006A2984" w:rsidP="006A2984">
      <w:pPr>
        <w:spacing w:after="120" w:line="240" w:lineRule="auto"/>
        <w:outlineLvl w:val="2"/>
        <w:rPr>
          <w:rFonts w:ascii="Arial" w:eastAsia="Times New Roman" w:hAnsi="Arial" w:cs="Times New Roman"/>
          <w:b/>
          <w:bCs/>
          <w:color w:val="1F1F1F"/>
          <w:kern w:val="0"/>
          <w:sz w:val="27"/>
          <w:szCs w:val="27"/>
          <w14:ligatures w14:val="none"/>
        </w:rPr>
      </w:pPr>
      <w:r w:rsidRPr="006A2984">
        <w:rPr>
          <w:rFonts w:ascii="Arial" w:eastAsia="Times New Roman" w:hAnsi="Arial" w:cs="Times New Roman"/>
          <w:b/>
          <w:bCs/>
          <w:color w:val="1F1F1F"/>
          <w:kern w:val="0"/>
          <w:sz w:val="27"/>
          <w:szCs w:val="27"/>
          <w14:ligatures w14:val="none"/>
        </w:rPr>
        <w:t>5.1 The Mechanics of Virtual Accounts</w:t>
      </w:r>
    </w:p>
    <w:p w14:paraId="72E62609"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The cornerstone of the orchestration architecture is the deployment of "Virtual Accounts." Virtual accounts are permanent, reusable fiat deposit addresses generated programmatically via an API. These accounts sit directly on local banking rails (e.g., ACH or Wire in the US, SEPA in Europe, SPEI in Mexico, or FPS in the UK) but are cryptographically linked by the orchestration provider to specific on-chain smart contracts or digital wallet addresses.</w:t>
      </w:r>
    </w:p>
    <w:p w14:paraId="024E0981" w14:textId="77777777" w:rsidR="006A2984" w:rsidRPr="006A2984" w:rsidRDefault="006A2984" w:rsidP="006A2984">
      <w:pPr>
        <w:spacing w:after="15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14:ligatures w14:val="none"/>
        </w:rPr>
        <w:t>Under this architecture, the workflow for distributing the Spice app surplus operates with seamless efficiency:</w:t>
      </w:r>
    </w:p>
    <w:p w14:paraId="06CF5270" w14:textId="77777777" w:rsidR="006A2984" w:rsidRPr="006A2984" w:rsidRDefault="006A2984" w:rsidP="006A2984">
      <w:pPr>
        <w:numPr>
          <w:ilvl w:val="0"/>
          <w:numId w:val="1"/>
        </w:num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Infrastructure Configuration:</w:t>
      </w:r>
      <w:r w:rsidRPr="006A2984">
        <w:rPr>
          <w:rFonts w:ascii="Arial" w:eastAsia="Times New Roman" w:hAnsi="Arial" w:cs="Times New Roman"/>
          <w:color w:val="1F1F1F"/>
          <w:kern w:val="0"/>
          <w:bdr w:val="none" w:sz="0" w:space="0" w:color="auto" w:frame="1"/>
          <w14:ligatures w14:val="none"/>
        </w:rPr>
        <w:t xml:space="preserve"> Anansi integrates an orchestration API (e.g., Bridge) into the platform's backend. Anansi uses the API to execute a Know Your Business (KYB) module, verifying the GCNA as a legitimate institutional participant without requiring the GCNA to interact with the crypto ecosystem directly.</w:t>
      </w:r>
    </w:p>
    <w:p w14:paraId="5A9A4B7C" w14:textId="77777777" w:rsidR="006A2984" w:rsidRPr="006A2984" w:rsidRDefault="006A2984" w:rsidP="006A2984">
      <w:pPr>
        <w:numPr>
          <w:ilvl w:val="0"/>
          <w:numId w:val="1"/>
        </w:num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Virtual Account Generation:</w:t>
      </w:r>
      <w:r w:rsidRPr="006A2984">
        <w:rPr>
          <w:rFonts w:ascii="Arial" w:eastAsia="Times New Roman" w:hAnsi="Arial" w:cs="Times New Roman"/>
          <w:color w:val="1F1F1F"/>
          <w:kern w:val="0"/>
          <w:bdr w:val="none" w:sz="0" w:space="0" w:color="auto" w:frame="1"/>
          <w14:ligatures w14:val="none"/>
        </w:rPr>
        <w:t xml:space="preserve"> Through the API, Anansi generates a unique, dedicated Virtual Bank Account specifically assigned to the GCNA surplus event.</w:t>
      </w:r>
    </w:p>
    <w:p w14:paraId="6C4EB8BD" w14:textId="77777777" w:rsidR="006A2984" w:rsidRPr="006A2984" w:rsidRDefault="006A2984" w:rsidP="006A2984">
      <w:pPr>
        <w:numPr>
          <w:ilvl w:val="0"/>
          <w:numId w:val="1"/>
        </w:num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Frictionless Fiat Deposit:</w:t>
      </w:r>
      <w:r w:rsidRPr="006A2984">
        <w:rPr>
          <w:rFonts w:ascii="Arial" w:eastAsia="Times New Roman" w:hAnsi="Arial" w:cs="Times New Roman"/>
          <w:color w:val="1F1F1F"/>
          <w:kern w:val="0"/>
          <w:bdr w:val="none" w:sz="0" w:space="0" w:color="auto" w:frame="1"/>
          <w14:ligatures w14:val="none"/>
        </w:rPr>
        <w:t xml:space="preserve"> When the GCNA finalizes its accounting and determines the end-of-year </w:t>
      </w:r>
      <w:proofErr w:type="gramStart"/>
      <w:r w:rsidRPr="006A2984">
        <w:rPr>
          <w:rFonts w:ascii="Arial" w:eastAsia="Times New Roman" w:hAnsi="Arial" w:cs="Times New Roman"/>
          <w:color w:val="1F1F1F"/>
          <w:kern w:val="0"/>
          <w:bdr w:val="none" w:sz="0" w:space="0" w:color="auto" w:frame="1"/>
          <w14:ligatures w14:val="none"/>
        </w:rPr>
        <w:t>surplus ,</w:t>
      </w:r>
      <w:proofErr w:type="gramEnd"/>
      <w:r w:rsidRPr="006A2984">
        <w:rPr>
          <w:rFonts w:ascii="Arial" w:eastAsia="Times New Roman" w:hAnsi="Arial" w:cs="Times New Roman"/>
          <w:color w:val="1F1F1F"/>
          <w:kern w:val="0"/>
          <w:bdr w:val="none" w:sz="0" w:space="0" w:color="auto" w:frame="1"/>
          <w14:ligatures w14:val="none"/>
        </w:rPr>
        <w:t xml:space="preserve"> their finance department simply logs into their existing traditional corporate bank portal and executes a standard wire transfer to the provided Virtual Account routing number. To the GCNA, the transaction looks, feels, and is recorded exactly like paying a traditional, legacy vendor.</w:t>
      </w:r>
    </w:p>
    <w:p w14:paraId="23122060" w14:textId="77777777" w:rsidR="006A2984" w:rsidRPr="006A2984" w:rsidRDefault="006A2984" w:rsidP="006A2984">
      <w:pPr>
        <w:numPr>
          <w:ilvl w:val="0"/>
          <w:numId w:val="1"/>
        </w:num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lastRenderedPageBreak/>
        <w:t>Automated Conversion Pipeline:</w:t>
      </w:r>
      <w:r w:rsidRPr="006A2984">
        <w:rPr>
          <w:rFonts w:ascii="Arial" w:eastAsia="Times New Roman" w:hAnsi="Arial" w:cs="Times New Roman"/>
          <w:color w:val="1F1F1F"/>
          <w:kern w:val="0"/>
          <w:bdr w:val="none" w:sz="0" w:space="0" w:color="auto" w:frame="1"/>
          <w14:ligatures w14:val="none"/>
        </w:rPr>
        <w:t xml:space="preserve"> The moment the fiat funds arrive at the Virtual Account, the orchestration provider’s regulated banking partners receive the funds. The provider’s API automatically detects the incoming wire and immediately converts the fiat into USDC with zero slippage or negligible FX spreads.</w:t>
      </w:r>
    </w:p>
    <w:p w14:paraId="0970C424" w14:textId="77777777" w:rsidR="006A2984" w:rsidRPr="006A2984" w:rsidRDefault="006A2984" w:rsidP="006A2984">
      <w:pPr>
        <w:numPr>
          <w:ilvl w:val="0"/>
          <w:numId w:val="1"/>
        </w:num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On-Chain Disbursement:</w:t>
      </w:r>
      <w:r w:rsidRPr="006A2984">
        <w:rPr>
          <w:rFonts w:ascii="Arial" w:eastAsia="Times New Roman" w:hAnsi="Arial" w:cs="Times New Roman"/>
          <w:color w:val="1F1F1F"/>
          <w:kern w:val="0"/>
          <w:bdr w:val="none" w:sz="0" w:space="0" w:color="auto" w:frame="1"/>
          <w14:ligatures w14:val="none"/>
        </w:rPr>
        <w:t xml:space="preserve"> The orchestration provider instantly pushes the newly minted USDC to Anansi's designated master smart contract, which autonomously and transparently disperses the yield to the underlying token holders' wallets based on their fractional ownership.</w:t>
      </w:r>
    </w:p>
    <w:p w14:paraId="46215492" w14:textId="77777777" w:rsidR="006A2984" w:rsidRPr="006A2984" w:rsidRDefault="006A2984" w:rsidP="006A2984">
      <w:pPr>
        <w:spacing w:after="120" w:line="240" w:lineRule="auto"/>
        <w:outlineLvl w:val="2"/>
        <w:rPr>
          <w:rFonts w:ascii="Arial" w:eastAsia="Times New Roman" w:hAnsi="Arial" w:cs="Times New Roman"/>
          <w:b/>
          <w:bCs/>
          <w:color w:val="1F1F1F"/>
          <w:kern w:val="0"/>
          <w:sz w:val="27"/>
          <w:szCs w:val="27"/>
          <w14:ligatures w14:val="none"/>
        </w:rPr>
      </w:pPr>
      <w:r w:rsidRPr="006A2984">
        <w:rPr>
          <w:rFonts w:ascii="Arial" w:eastAsia="Times New Roman" w:hAnsi="Arial" w:cs="Times New Roman"/>
          <w:b/>
          <w:bCs/>
          <w:color w:val="1F1F1F"/>
          <w:kern w:val="0"/>
          <w:sz w:val="27"/>
          <w:szCs w:val="27"/>
          <w14:ligatures w14:val="none"/>
        </w:rPr>
        <w:t>5.2 Real-Time Event Tracking and Deterministic Reconciliation</w:t>
      </w:r>
    </w:p>
    <w:p w14:paraId="07B6476C" w14:textId="77777777" w:rsidR="006A2984" w:rsidRPr="006A2984" w:rsidRDefault="006A2984" w:rsidP="006A2984">
      <w:pPr>
        <w:spacing w:after="15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14:ligatures w14:val="none"/>
        </w:rPr>
        <w:t>An essential component of the orchestration architecture is programmatic reconciliation. When managing surplus payouts from multiple agricultural custodians simultaneously, Anansi must achieve deterministic matching of incoming fiat to specific smart contract distribution logic, ensuring pristine auditability.</w:t>
      </w:r>
    </w:p>
    <w:p w14:paraId="76DEC0AA"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Modern orchestration APIs utilize event-driven webhooks to achieve this synchronization. Instead of constantly polling an API for updates, Anansi's servers receive real-time JSON payloads whenever an event occurs (e.g., when a wire is received, when conversion completes, and when the blockchain transaction settles). When a custodian initiates a wire transfer, the global banking system attaches standard, unalterable identifiers to the transaction.</w:t>
      </w:r>
    </w:p>
    <w:tbl>
      <w:tblPr>
        <w:tblW w:w="0" w:type="auto"/>
        <w:tblCellSpacing w:w="15" w:type="dxa"/>
        <w:tblCellMar>
          <w:left w:w="0" w:type="dxa"/>
          <w:right w:w="0" w:type="dxa"/>
        </w:tblCellMar>
        <w:tblLook w:val="04A0" w:firstRow="1" w:lastRow="0" w:firstColumn="1" w:lastColumn="0" w:noHBand="0" w:noVBand="1"/>
      </w:tblPr>
      <w:tblGrid>
        <w:gridCol w:w="1961"/>
        <w:gridCol w:w="2554"/>
        <w:gridCol w:w="4829"/>
      </w:tblGrid>
      <w:tr w:rsidR="006A2984" w:rsidRPr="006A2984" w14:paraId="60FF9C8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23011"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Payment Rail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AF530"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System Tracking Identifier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CF354"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Orchestration API Function</w:t>
            </w:r>
          </w:p>
        </w:tc>
      </w:tr>
      <w:tr w:rsidR="006A2984" w:rsidRPr="006A2984" w14:paraId="0FD16E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4DE07"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US 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69D78" w14:textId="77777777" w:rsidR="006A2984" w:rsidRPr="006A2984" w:rsidRDefault="006A2984" w:rsidP="006A2984">
            <w:pPr>
              <w:spacing w:after="0" w:line="240" w:lineRule="auto"/>
              <w:rPr>
                <w:rFonts w:ascii="Arial" w:eastAsia="Times New Roman" w:hAnsi="Arial" w:cs="Times New Roman"/>
                <w:color w:val="1F1F1F"/>
                <w:kern w:val="0"/>
                <w14:ligatures w14:val="none"/>
              </w:rPr>
            </w:pPr>
            <w:proofErr w:type="spellStart"/>
            <w:r w:rsidRPr="006A2984">
              <w:rPr>
                <w:rFonts w:ascii="Arial" w:eastAsia="Times New Roman" w:hAnsi="Arial" w:cs="Courier New"/>
                <w:color w:val="444746"/>
                <w:kern w:val="0"/>
                <w:sz w:val="20"/>
                <w:szCs w:val="20"/>
                <w:bdr w:val="none" w:sz="0" w:space="0" w:color="auto" w:frame="1"/>
                <w14:ligatures w14:val="none"/>
              </w:rPr>
              <w:t>trace_number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3BFC9"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Tracks the transaction definitively through the US automated clearing house.</w:t>
            </w:r>
          </w:p>
        </w:tc>
      </w:tr>
      <w:tr w:rsidR="006A2984" w:rsidRPr="006A2984" w14:paraId="634E60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7F7BE"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US Wire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828D7" w14:textId="77777777" w:rsidR="006A2984" w:rsidRPr="006A2984" w:rsidRDefault="006A2984" w:rsidP="006A2984">
            <w:pPr>
              <w:spacing w:after="0" w:line="240" w:lineRule="auto"/>
              <w:rPr>
                <w:rFonts w:ascii="Arial" w:eastAsia="Times New Roman" w:hAnsi="Arial" w:cs="Times New Roman"/>
                <w:color w:val="1F1F1F"/>
                <w:kern w:val="0"/>
                <w14:ligatures w14:val="none"/>
              </w:rPr>
            </w:pPr>
            <w:proofErr w:type="spellStart"/>
            <w:r w:rsidRPr="006A2984">
              <w:rPr>
                <w:rFonts w:ascii="Arial" w:eastAsia="Times New Roman" w:hAnsi="Arial" w:cs="Courier New"/>
                <w:color w:val="444746"/>
                <w:kern w:val="0"/>
                <w:sz w:val="20"/>
                <w:szCs w:val="20"/>
                <w:bdr w:val="none" w:sz="0" w:space="0" w:color="auto" w:frame="1"/>
                <w14:ligatures w14:val="none"/>
              </w:rPr>
              <w:t>imad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37A7B"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A unique alphanumeric string identifying the specific Federal Reserve wire.</w:t>
            </w:r>
          </w:p>
        </w:tc>
      </w:tr>
      <w:tr w:rsidR="006A2984" w:rsidRPr="006A2984" w14:paraId="765AB6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85BCE"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European SEPA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6C3A0" w14:textId="77777777" w:rsidR="006A2984" w:rsidRPr="006A2984" w:rsidRDefault="006A2984" w:rsidP="006A2984">
            <w:pPr>
              <w:spacing w:after="0" w:line="240" w:lineRule="auto"/>
              <w:rPr>
                <w:rFonts w:ascii="Arial" w:eastAsia="Times New Roman" w:hAnsi="Arial" w:cs="Times New Roman"/>
                <w:color w:val="1F1F1F"/>
                <w:kern w:val="0"/>
                <w14:ligatures w14:val="none"/>
              </w:rPr>
            </w:pPr>
            <w:proofErr w:type="spellStart"/>
            <w:r w:rsidRPr="006A2984">
              <w:rPr>
                <w:rFonts w:ascii="Arial" w:eastAsia="Times New Roman" w:hAnsi="Arial" w:cs="Courier New"/>
                <w:color w:val="444746"/>
                <w:kern w:val="0"/>
                <w:sz w:val="20"/>
                <w:szCs w:val="20"/>
                <w:bdr w:val="none" w:sz="0" w:space="0" w:color="auto" w:frame="1"/>
                <w14:ligatures w14:val="none"/>
              </w:rPr>
              <w:t>uetr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BD080"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A UUID-formatted identifier compliant with ISO 20022 messaging standards.</w:t>
            </w:r>
          </w:p>
        </w:tc>
      </w:tr>
      <w:tr w:rsidR="006A2984" w:rsidRPr="006A2984" w14:paraId="795C49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C5F1C"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On-Chain (Crypto)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95FF6" w14:textId="77777777" w:rsidR="006A2984" w:rsidRPr="006A2984" w:rsidRDefault="006A2984" w:rsidP="006A2984">
            <w:pPr>
              <w:spacing w:after="0" w:line="240" w:lineRule="auto"/>
              <w:rPr>
                <w:rFonts w:ascii="Arial" w:eastAsia="Times New Roman" w:hAnsi="Arial" w:cs="Times New Roman"/>
                <w:color w:val="1F1F1F"/>
                <w:kern w:val="0"/>
                <w14:ligatures w14:val="none"/>
              </w:rPr>
            </w:pPr>
            <w:proofErr w:type="spellStart"/>
            <w:r w:rsidRPr="006A2984">
              <w:rPr>
                <w:rFonts w:ascii="Arial" w:eastAsia="Times New Roman" w:hAnsi="Arial" w:cs="Courier New"/>
                <w:color w:val="444746"/>
                <w:kern w:val="0"/>
                <w:sz w:val="20"/>
                <w:szCs w:val="20"/>
                <w:bdr w:val="none" w:sz="0" w:space="0" w:color="auto" w:frame="1"/>
                <w14:ligatures w14:val="none"/>
              </w:rPr>
              <w:t>source_trx_hash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308FB"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The cryptographic hash providing immutable proof of on-chain settlement.</w:t>
            </w:r>
          </w:p>
        </w:tc>
      </w:tr>
    </w:tbl>
    <w:p w14:paraId="648B9F52"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Table 3: Payment Rail Tracking Identifiers for Automated API Reconciliation.</w:t>
      </w:r>
    </w:p>
    <w:p w14:paraId="5B6BF16B"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By programmatically mapping the incoming fiat </w:t>
      </w:r>
      <w:proofErr w:type="spellStart"/>
      <w:r w:rsidRPr="006A2984">
        <w:rPr>
          <w:rFonts w:ascii="Arial" w:eastAsia="Times New Roman" w:hAnsi="Arial" w:cs="Courier New"/>
          <w:color w:val="444746"/>
          <w:kern w:val="0"/>
          <w:sz w:val="20"/>
          <w:szCs w:val="20"/>
          <w:bdr w:val="none" w:sz="0" w:space="0" w:color="auto" w:frame="1"/>
          <w14:ligatures w14:val="none"/>
        </w:rPr>
        <w:t>imad</w:t>
      </w:r>
      <w:proofErr w:type="spellEnd"/>
      <w:r w:rsidRPr="006A2984">
        <w:rPr>
          <w:rFonts w:ascii="Arial" w:eastAsia="Times New Roman" w:hAnsi="Arial" w:cs="Times New Roman"/>
          <w:color w:val="1F1F1F"/>
          <w:kern w:val="0"/>
          <w:bdr w:val="none" w:sz="0" w:space="0" w:color="auto" w:frame="1"/>
          <w14:ligatures w14:val="none"/>
        </w:rPr>
        <w:t xml:space="preserve"> or </w:t>
      </w:r>
      <w:proofErr w:type="spellStart"/>
      <w:r w:rsidRPr="006A2984">
        <w:rPr>
          <w:rFonts w:ascii="Arial" w:eastAsia="Times New Roman" w:hAnsi="Arial" w:cs="Courier New"/>
          <w:color w:val="444746"/>
          <w:kern w:val="0"/>
          <w:sz w:val="20"/>
          <w:szCs w:val="20"/>
          <w:bdr w:val="none" w:sz="0" w:space="0" w:color="auto" w:frame="1"/>
          <w14:ligatures w14:val="none"/>
        </w:rPr>
        <w:t>uetr</w:t>
      </w:r>
      <w:proofErr w:type="spellEnd"/>
      <w:r w:rsidRPr="006A2984">
        <w:rPr>
          <w:rFonts w:ascii="Arial" w:eastAsia="Times New Roman" w:hAnsi="Arial" w:cs="Times New Roman"/>
          <w:color w:val="1F1F1F"/>
          <w:kern w:val="0"/>
          <w:bdr w:val="none" w:sz="0" w:space="0" w:color="auto" w:frame="1"/>
          <w14:ligatures w14:val="none"/>
        </w:rPr>
        <w:t xml:space="preserve"> directly to the outgoing on-chain </w:t>
      </w:r>
      <w:proofErr w:type="spellStart"/>
      <w:r w:rsidRPr="006A2984">
        <w:rPr>
          <w:rFonts w:ascii="Arial" w:eastAsia="Times New Roman" w:hAnsi="Arial" w:cs="Courier New"/>
          <w:color w:val="444746"/>
          <w:kern w:val="0"/>
          <w:sz w:val="20"/>
          <w:szCs w:val="20"/>
          <w:bdr w:val="none" w:sz="0" w:space="0" w:color="auto" w:frame="1"/>
          <w14:ligatures w14:val="none"/>
        </w:rPr>
        <w:t>source_trx_hash</w:t>
      </w:r>
      <w:proofErr w:type="spellEnd"/>
      <w:r w:rsidRPr="006A2984">
        <w:rPr>
          <w:rFonts w:ascii="Arial" w:eastAsia="Times New Roman" w:hAnsi="Arial" w:cs="Times New Roman"/>
          <w:color w:val="1F1F1F"/>
          <w:kern w:val="0"/>
          <w:bdr w:val="none" w:sz="0" w:space="0" w:color="auto" w:frame="1"/>
          <w14:ligatures w14:val="none"/>
        </w:rPr>
        <w:t>, Anansi’s platform can provide the GCNA with an immutable, auditable receipt proving that their specific fiat wire directly resulted in specific token distributions to their investors. This level of granular auditability is critical for maintaining trust in traditional agricultural cooperatives and satisfying independent auditors. Furthermore, orchestration dashboards allow operational teams to manage these customer wallets, track missing KYB information, and resolve unmatched deposits from a central command center without requiring continuous custom engineering.</w:t>
      </w:r>
    </w:p>
    <w:p w14:paraId="57196D89" w14:textId="77777777" w:rsidR="006A2984" w:rsidRPr="006A2984" w:rsidRDefault="006A2984" w:rsidP="006A2984">
      <w:pPr>
        <w:spacing w:after="120" w:line="240" w:lineRule="auto"/>
        <w:outlineLvl w:val="2"/>
        <w:rPr>
          <w:rFonts w:ascii="Arial" w:eastAsia="Times New Roman" w:hAnsi="Arial" w:cs="Times New Roman"/>
          <w:b/>
          <w:bCs/>
          <w:color w:val="1F1F1F"/>
          <w:kern w:val="0"/>
          <w:sz w:val="27"/>
          <w:szCs w:val="27"/>
          <w14:ligatures w14:val="none"/>
        </w:rPr>
      </w:pPr>
      <w:r w:rsidRPr="006A2984">
        <w:rPr>
          <w:rFonts w:ascii="Arial" w:eastAsia="Times New Roman" w:hAnsi="Arial" w:cs="Times New Roman"/>
          <w:b/>
          <w:bCs/>
          <w:color w:val="1F1F1F"/>
          <w:kern w:val="0"/>
          <w:sz w:val="27"/>
          <w:szCs w:val="27"/>
          <w14:ligatures w14:val="none"/>
        </w:rPr>
        <w:lastRenderedPageBreak/>
        <w:t>5.3 Shielding the Platform from Regulatory Liability</w:t>
      </w:r>
    </w:p>
    <w:p w14:paraId="058C0E8B"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By utilizing an orchestration provider, Anansi Technology effectively neutralizes its existential regulatory exposure. Under the U.S. Department of Justice (DOJ) and FinCEN guidelines, developers of neutral software tools and communication protocols are not held liable as money transmitters, provided they do not take physical possession or control of the funds. A recent DOJ directive explicitly noted a policy departure from pursuing unlicensed money transmission charges under 18 U.S.C. § 1960 against software developers who merely create decentralized platforms, emphasizing that developers of neutral tools with no criminal intent should not be held responsible for the transmission of value.</w:t>
      </w:r>
    </w:p>
    <w:p w14:paraId="6916A1F1"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Because the fiat funds flow directly from the GCNA’s corporate bank to a fully licensed orchestration provider (which holds the necessary MTLs, MSB registrations, and trust charters globally), and the converted USDC flows directly from the provider to the users' wallets, Anansi is legally relegated to the role of a data router. Anansi orchestrates the </w:t>
      </w:r>
      <w:r w:rsidRPr="006A2984">
        <w:rPr>
          <w:rFonts w:ascii="Arial" w:eastAsia="Times New Roman" w:hAnsi="Arial" w:cs="Times New Roman"/>
          <w:i/>
          <w:iCs/>
          <w:color w:val="1F1F1F"/>
          <w:kern w:val="0"/>
          <w:bdr w:val="none" w:sz="0" w:space="0" w:color="auto" w:frame="1"/>
          <w14:ligatures w14:val="none"/>
        </w:rPr>
        <w:t>information</w:t>
      </w:r>
      <w:r w:rsidRPr="006A2984">
        <w:rPr>
          <w:rFonts w:ascii="Arial" w:eastAsia="Times New Roman" w:hAnsi="Arial" w:cs="Times New Roman"/>
          <w:color w:val="1F1F1F"/>
          <w:kern w:val="0"/>
          <w:bdr w:val="none" w:sz="0" w:space="0" w:color="auto" w:frame="1"/>
          <w14:ligatures w14:val="none"/>
        </w:rPr>
        <w:t xml:space="preserve"> regarding the </w:t>
      </w:r>
      <w:proofErr w:type="gramStart"/>
      <w:r w:rsidRPr="006A2984">
        <w:rPr>
          <w:rFonts w:ascii="Arial" w:eastAsia="Times New Roman" w:hAnsi="Arial" w:cs="Times New Roman"/>
          <w:color w:val="1F1F1F"/>
          <w:kern w:val="0"/>
          <w:bdr w:val="none" w:sz="0" w:space="0" w:color="auto" w:frame="1"/>
          <w14:ligatures w14:val="none"/>
        </w:rPr>
        <w:t>payment, but</w:t>
      </w:r>
      <w:proofErr w:type="gramEnd"/>
      <w:r w:rsidRPr="006A2984">
        <w:rPr>
          <w:rFonts w:ascii="Arial" w:eastAsia="Times New Roman" w:hAnsi="Arial" w:cs="Times New Roman"/>
          <w:color w:val="1F1F1F"/>
          <w:kern w:val="0"/>
          <w:bdr w:val="none" w:sz="0" w:space="0" w:color="auto" w:frame="1"/>
          <w14:ligatures w14:val="none"/>
        </w:rPr>
        <w:t xml:space="preserve"> never touches the </w:t>
      </w:r>
      <w:r w:rsidRPr="006A2984">
        <w:rPr>
          <w:rFonts w:ascii="Arial" w:eastAsia="Times New Roman" w:hAnsi="Arial" w:cs="Times New Roman"/>
          <w:i/>
          <w:iCs/>
          <w:color w:val="1F1F1F"/>
          <w:kern w:val="0"/>
          <w:bdr w:val="none" w:sz="0" w:space="0" w:color="auto" w:frame="1"/>
          <w14:ligatures w14:val="none"/>
        </w:rPr>
        <w:t>value</w:t>
      </w:r>
      <w:r w:rsidRPr="006A2984">
        <w:rPr>
          <w:rFonts w:ascii="Arial" w:eastAsia="Times New Roman" w:hAnsi="Arial" w:cs="Times New Roman"/>
          <w:color w:val="1F1F1F"/>
          <w:kern w:val="0"/>
          <w:bdr w:val="none" w:sz="0" w:space="0" w:color="auto" w:frame="1"/>
          <w14:ligatures w14:val="none"/>
        </w:rPr>
        <w:t xml:space="preserve">. This elegant architecture allows the platform to entirely bypass the $230,000+ year-one cost of acquiring 50-state </w:t>
      </w:r>
      <w:proofErr w:type="gramStart"/>
      <w:r w:rsidRPr="006A2984">
        <w:rPr>
          <w:rFonts w:ascii="Arial" w:eastAsia="Times New Roman" w:hAnsi="Arial" w:cs="Times New Roman"/>
          <w:color w:val="1F1F1F"/>
          <w:kern w:val="0"/>
          <w:bdr w:val="none" w:sz="0" w:space="0" w:color="auto" w:frame="1"/>
          <w14:ligatures w14:val="none"/>
        </w:rPr>
        <w:t>MTLs ,</w:t>
      </w:r>
      <w:proofErr w:type="gramEnd"/>
      <w:r w:rsidRPr="006A2984">
        <w:rPr>
          <w:rFonts w:ascii="Arial" w:eastAsia="Times New Roman" w:hAnsi="Arial" w:cs="Times New Roman"/>
          <w:color w:val="1F1F1F"/>
          <w:kern w:val="0"/>
          <w:bdr w:val="none" w:sz="0" w:space="0" w:color="auto" w:frame="1"/>
          <w14:ligatures w14:val="none"/>
        </w:rPr>
        <w:t xml:space="preserve"> operating purely as a highly scalable, high-margin SaaS (Software as a Service) vendor.</w:t>
      </w:r>
    </w:p>
    <w:p w14:paraId="244F8447" w14:textId="77777777" w:rsidR="006A2984" w:rsidRPr="006A2984" w:rsidRDefault="006A2984" w:rsidP="006A2984">
      <w:pPr>
        <w:spacing w:after="120" w:line="240" w:lineRule="auto"/>
        <w:outlineLvl w:val="1"/>
        <w:rPr>
          <w:rFonts w:ascii="Arial" w:eastAsia="Times New Roman" w:hAnsi="Arial" w:cs="Times New Roman"/>
          <w:b/>
          <w:bCs/>
          <w:color w:val="1F1F1F"/>
          <w:kern w:val="0"/>
          <w:sz w:val="36"/>
          <w:szCs w:val="36"/>
          <w14:ligatures w14:val="none"/>
        </w:rPr>
      </w:pPr>
      <w:r w:rsidRPr="006A2984">
        <w:rPr>
          <w:rFonts w:ascii="Arial" w:eastAsia="Times New Roman" w:hAnsi="Arial" w:cs="Times New Roman"/>
          <w:b/>
          <w:bCs/>
          <w:color w:val="1F1F1F"/>
          <w:kern w:val="0"/>
          <w:sz w:val="36"/>
          <w:szCs w:val="36"/>
          <w14:ligatures w14:val="none"/>
        </w:rPr>
        <w:t>6. Infrastructure Vendor Landscape: Evaluating Orchestration Partners</w:t>
      </w:r>
    </w:p>
    <w:p w14:paraId="19925696" w14:textId="77777777" w:rsidR="006A2984" w:rsidRPr="006A2984" w:rsidRDefault="006A2984" w:rsidP="006A2984">
      <w:pPr>
        <w:spacing w:after="15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14:ligatures w14:val="none"/>
        </w:rPr>
        <w:t xml:space="preserve">Executing the orchestration model requires selecting an infrastructure partner capable of handling the entire stack: regulatory compliance, fiat </w:t>
      </w:r>
      <w:proofErr w:type="gramStart"/>
      <w:r w:rsidRPr="006A2984">
        <w:rPr>
          <w:rFonts w:ascii="Arial" w:eastAsia="Times New Roman" w:hAnsi="Arial" w:cs="Times New Roman"/>
          <w:color w:val="1F1F1F"/>
          <w:kern w:val="0"/>
          <w14:ligatures w14:val="none"/>
        </w:rPr>
        <w:t>on-ramping</w:t>
      </w:r>
      <w:proofErr w:type="gramEnd"/>
      <w:r w:rsidRPr="006A2984">
        <w:rPr>
          <w:rFonts w:ascii="Arial" w:eastAsia="Times New Roman" w:hAnsi="Arial" w:cs="Times New Roman"/>
          <w:color w:val="1F1F1F"/>
          <w:kern w:val="0"/>
          <w14:ligatures w14:val="none"/>
        </w:rPr>
        <w:t>, stablecoin minting, and smart contract routing. The current infrastructure market is highly bifurcated between direct stablecoin issuers and full-stack orchestration platforms.</w:t>
      </w:r>
    </w:p>
    <w:p w14:paraId="1E107436" w14:textId="77777777" w:rsidR="006A2984" w:rsidRPr="006A2984" w:rsidRDefault="006A2984" w:rsidP="006A2984">
      <w:pPr>
        <w:spacing w:after="120" w:line="240" w:lineRule="auto"/>
        <w:outlineLvl w:val="2"/>
        <w:rPr>
          <w:rFonts w:ascii="Arial" w:eastAsia="Times New Roman" w:hAnsi="Arial" w:cs="Times New Roman"/>
          <w:b/>
          <w:bCs/>
          <w:color w:val="1F1F1F"/>
          <w:kern w:val="0"/>
          <w:sz w:val="27"/>
          <w:szCs w:val="27"/>
          <w14:ligatures w14:val="none"/>
        </w:rPr>
      </w:pPr>
      <w:r w:rsidRPr="006A2984">
        <w:rPr>
          <w:rFonts w:ascii="Arial" w:eastAsia="Times New Roman" w:hAnsi="Arial" w:cs="Times New Roman"/>
          <w:b/>
          <w:bCs/>
          <w:color w:val="1F1F1F"/>
          <w:kern w:val="0"/>
          <w:sz w:val="27"/>
          <w:szCs w:val="27"/>
          <w14:ligatures w14:val="none"/>
        </w:rPr>
        <w:t>6.1 Direct Issuers vs. Full-Stack Orchestrators</w:t>
      </w:r>
    </w:p>
    <w:p w14:paraId="78470C89"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While platforms like Circle Mint offer direct access to massive USDC liquidity (backed by over $77 billion in reserves) at virtually zero fees for large institutional inbound </w:t>
      </w:r>
      <w:proofErr w:type="gramStart"/>
      <w:r w:rsidRPr="006A2984">
        <w:rPr>
          <w:rFonts w:ascii="Arial" w:eastAsia="Times New Roman" w:hAnsi="Arial" w:cs="Times New Roman"/>
          <w:color w:val="1F1F1F"/>
          <w:kern w:val="0"/>
          <w:bdr w:val="none" w:sz="0" w:space="0" w:color="auto" w:frame="1"/>
          <w14:ligatures w14:val="none"/>
        </w:rPr>
        <w:t>wires ,</w:t>
      </w:r>
      <w:proofErr w:type="gramEnd"/>
      <w:r w:rsidRPr="006A2984">
        <w:rPr>
          <w:rFonts w:ascii="Arial" w:eastAsia="Times New Roman" w:hAnsi="Arial" w:cs="Times New Roman"/>
          <w:color w:val="1F1F1F"/>
          <w:kern w:val="0"/>
          <w:bdr w:val="none" w:sz="0" w:space="0" w:color="auto" w:frame="1"/>
          <w14:ligatures w14:val="none"/>
        </w:rPr>
        <w:t xml:space="preserve"> they are architected primarily for large financial institutions, massive cryptocurrency exchanges, and highly sophisticated algorithmic trading firms. Circle’s APIs provide powerful capabilities for creating developer-controlled wallets and unified cross-chain </w:t>
      </w:r>
      <w:proofErr w:type="gramStart"/>
      <w:r w:rsidRPr="006A2984">
        <w:rPr>
          <w:rFonts w:ascii="Arial" w:eastAsia="Times New Roman" w:hAnsi="Arial" w:cs="Times New Roman"/>
          <w:color w:val="1F1F1F"/>
          <w:kern w:val="0"/>
          <w:bdr w:val="none" w:sz="0" w:space="0" w:color="auto" w:frame="1"/>
          <w14:ligatures w14:val="none"/>
        </w:rPr>
        <w:t>balances ,</w:t>
      </w:r>
      <w:proofErr w:type="gramEnd"/>
      <w:r w:rsidRPr="006A2984">
        <w:rPr>
          <w:rFonts w:ascii="Arial" w:eastAsia="Times New Roman" w:hAnsi="Arial" w:cs="Times New Roman"/>
          <w:color w:val="1F1F1F"/>
          <w:kern w:val="0"/>
          <w:bdr w:val="none" w:sz="0" w:space="0" w:color="auto" w:frame="1"/>
          <w14:ligatures w14:val="none"/>
        </w:rPr>
        <w:t xml:space="preserve"> but Circle explicitly requires the integrating business to "bring their own" compliance framework and does not natively handle the complex, multi-tenant "last mile" of localized fiat delivery without extensive custom engineering by the client.</w:t>
      </w:r>
    </w:p>
    <w:p w14:paraId="58B8EA90"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Conversely, orchestration platforms like </w:t>
      </w:r>
      <w:proofErr w:type="spellStart"/>
      <w:r w:rsidRPr="006A2984">
        <w:rPr>
          <w:rFonts w:ascii="Arial" w:eastAsia="Times New Roman" w:hAnsi="Arial" w:cs="Times New Roman"/>
          <w:color w:val="1F1F1F"/>
          <w:kern w:val="0"/>
          <w:bdr w:val="none" w:sz="0" w:space="0" w:color="auto" w:frame="1"/>
          <w14:ligatures w14:val="none"/>
        </w:rPr>
        <w:t>Bridge.xyz</w:t>
      </w:r>
      <w:proofErr w:type="spellEnd"/>
      <w:r w:rsidRPr="006A2984">
        <w:rPr>
          <w:rFonts w:ascii="Arial" w:eastAsia="Times New Roman" w:hAnsi="Arial" w:cs="Times New Roman"/>
          <w:color w:val="1F1F1F"/>
          <w:kern w:val="0"/>
          <w:bdr w:val="none" w:sz="0" w:space="0" w:color="auto" w:frame="1"/>
          <w14:ligatures w14:val="none"/>
        </w:rPr>
        <w:t xml:space="preserve"> and </w:t>
      </w:r>
      <w:proofErr w:type="spellStart"/>
      <w:r w:rsidRPr="006A2984">
        <w:rPr>
          <w:rFonts w:ascii="Arial" w:eastAsia="Times New Roman" w:hAnsi="Arial" w:cs="Times New Roman"/>
          <w:color w:val="1F1F1F"/>
          <w:kern w:val="0"/>
          <w:bdr w:val="none" w:sz="0" w:space="0" w:color="auto" w:frame="1"/>
          <w14:ligatures w14:val="none"/>
        </w:rPr>
        <w:t>Crossmint</w:t>
      </w:r>
      <w:proofErr w:type="spellEnd"/>
      <w:r w:rsidRPr="006A2984">
        <w:rPr>
          <w:rFonts w:ascii="Arial" w:eastAsia="Times New Roman" w:hAnsi="Arial" w:cs="Times New Roman"/>
          <w:color w:val="1F1F1F"/>
          <w:kern w:val="0"/>
          <w:bdr w:val="none" w:sz="0" w:space="0" w:color="auto" w:frame="1"/>
          <w14:ligatures w14:val="none"/>
        </w:rPr>
        <w:t xml:space="preserve"> abstract the entire compliance, wallet creation, and fiat delivery stack into a single unified API. Bridge’s infrastructure is specifically tailored for B2B cross-border payments, neo-banks, and multi-tenant RWA platforms.</w:t>
      </w:r>
    </w:p>
    <w:tbl>
      <w:tblPr>
        <w:tblW w:w="0" w:type="auto"/>
        <w:tblCellSpacing w:w="15" w:type="dxa"/>
        <w:tblCellMar>
          <w:left w:w="0" w:type="dxa"/>
          <w:right w:w="0" w:type="dxa"/>
        </w:tblCellMar>
        <w:tblLook w:val="04A0" w:firstRow="1" w:lastRow="0" w:firstColumn="1" w:lastColumn="0" w:noHBand="0" w:noVBand="1"/>
      </w:tblPr>
      <w:tblGrid>
        <w:gridCol w:w="2591"/>
        <w:gridCol w:w="3561"/>
        <w:gridCol w:w="3192"/>
      </w:tblGrid>
      <w:tr w:rsidR="006A2984" w:rsidRPr="006A2984" w14:paraId="1135F4A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B8DD3"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lastRenderedPageBreak/>
              <w:t>Infrastructure 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CA6A0"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 xml:space="preserve">Full-Stack Orchestration (e.g., </w:t>
            </w:r>
            <w:proofErr w:type="spellStart"/>
            <w:r w:rsidRPr="006A2984">
              <w:rPr>
                <w:rFonts w:ascii="Arial" w:eastAsia="Times New Roman" w:hAnsi="Arial" w:cs="Times New Roman"/>
                <w:b/>
                <w:bCs/>
                <w:color w:val="1F1F1F"/>
                <w:kern w:val="0"/>
                <w:bdr w:val="none" w:sz="0" w:space="0" w:color="auto" w:frame="1"/>
                <w14:ligatures w14:val="none"/>
              </w:rPr>
              <w:t>Bridge.xyz</w:t>
            </w:r>
            <w:proofErr w:type="spellEnd"/>
            <w:r w:rsidRPr="006A2984">
              <w:rPr>
                <w:rFonts w:ascii="Arial" w:eastAsia="Times New Roman" w:hAnsi="Arial" w:cs="Times New Roman"/>
                <w:b/>
                <w:bCs/>
                <w:color w:val="1F1F1F"/>
                <w:kern w:val="0"/>
                <w:bdr w:val="none" w:sz="0" w:space="0" w:color="auto" w:frame="1"/>
                <w14:ligatures w14:val="none"/>
              </w:rPr>
              <w:t xml:space="preserve">, </w:t>
            </w:r>
            <w:proofErr w:type="spellStart"/>
            <w:r w:rsidRPr="006A2984">
              <w:rPr>
                <w:rFonts w:ascii="Arial" w:eastAsia="Times New Roman" w:hAnsi="Arial" w:cs="Times New Roman"/>
                <w:b/>
                <w:bCs/>
                <w:color w:val="1F1F1F"/>
                <w:kern w:val="0"/>
                <w:bdr w:val="none" w:sz="0" w:space="0" w:color="auto" w:frame="1"/>
                <w14:ligatures w14:val="none"/>
              </w:rPr>
              <w:t>Crossmint</w:t>
            </w:r>
            <w:proofErr w:type="spellEnd"/>
            <w:r w:rsidRPr="006A2984">
              <w:rPr>
                <w:rFonts w:ascii="Arial" w:eastAsia="Times New Roman" w:hAnsi="Arial" w:cs="Times New Roman"/>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13333"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Direct Stablecoin Issuer (e.g., Circle Mint)</w:t>
            </w:r>
          </w:p>
        </w:tc>
      </w:tr>
      <w:tr w:rsidR="006A2984" w:rsidRPr="006A2984" w14:paraId="4E3BE7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7B5A9"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Primary Target Audience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0EC11"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Web3 Developers, </w:t>
            </w:r>
            <w:proofErr w:type="spellStart"/>
            <w:r w:rsidRPr="006A2984">
              <w:rPr>
                <w:rFonts w:ascii="Arial" w:eastAsia="Times New Roman" w:hAnsi="Arial" w:cs="Times New Roman"/>
                <w:color w:val="1F1F1F"/>
                <w:kern w:val="0"/>
                <w:bdr w:val="none" w:sz="0" w:space="0" w:color="auto" w:frame="1"/>
                <w14:ligatures w14:val="none"/>
              </w:rPr>
              <w:t>Fintechs</w:t>
            </w:r>
            <w:proofErr w:type="spellEnd"/>
            <w:r w:rsidRPr="006A2984">
              <w:rPr>
                <w:rFonts w:ascii="Arial" w:eastAsia="Times New Roman" w:hAnsi="Arial" w:cs="Times New Roman"/>
                <w:color w:val="1F1F1F"/>
                <w:kern w:val="0"/>
                <w:bdr w:val="none" w:sz="0" w:space="0" w:color="auto" w:frame="1"/>
                <w14:ligatures w14:val="none"/>
              </w:rPr>
              <w:t xml:space="preserve">, B2B Platforms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CE938"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Regulated Banks, Exchanges, Institutional Traders </w:t>
            </w:r>
          </w:p>
        </w:tc>
      </w:tr>
      <w:tr w:rsidR="006A2984" w:rsidRPr="006A2984" w14:paraId="50D455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FC3E4"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Regulatory &amp; Compliance 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B0447"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Native (AML, KYC, KYB natively integrated into API)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FFAC7"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Bring Your Own Compliance (BYOC) required </w:t>
            </w:r>
          </w:p>
        </w:tc>
      </w:tr>
      <w:tr w:rsidR="006A2984" w:rsidRPr="006A2984" w14:paraId="2D2982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A55BA"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Fiat Ingestion Mechanisms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7BC80"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Localized Virtual Accounts (USD, EUR, GBP, MXN, BRL)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764FA"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Traditional Corporate Wire/SEPA directly to issuer </w:t>
            </w:r>
          </w:p>
        </w:tc>
      </w:tr>
      <w:tr w:rsidR="006A2984" w:rsidRPr="006A2984" w14:paraId="3A54F2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2D3E9"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Sub-Account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86651"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Robust Dashboard &amp; API for managing multiple external clients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9EEA5"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Granular permissions, but relies entirely on developer logic </w:t>
            </w:r>
          </w:p>
        </w:tc>
      </w:tr>
      <w:tr w:rsidR="006A2984" w:rsidRPr="006A2984" w14:paraId="60CE7C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29707"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Monetization &amp; Fee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8E678"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Scaled API pricing (e.g., max fee cap of $25 per large transaction)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E7E41"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Generally free for standard inbound fiat wires </w:t>
            </w:r>
          </w:p>
        </w:tc>
      </w:tr>
    </w:tbl>
    <w:p w14:paraId="6C92A6E2"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Table 4: Comparative Analysis of Stablecoin Settlement Infrastructure Platforms.</w:t>
      </w:r>
    </w:p>
    <w:p w14:paraId="51190D5C"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For Anansi Technology, seeking to scale to 20 different island nations, the full-stack orchestration model is vastly superior. Platforms like Bridge allow the developer to seamlessly create distinct KYC/KYB profiles for each underlying custodian and end-</w:t>
      </w:r>
      <w:proofErr w:type="gramStart"/>
      <w:r w:rsidRPr="006A2984">
        <w:rPr>
          <w:rFonts w:ascii="Arial" w:eastAsia="Times New Roman" w:hAnsi="Arial" w:cs="Times New Roman"/>
          <w:color w:val="1F1F1F"/>
          <w:kern w:val="0"/>
          <w:bdr w:val="none" w:sz="0" w:space="0" w:color="auto" w:frame="1"/>
          <w14:ligatures w14:val="none"/>
        </w:rPr>
        <w:t>user ,</w:t>
      </w:r>
      <w:proofErr w:type="gramEnd"/>
      <w:r w:rsidRPr="006A2984">
        <w:rPr>
          <w:rFonts w:ascii="Arial" w:eastAsia="Times New Roman" w:hAnsi="Arial" w:cs="Times New Roman"/>
          <w:color w:val="1F1F1F"/>
          <w:kern w:val="0"/>
          <w:bdr w:val="none" w:sz="0" w:space="0" w:color="auto" w:frame="1"/>
          <w14:ligatures w14:val="none"/>
        </w:rPr>
        <w:t xml:space="preserve"> embedding mandatory compliance checks directly into the payment flow. When the GCNA sends a wire, the orchestration layer automatically screens the transaction against international sanctions lists, performs behavioral monitoring, and checks for Politically Exposed Persons (PEPs) before ever minting the USDC. This provides institutional-grade compliance as a service, a necessity for a startup attempting to navigate global finance.</w:t>
      </w:r>
    </w:p>
    <w:p w14:paraId="4922536B" w14:textId="77777777" w:rsidR="006A2984" w:rsidRPr="006A2984" w:rsidRDefault="006A2984" w:rsidP="006A2984">
      <w:pPr>
        <w:spacing w:after="120" w:line="240" w:lineRule="auto"/>
        <w:outlineLvl w:val="1"/>
        <w:rPr>
          <w:rFonts w:ascii="Arial" w:eastAsia="Times New Roman" w:hAnsi="Arial" w:cs="Times New Roman"/>
          <w:b/>
          <w:bCs/>
          <w:color w:val="1F1F1F"/>
          <w:kern w:val="0"/>
          <w:sz w:val="36"/>
          <w:szCs w:val="36"/>
          <w14:ligatures w14:val="none"/>
        </w:rPr>
      </w:pPr>
      <w:r w:rsidRPr="006A2984">
        <w:rPr>
          <w:rFonts w:ascii="Arial" w:eastAsia="Times New Roman" w:hAnsi="Arial" w:cs="Times New Roman"/>
          <w:b/>
          <w:bCs/>
          <w:color w:val="1F1F1F"/>
          <w:kern w:val="0"/>
          <w:sz w:val="36"/>
          <w:szCs w:val="36"/>
          <w14:ligatures w14:val="none"/>
        </w:rPr>
        <w:t xml:space="preserve">7. Caribbean Macroeconomic Context and </w:t>
      </w:r>
      <w:proofErr w:type="gramStart"/>
      <w:r w:rsidRPr="006A2984">
        <w:rPr>
          <w:rFonts w:ascii="Arial" w:eastAsia="Times New Roman" w:hAnsi="Arial" w:cs="Times New Roman"/>
          <w:b/>
          <w:bCs/>
          <w:color w:val="1F1F1F"/>
          <w:kern w:val="0"/>
          <w:sz w:val="36"/>
          <w:szCs w:val="36"/>
          <w14:ligatures w14:val="none"/>
        </w:rPr>
        <w:t>Future-Proofing</w:t>
      </w:r>
      <w:proofErr w:type="gramEnd"/>
    </w:p>
    <w:p w14:paraId="44E71746" w14:textId="77777777" w:rsidR="006A2984" w:rsidRPr="006A2984" w:rsidRDefault="006A2984" w:rsidP="006A2984">
      <w:pPr>
        <w:spacing w:after="15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14:ligatures w14:val="none"/>
        </w:rPr>
        <w:t>As the Spice application explicitly targets agricultural assets native to the Caribbean, the platform’s architecture must remain highly sensitive to the unique macroeconomic realities, regulatory sandboxes, and sovereign currency initiatives of the Eastern Caribbean Currency Union (ECCU).</w:t>
      </w:r>
    </w:p>
    <w:p w14:paraId="7074A561" w14:textId="77777777" w:rsidR="006A2984" w:rsidRPr="006A2984" w:rsidRDefault="006A2984" w:rsidP="006A2984">
      <w:pPr>
        <w:spacing w:after="120" w:line="240" w:lineRule="auto"/>
        <w:outlineLvl w:val="2"/>
        <w:rPr>
          <w:rFonts w:ascii="Arial" w:eastAsia="Times New Roman" w:hAnsi="Arial" w:cs="Times New Roman"/>
          <w:b/>
          <w:bCs/>
          <w:color w:val="1F1F1F"/>
          <w:kern w:val="0"/>
          <w:sz w:val="27"/>
          <w:szCs w:val="27"/>
          <w14:ligatures w14:val="none"/>
        </w:rPr>
      </w:pPr>
      <w:r w:rsidRPr="006A2984">
        <w:rPr>
          <w:rFonts w:ascii="Arial" w:eastAsia="Times New Roman" w:hAnsi="Arial" w:cs="Times New Roman"/>
          <w:b/>
          <w:bCs/>
          <w:color w:val="1F1F1F"/>
          <w:kern w:val="0"/>
          <w:sz w:val="27"/>
          <w:szCs w:val="27"/>
          <w14:ligatures w14:val="none"/>
        </w:rPr>
        <w:t>7.1 Regulatory Sandboxes and Fintech Frameworks</w:t>
      </w:r>
    </w:p>
    <w:p w14:paraId="45F968FB"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To foster technological innovation without destabilizing fragile local financial systems, central banks and regulators across the Caribbean—including the Central Bank of </w:t>
      </w:r>
      <w:r w:rsidRPr="006A2984">
        <w:rPr>
          <w:rFonts w:ascii="Arial" w:eastAsia="Times New Roman" w:hAnsi="Arial" w:cs="Times New Roman"/>
          <w:color w:val="1F1F1F"/>
          <w:kern w:val="0"/>
          <w:bdr w:val="none" w:sz="0" w:space="0" w:color="auto" w:frame="1"/>
          <w14:ligatures w14:val="none"/>
        </w:rPr>
        <w:lastRenderedPageBreak/>
        <w:t>Barbados and the Financial Services Commission (FSC)—have established active Regulatory Sandboxes. These sandboxes allow fintech entities to conduct live testing of their innovative products under strict regulatory oversight without immediately requiring full, prohibitive licensure.</w:t>
      </w:r>
    </w:p>
    <w:p w14:paraId="0C3D50DC"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Should Anansi wish to eventually internalize portions of the payment processing logic, entering a regulatory sandbox in a jurisdiction like Barbados or Bermuda (under the DABA framework) would provide a secure, compliant pathway to test the multi-tenant RWA payout architecture in a controlled environment. However, relying on a globally licensed orchestration provider in the immediate term bypasses the immediate need for sandbox participation, allowing Anansi to launch rapidly while the licensed provider absorbs the regulatory scrutiny.</w:t>
      </w:r>
    </w:p>
    <w:p w14:paraId="2753BC13" w14:textId="77777777" w:rsidR="006A2984" w:rsidRPr="006A2984" w:rsidRDefault="006A2984" w:rsidP="006A2984">
      <w:pPr>
        <w:spacing w:after="120" w:line="240" w:lineRule="auto"/>
        <w:outlineLvl w:val="2"/>
        <w:rPr>
          <w:rFonts w:ascii="Arial" w:eastAsia="Times New Roman" w:hAnsi="Arial" w:cs="Times New Roman"/>
          <w:b/>
          <w:bCs/>
          <w:color w:val="1F1F1F"/>
          <w:kern w:val="0"/>
          <w:sz w:val="27"/>
          <w:szCs w:val="27"/>
          <w14:ligatures w14:val="none"/>
        </w:rPr>
      </w:pPr>
      <w:r w:rsidRPr="006A2984">
        <w:rPr>
          <w:rFonts w:ascii="Arial" w:eastAsia="Times New Roman" w:hAnsi="Arial" w:cs="Times New Roman"/>
          <w:b/>
          <w:bCs/>
          <w:color w:val="1F1F1F"/>
          <w:kern w:val="0"/>
          <w:sz w:val="27"/>
          <w:szCs w:val="27"/>
          <w14:ligatures w14:val="none"/>
        </w:rPr>
        <w:t>7.2 CBDCs vs. Global Stablecoin Liquidity</w:t>
      </w:r>
    </w:p>
    <w:p w14:paraId="5262E890"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The ECCB has actively pursued the modernization of its retail payment system, culminating in the historic launch of </w:t>
      </w:r>
      <w:proofErr w:type="spellStart"/>
      <w:r w:rsidRPr="006A2984">
        <w:rPr>
          <w:rFonts w:ascii="Arial" w:eastAsia="Times New Roman" w:hAnsi="Arial" w:cs="Times New Roman"/>
          <w:color w:val="1F1F1F"/>
          <w:kern w:val="0"/>
          <w:bdr w:val="none" w:sz="0" w:space="0" w:color="auto" w:frame="1"/>
          <w14:ligatures w14:val="none"/>
        </w:rPr>
        <w:t>DCash</w:t>
      </w:r>
      <w:proofErr w:type="spellEnd"/>
      <w:r w:rsidRPr="006A2984">
        <w:rPr>
          <w:rFonts w:ascii="Arial" w:eastAsia="Times New Roman" w:hAnsi="Arial" w:cs="Times New Roman"/>
          <w:color w:val="1F1F1F"/>
          <w:kern w:val="0"/>
          <w:bdr w:val="none" w:sz="0" w:space="0" w:color="auto" w:frame="1"/>
          <w14:ligatures w14:val="none"/>
        </w:rPr>
        <w:t xml:space="preserve">, a blockchain-based digital version of the Eastern Caribbean dollar pegged to the US dollar. The explicit goal of </w:t>
      </w:r>
      <w:proofErr w:type="spellStart"/>
      <w:r w:rsidRPr="006A2984">
        <w:rPr>
          <w:rFonts w:ascii="Arial" w:eastAsia="Times New Roman" w:hAnsi="Arial" w:cs="Times New Roman"/>
          <w:color w:val="1F1F1F"/>
          <w:kern w:val="0"/>
          <w:bdr w:val="none" w:sz="0" w:space="0" w:color="auto" w:frame="1"/>
          <w14:ligatures w14:val="none"/>
        </w:rPr>
        <w:t>DCash</w:t>
      </w:r>
      <w:proofErr w:type="spellEnd"/>
      <w:r w:rsidRPr="006A2984">
        <w:rPr>
          <w:rFonts w:ascii="Arial" w:eastAsia="Times New Roman" w:hAnsi="Arial" w:cs="Times New Roman"/>
          <w:color w:val="1F1F1F"/>
          <w:kern w:val="0"/>
          <w:bdr w:val="none" w:sz="0" w:space="0" w:color="auto" w:frame="1"/>
          <w14:ligatures w14:val="none"/>
        </w:rPr>
        <w:t xml:space="preserve"> is to deepen regional financial inclusion, reduce the friction of cross-border Caribbean trade, and drastically lower the exorbitant costs of traditional financial transactions in the region.</w:t>
      </w:r>
    </w:p>
    <w:p w14:paraId="3780B6FA"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 xml:space="preserve">While </w:t>
      </w:r>
      <w:proofErr w:type="spellStart"/>
      <w:r w:rsidRPr="006A2984">
        <w:rPr>
          <w:rFonts w:ascii="Arial" w:eastAsia="Times New Roman" w:hAnsi="Arial" w:cs="Times New Roman"/>
          <w:color w:val="1F1F1F"/>
          <w:kern w:val="0"/>
          <w:bdr w:val="none" w:sz="0" w:space="0" w:color="auto" w:frame="1"/>
          <w14:ligatures w14:val="none"/>
        </w:rPr>
        <w:t>DCash</w:t>
      </w:r>
      <w:proofErr w:type="spellEnd"/>
      <w:r w:rsidRPr="006A2984">
        <w:rPr>
          <w:rFonts w:ascii="Arial" w:eastAsia="Times New Roman" w:hAnsi="Arial" w:cs="Times New Roman"/>
          <w:color w:val="1F1F1F"/>
          <w:kern w:val="0"/>
          <w:bdr w:val="none" w:sz="0" w:space="0" w:color="auto" w:frame="1"/>
          <w14:ligatures w14:val="none"/>
        </w:rPr>
        <w:t xml:space="preserve"> offers a sovereign digital alternative, its adoption has been hindered by a lack of deep integration into broader global financial ecosystems and the absence of clear value-added incentives for international consumers. For an RWA tokenization platform like Spice, relying exclusively on a regional CBDC severely limits the global liquidity pool. Global investors seeking yield from Grenadian nutmeg will primarily desire settlement in universally accepted, highly liquid stablecoins like USDC, which boasts deep integration across global decentralized finance protocols, major exchanges, and institutional treasuries.</w:t>
      </w:r>
    </w:p>
    <w:p w14:paraId="5FF8666A"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By utilizing USDC via an orchestration API, Anansi taps into a universally recognized unit of account that is natively interoperable with global DeFi markets. Simultaneously, the orchestration provider's extensive banking networks maintain the critical ability to seamlessly off-ramp that USDC back into local Caribbean fiat currencies for regional participants when necessary.</w:t>
      </w:r>
    </w:p>
    <w:p w14:paraId="577DE94B" w14:textId="77777777" w:rsidR="006A2984" w:rsidRPr="006A2984" w:rsidRDefault="006A2984" w:rsidP="006A2984">
      <w:pPr>
        <w:spacing w:after="120" w:line="240" w:lineRule="auto"/>
        <w:outlineLvl w:val="1"/>
        <w:rPr>
          <w:rFonts w:ascii="Arial" w:eastAsia="Times New Roman" w:hAnsi="Arial" w:cs="Times New Roman"/>
          <w:b/>
          <w:bCs/>
          <w:color w:val="1F1F1F"/>
          <w:kern w:val="0"/>
          <w:sz w:val="36"/>
          <w:szCs w:val="36"/>
          <w14:ligatures w14:val="none"/>
        </w:rPr>
      </w:pPr>
      <w:r w:rsidRPr="006A2984">
        <w:rPr>
          <w:rFonts w:ascii="Arial" w:eastAsia="Times New Roman" w:hAnsi="Arial" w:cs="Times New Roman"/>
          <w:b/>
          <w:bCs/>
          <w:color w:val="1F1F1F"/>
          <w:kern w:val="0"/>
          <w:sz w:val="36"/>
          <w:szCs w:val="36"/>
          <w14:ligatures w14:val="none"/>
        </w:rPr>
        <w:t>8. Strategic Action Plan and Conclusions</w:t>
      </w:r>
    </w:p>
    <w:p w14:paraId="146BB498" w14:textId="77777777" w:rsidR="006A2984" w:rsidRPr="006A2984" w:rsidRDefault="006A2984" w:rsidP="006A2984">
      <w:pPr>
        <w:spacing w:after="15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14:ligatures w14:val="none"/>
        </w:rPr>
        <w:t>The tokenization of real-world assets succeeds only when the digital wrapper reduces friction rather than exacerbating it. Tokenizing an agricultural asset but forcing a traditional cooperative to manually manage cryptocurrency wallets entirely defeats the purpose of the technological innovation. Conversely, placing the platform administrator in the middle of a global fiat-to-crypto conversion pipeline transforms a high-margin software business into an undercapitalized, unlicensed money transmitter facing severe criminal and financial liabilities.</w:t>
      </w:r>
    </w:p>
    <w:p w14:paraId="02FBF69A" w14:textId="77777777" w:rsidR="006A2984" w:rsidRPr="006A2984" w:rsidRDefault="006A2984" w:rsidP="006A2984">
      <w:pPr>
        <w:spacing w:after="15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14:ligatures w14:val="none"/>
        </w:rPr>
        <w:t>Based on an exhaustive analysis of operational scalability, regulatory frameworks, and enterprise technology infrastructure, the following strategic directives must govern the development of the Spice application:</w:t>
      </w:r>
    </w:p>
    <w:p w14:paraId="17301B15"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1. Explicitly Reject the Platform Admin Treasury Model</w:t>
      </w:r>
      <w:r w:rsidRPr="006A2984">
        <w:rPr>
          <w:rFonts w:ascii="Arial" w:eastAsia="Times New Roman" w:hAnsi="Arial" w:cs="Times New Roman"/>
          <w:color w:val="1F1F1F"/>
          <w:kern w:val="0"/>
          <w:bdr w:val="none" w:sz="0" w:space="0" w:color="auto" w:frame="1"/>
          <w14:ligatures w14:val="none"/>
        </w:rPr>
        <w:t xml:space="preserve"> Anansi Technology must never take physical or legal possession of fiat funds intended for yield distribution. </w:t>
      </w:r>
      <w:r w:rsidRPr="006A2984">
        <w:rPr>
          <w:rFonts w:ascii="Arial" w:eastAsia="Times New Roman" w:hAnsi="Arial" w:cs="Times New Roman"/>
          <w:color w:val="1F1F1F"/>
          <w:kern w:val="0"/>
          <w:bdr w:val="none" w:sz="0" w:space="0" w:color="auto" w:frame="1"/>
          <w14:ligatures w14:val="none"/>
        </w:rPr>
        <w:lastRenderedPageBreak/>
        <w:t>Attempting to manually convert fiat to USDC for 20 different Caribbean jurisdictions will result in catastrophic operational bottlenecks and immediately trigger stringent Money Services Business (MSB) regulations under FinCEN, requiring upwards of $300,000 in immediate capital just to secure localized U.S. licensing, alongside ongoing, ruinous compliance liabilities.</w:t>
      </w:r>
    </w:p>
    <w:p w14:paraId="2B8BC3C2"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2. Explicitly Reject the Custodian Self-Custody Model</w:t>
      </w:r>
      <w:r w:rsidRPr="006A2984">
        <w:rPr>
          <w:rFonts w:ascii="Arial" w:eastAsia="Times New Roman" w:hAnsi="Arial" w:cs="Times New Roman"/>
          <w:color w:val="1F1F1F"/>
          <w:kern w:val="0"/>
          <w:bdr w:val="none" w:sz="0" w:space="0" w:color="auto" w:frame="1"/>
          <w14:ligatures w14:val="none"/>
        </w:rPr>
        <w:t xml:space="preserve"> Pushing the responsibility of Web3 interactions onto legacy custodians like the GCNA will fatally stall platform adoption. Traditional agricultural cooperatives lack the technological literacy, institutional cybersecurity infrastructure, and operational mandate to manage cryptographic private keys, FX spreads, and blockchain gas fees. The blockchain must remain entirely invisible to the physical asset custodian.</w:t>
      </w:r>
    </w:p>
    <w:p w14:paraId="2BE1ACC4"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b/>
          <w:bCs/>
          <w:color w:val="1F1F1F"/>
          <w:kern w:val="0"/>
          <w:bdr w:val="none" w:sz="0" w:space="0" w:color="auto" w:frame="1"/>
          <w14:ligatures w14:val="none"/>
        </w:rPr>
        <w:t>3. Architect the Platform Exclusively Around API-Driven Orchestration</w:t>
      </w:r>
      <w:r w:rsidRPr="006A2984">
        <w:rPr>
          <w:rFonts w:ascii="Arial" w:eastAsia="Times New Roman" w:hAnsi="Arial" w:cs="Times New Roman"/>
          <w:color w:val="1F1F1F"/>
          <w:kern w:val="0"/>
          <w:bdr w:val="none" w:sz="0" w:space="0" w:color="auto" w:frame="1"/>
          <w14:ligatures w14:val="none"/>
        </w:rPr>
        <w:t xml:space="preserve"> The sole viable path to scale a multi-tenant RWA platform is the deep integration of a full-stack stablecoin orchestration provider. This architecture leverages programmatic "Virtual Accounts" to map a traditional fiat bank account directly to a decentralized smart contract.</w:t>
      </w:r>
    </w:p>
    <w:p w14:paraId="0BAD9307" w14:textId="77777777" w:rsidR="006A2984" w:rsidRPr="006A2984" w:rsidRDefault="006A2984" w:rsidP="006A2984">
      <w:pPr>
        <w:spacing w:after="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bdr w:val="none" w:sz="0" w:space="0" w:color="auto" w:frame="1"/>
          <w14:ligatures w14:val="none"/>
        </w:rPr>
        <w:t>Under this optimized model, the custodian (GCNA) executes a standard, comfortable domestic or international wire transfer to a dedicated Virtual Account assigned to their specific token pool. The orchestration provider’s licensed infrastructure automatically intercepts the fiat, executes mandatory AML/KYC screenings, converts the value to USDC with zero slippage, and routes it to the token holders' wallets via Anansi's smart contract logic.</w:t>
      </w:r>
    </w:p>
    <w:p w14:paraId="1CEE3362" w14:textId="77777777" w:rsidR="006A2984" w:rsidRPr="006A2984" w:rsidRDefault="006A2984" w:rsidP="006A2984">
      <w:pPr>
        <w:spacing w:after="150" w:line="240" w:lineRule="auto"/>
        <w:rPr>
          <w:rFonts w:ascii="Arial" w:eastAsia="Times New Roman" w:hAnsi="Arial" w:cs="Times New Roman"/>
          <w:color w:val="1F1F1F"/>
          <w:kern w:val="0"/>
          <w14:ligatures w14:val="none"/>
        </w:rPr>
      </w:pPr>
      <w:r w:rsidRPr="006A2984">
        <w:rPr>
          <w:rFonts w:ascii="Arial" w:eastAsia="Times New Roman" w:hAnsi="Arial" w:cs="Times New Roman"/>
          <w:color w:val="1F1F1F"/>
          <w:kern w:val="0"/>
          <w14:ligatures w14:val="none"/>
        </w:rPr>
        <w:t>This architecture allows the agricultural custodian to operate purely in legacy fiat, allows the global token holders to receive yield natively in highly liquid stablecoins, and allows Anansi Technology to scale infinitely as a frictionless software layer, wholly insulated from the existential regulatory hazards of global money transmission.</w:t>
      </w:r>
    </w:p>
    <w:p w14:paraId="2379A22A" w14:textId="77777777" w:rsidR="00845571" w:rsidRDefault="00845571"/>
    <w:sectPr w:rsidR="00845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65E19"/>
    <w:multiLevelType w:val="multilevel"/>
    <w:tmpl w:val="7D0C9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0726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984"/>
    <w:rsid w:val="00135169"/>
    <w:rsid w:val="003F239C"/>
    <w:rsid w:val="006A2984"/>
    <w:rsid w:val="00845571"/>
    <w:rsid w:val="009B511D"/>
    <w:rsid w:val="00AB6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F87F09"/>
  <w15:chartTrackingRefBased/>
  <w15:docId w15:val="{FE349BEB-7616-ED41-8E7D-2D0899AE2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2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29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9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9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9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29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29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9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9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984"/>
    <w:rPr>
      <w:rFonts w:eastAsiaTheme="majorEastAsia" w:cstheme="majorBidi"/>
      <w:color w:val="272727" w:themeColor="text1" w:themeTint="D8"/>
    </w:rPr>
  </w:style>
  <w:style w:type="paragraph" w:styleId="Title">
    <w:name w:val="Title"/>
    <w:basedOn w:val="Normal"/>
    <w:next w:val="Normal"/>
    <w:link w:val="TitleChar"/>
    <w:uiPriority w:val="10"/>
    <w:qFormat/>
    <w:rsid w:val="006A2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984"/>
    <w:pPr>
      <w:spacing w:before="160"/>
      <w:jc w:val="center"/>
    </w:pPr>
    <w:rPr>
      <w:i/>
      <w:iCs/>
      <w:color w:val="404040" w:themeColor="text1" w:themeTint="BF"/>
    </w:rPr>
  </w:style>
  <w:style w:type="character" w:customStyle="1" w:styleId="QuoteChar">
    <w:name w:val="Quote Char"/>
    <w:basedOn w:val="DefaultParagraphFont"/>
    <w:link w:val="Quote"/>
    <w:uiPriority w:val="29"/>
    <w:rsid w:val="006A2984"/>
    <w:rPr>
      <w:i/>
      <w:iCs/>
      <w:color w:val="404040" w:themeColor="text1" w:themeTint="BF"/>
    </w:rPr>
  </w:style>
  <w:style w:type="paragraph" w:styleId="ListParagraph">
    <w:name w:val="List Paragraph"/>
    <w:basedOn w:val="Normal"/>
    <w:uiPriority w:val="34"/>
    <w:qFormat/>
    <w:rsid w:val="006A2984"/>
    <w:pPr>
      <w:ind w:left="720"/>
      <w:contextualSpacing/>
    </w:pPr>
  </w:style>
  <w:style w:type="character" w:styleId="IntenseEmphasis">
    <w:name w:val="Intense Emphasis"/>
    <w:basedOn w:val="DefaultParagraphFont"/>
    <w:uiPriority w:val="21"/>
    <w:qFormat/>
    <w:rsid w:val="006A2984"/>
    <w:rPr>
      <w:i/>
      <w:iCs/>
      <w:color w:val="0F4761" w:themeColor="accent1" w:themeShade="BF"/>
    </w:rPr>
  </w:style>
  <w:style w:type="paragraph" w:styleId="IntenseQuote">
    <w:name w:val="Intense Quote"/>
    <w:basedOn w:val="Normal"/>
    <w:next w:val="Normal"/>
    <w:link w:val="IntenseQuoteChar"/>
    <w:uiPriority w:val="30"/>
    <w:qFormat/>
    <w:rsid w:val="006A2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984"/>
    <w:rPr>
      <w:i/>
      <w:iCs/>
      <w:color w:val="0F4761" w:themeColor="accent1" w:themeShade="BF"/>
    </w:rPr>
  </w:style>
  <w:style w:type="character" w:styleId="IntenseReference">
    <w:name w:val="Intense Reference"/>
    <w:basedOn w:val="DefaultParagraphFont"/>
    <w:uiPriority w:val="32"/>
    <w:qFormat/>
    <w:rsid w:val="006A2984"/>
    <w:rPr>
      <w:b/>
      <w:bCs/>
      <w:smallCaps/>
      <w:color w:val="0F4761" w:themeColor="accent1" w:themeShade="BF"/>
      <w:spacing w:val="5"/>
    </w:rPr>
  </w:style>
  <w:style w:type="paragraph" w:styleId="NormalWeb">
    <w:name w:val="Normal (Web)"/>
    <w:basedOn w:val="Normal"/>
    <w:uiPriority w:val="99"/>
    <w:semiHidden/>
    <w:unhideWhenUsed/>
    <w:rsid w:val="006A29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A2984"/>
    <w:rPr>
      <w:b/>
      <w:bCs/>
    </w:rPr>
  </w:style>
  <w:style w:type="character" w:styleId="HTMLCode">
    <w:name w:val="HTML Code"/>
    <w:basedOn w:val="DefaultParagraphFont"/>
    <w:uiPriority w:val="99"/>
    <w:semiHidden/>
    <w:unhideWhenUsed/>
    <w:rsid w:val="006A2984"/>
    <w:rPr>
      <w:rFonts w:ascii="Courier New" w:eastAsia="Times New Roman" w:hAnsi="Courier New" w:cs="Courier New"/>
      <w:sz w:val="20"/>
      <w:szCs w:val="20"/>
    </w:rPr>
  </w:style>
  <w:style w:type="character" w:styleId="Hyperlink">
    <w:name w:val="Hyperlink"/>
    <w:basedOn w:val="DefaultParagraphFont"/>
    <w:uiPriority w:val="99"/>
    <w:unhideWhenUsed/>
    <w:rsid w:val="00135169"/>
    <w:rPr>
      <w:color w:val="467886" w:themeColor="hyperlink"/>
      <w:u w:val="single"/>
    </w:rPr>
  </w:style>
  <w:style w:type="character" w:styleId="UnresolvedMention">
    <w:name w:val="Unresolved Mention"/>
    <w:basedOn w:val="DefaultParagraphFont"/>
    <w:uiPriority w:val="99"/>
    <w:semiHidden/>
    <w:unhideWhenUsed/>
    <w:rsid w:val="00135169"/>
    <w:rPr>
      <w:color w:val="605E5C"/>
      <w:shd w:val="clear" w:color="auto" w:fill="E1DFDD"/>
    </w:rPr>
  </w:style>
  <w:style w:type="character" w:styleId="FollowedHyperlink">
    <w:name w:val="FollowedHyperlink"/>
    <w:basedOn w:val="DefaultParagraphFont"/>
    <w:uiPriority w:val="99"/>
    <w:semiHidden/>
    <w:unhideWhenUsed/>
    <w:rsid w:val="001351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158f467-f592-4f68-b205-41e7c092277d}" enabled="1" method="Standard" siteId="{66295b3b-c4fd-41af-a077-c0ec2a40e369}"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5517</Words>
  <Characters>31449</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Noel</dc:creator>
  <cp:keywords/>
  <dc:description/>
  <cp:lastModifiedBy>David Noel</cp:lastModifiedBy>
  <cp:revision>3</cp:revision>
  <dcterms:created xsi:type="dcterms:W3CDTF">2026-04-03T18:39:00Z</dcterms:created>
  <dcterms:modified xsi:type="dcterms:W3CDTF">2026-04-03T20:09:00Z</dcterms:modified>
</cp:coreProperties>
</file>