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7F3A" w14:textId="25EFF07A" w:rsidR="006F11B6" w:rsidRPr="006F11B6" w:rsidRDefault="006F11B6" w:rsidP="00566D14">
      <w:pPr>
        <w:spacing w:after="100" w:afterAutospacing="1" w:line="240" w:lineRule="auto"/>
        <w:outlineLvl w:val="0"/>
        <w:rPr>
          <w:rFonts w:ascii="Arial" w:eastAsia="Times New Roman" w:hAnsi="Arial" w:cs="Times New Roman"/>
          <w:b/>
          <w:bCs/>
          <w:kern w:val="36"/>
          <w14:ligatures w14:val="none"/>
        </w:rPr>
      </w:pPr>
      <w:r w:rsidRPr="006F11B6">
        <w:rPr>
          <w:rFonts w:ascii="Arial" w:eastAsia="Times New Roman" w:hAnsi="Arial" w:cs="Times New Roman"/>
          <w:b/>
          <w:bCs/>
          <w:kern w:val="36"/>
          <w14:ligatures w14:val="none"/>
        </w:rPr>
        <w:t>https://gemini.google.com/share/33e911b206c3</w:t>
      </w:r>
    </w:p>
    <w:p w14:paraId="12E608F5" w14:textId="3958B076" w:rsidR="00566D14" w:rsidRPr="00566D14" w:rsidRDefault="00566D14" w:rsidP="00566D14">
      <w:pPr>
        <w:spacing w:after="100" w:afterAutospacing="1" w:line="240" w:lineRule="auto"/>
        <w:outlineLvl w:val="0"/>
        <w:rPr>
          <w:rFonts w:ascii="Arial" w:eastAsia="Times New Roman" w:hAnsi="Arial" w:cs="Times New Roman"/>
          <w:b/>
          <w:bCs/>
          <w:kern w:val="36"/>
          <w:sz w:val="48"/>
          <w:szCs w:val="48"/>
          <w14:ligatures w14:val="none"/>
        </w:rPr>
      </w:pPr>
      <w:r w:rsidRPr="00566D14">
        <w:rPr>
          <w:rFonts w:ascii="Arial" w:eastAsia="Times New Roman" w:hAnsi="Arial" w:cs="Times New Roman"/>
          <w:b/>
          <w:bCs/>
          <w:kern w:val="36"/>
          <w:sz w:val="48"/>
          <w:szCs w:val="48"/>
          <w14:ligatures w14:val="none"/>
        </w:rPr>
        <w:t>Strategic Architecture for Real-World Asset Payout Operations: Resolving the Platform vs. Custodian Dilemma in the Spice Application</w:t>
      </w:r>
    </w:p>
    <w:p w14:paraId="1DF25ED8"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The tokenization of real-world assets (RWAs) represents a profound paradigm shift in modern financial infrastructure, systematically bridging the historical gap between decentralized finance (DeFi) and traditional economic value. Major financial institutions have transitioned beyond pilot programs to deploy real institutional capital </w:t>
      </w:r>
      <w:proofErr w:type="gramStart"/>
      <w:r w:rsidRPr="00566D14">
        <w:rPr>
          <w:rFonts w:ascii="Arial" w:eastAsia="Times New Roman" w:hAnsi="Arial" w:cs="Times New Roman"/>
          <w:kern w:val="0"/>
          <w14:ligatures w14:val="none"/>
        </w:rPr>
        <w:t>on-chain</w:t>
      </w:r>
      <w:proofErr w:type="gramEnd"/>
      <w:r w:rsidRPr="00566D14">
        <w:rPr>
          <w:rFonts w:ascii="Arial" w:eastAsia="Times New Roman" w:hAnsi="Arial" w:cs="Times New Roman"/>
          <w:kern w:val="0"/>
          <w14:ligatures w14:val="none"/>
        </w:rPr>
        <w:t>. However, while the public discourse disproportionately focuses on the trillion-dollar total addressable market, fractional ownership, and composability, the operational realities of risk management, legal compliance, and cross-rail settlement remain severely under-addressed.</w:t>
      </w:r>
    </w:p>
    <w:p w14:paraId="762D5504"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For Anansi Technology, the development of the Spice application introduces a critical architectural dilemma regarding the distribution of agricultural surplus yields. In traditional agricultural models, such as that operated by the Grenada Cooperative Nutmeg Association (GCNA), the cooperative receives advance rates for its export of nutmeg and mace, and at the conclusion of the operational year, the difference between these advance rates and the net realized export prices constitutes a financial surplus. In a tokenized RWA ecosystem, this surplus must be routed efficiently to a globally distributed pool of token holders.</w:t>
      </w:r>
    </w:p>
    <w:p w14:paraId="44235E68"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This report provides an exhaustive analysis of distribution models, exposing their respective technical frictions, regulatory liabilities, and scaling limitations. It ultimately synthesizes these constraints into a comprehensive, multi-layered architecture utilizing a localized Special Purpose Vehicle (SPV), the Sui blockchain, and frictionless "Last Mile" fiat off-ramps to ensure traditional agricultural business operations remain unchanged while delivering global liquidity.</w:t>
      </w:r>
    </w:p>
    <w:p w14:paraId="1BE9A176"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1. The Structural Mechanics of Yield Generation in RWA</w:t>
      </w:r>
    </w:p>
    <w:p w14:paraId="6CE3F1FF"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Before analyzing the distribution architecture, it is essential to establish the mechanics of how yield is generated and mapped within a tokenized ecosystem. RWA tokenization is the process of creating a cryptographically secured digital token on a distributed ledger that represents ownership or rights in an underlying physical or traditional financial asset.</w:t>
      </w:r>
    </w:p>
    <w:p w14:paraId="7FC7C46F"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lastRenderedPageBreak/>
        <w:t>The success of platforms operating in this sector relies on their ability to enforce legal claims to real-world cash flows. By packaging off-chain agricultural receivables into digital tokens (e.g., NUTMG), platforms ensure that the digital tokens correspond directly to the underlying assets. As the underlying physical assets generate yield—such as the GCNA's successful export of nutmeg to European and North American markets—that fiat value must be injected back into the digital ecosystem and passed on to token holders.</w:t>
      </w:r>
    </w:p>
    <w:p w14:paraId="2DC7DFD2"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However, realizing this liquidity presents severe structural barriers. If an RWA platform cannot efficiently process the distribution of off-chain yields to on-chain wallets, the economic link between the physical asset and the token breaks down.</w:t>
      </w:r>
    </w:p>
    <w:p w14:paraId="67E23AC0"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2. Evaluating the Platform Administrator Distribution Model</w:t>
      </w:r>
    </w:p>
    <w:p w14:paraId="6CF4D22E"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In the Platform Administrator model, Anansi Technology would act as the central financial clearinghouse. The operational flow dictates that the GCNA wires its respective end-of-year fiat surplus to a corporate bank account controlled by Anansi in the US. Upon receipt, Anansi utilizes a cryptocurrency exchange (like Coinbase) to convert the aggregated fiat into USD Coin (USDC</w:t>
      </w:r>
      <w:proofErr w:type="gramStart"/>
      <w:r w:rsidRPr="00566D14">
        <w:rPr>
          <w:rFonts w:ascii="Arial" w:eastAsia="Times New Roman" w:hAnsi="Arial" w:cs="Times New Roman"/>
          <w:kern w:val="0"/>
          <w14:ligatures w14:val="none"/>
        </w:rPr>
        <w:t>), and</w:t>
      </w:r>
      <w:proofErr w:type="gramEnd"/>
      <w:r w:rsidRPr="00566D14">
        <w:rPr>
          <w:rFonts w:ascii="Arial" w:eastAsia="Times New Roman" w:hAnsi="Arial" w:cs="Times New Roman"/>
          <w:kern w:val="0"/>
          <w14:ligatures w14:val="none"/>
        </w:rPr>
        <w:t xml:space="preserve"> triggers a smart contract to distribute the stablecoin to token holders.</w:t>
      </w:r>
    </w:p>
    <w:p w14:paraId="07302746"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While theoretically simple, this architecture introduces fatal flaws when subjected to enterprise scaling and compliance reviews.</w:t>
      </w:r>
    </w:p>
    <w:p w14:paraId="5D5F65F2"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2.1 Operational Bottlenecks and Cross-Border Friction</w:t>
      </w:r>
    </w:p>
    <w:p w14:paraId="2FD6D3A0"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Managing this cross-border flow relies on legacy correspondent banking infrastructure. Incoming international wires typically route through multiple correspondent banks, taking three to five business days to settle and incurring flat fees alongside punitive FX spreads. Finance teams are forced into a constant cycle of manually mapping every individual USDC on-chain payout back to a specific dollar transaction.</w:t>
      </w:r>
    </w:p>
    <w:p w14:paraId="5F816B61"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2.2 The Regulatory Chasm: Money Transmission and MSB Liabilities</w:t>
      </w:r>
    </w:p>
    <w:p w14:paraId="0301424E"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If a platform controls customer funds, enables the redemption of tokens for money-like value, or sits in the middle of financial transfers between distinct users and third parties, federal regulators view the platform as engaging in money transmission. Accepting fiat currency from a Caribbean custodian, converting it into stablecoins, and transmitting that equivalent value to users globally firmly categorizes Anansi as a Money Services Business (MSB) under the Bank Secrecy Act (BSA).</w:t>
      </w:r>
    </w:p>
    <w:p w14:paraId="62596A8C"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The financial and operational burden of operating as a licensed money transmitter in the United States requires securing independent state-by-state licenses, costing upwards of </w:t>
      </w:r>
      <w:r w:rsidRPr="00566D14">
        <w:rPr>
          <w:rFonts w:ascii="Arial" w:eastAsia="Times New Roman" w:hAnsi="Arial" w:cs="Times New Roman"/>
          <w:kern w:val="0"/>
          <w14:ligatures w14:val="none"/>
        </w:rPr>
        <w:lastRenderedPageBreak/>
        <w:t>$300,000 in year-one capital requirements, alongside ongoing, ruinous compliance liabilities.</w:t>
      </w:r>
    </w:p>
    <w:p w14:paraId="1B597041"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2.3 The First-Party Funding and Travel Rule Traps</w:t>
      </w:r>
    </w:p>
    <w:p w14:paraId="51342D9A"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Even if Anansi attempted to automate this via institutional APIs like Coinbase Prime, the flow collapses against strict banking compliance:</w:t>
      </w:r>
    </w:p>
    <w:p w14:paraId="59C64B6E" w14:textId="77777777" w:rsidR="00566D14" w:rsidRPr="00566D14" w:rsidRDefault="00566D14" w:rsidP="00566D14">
      <w:pPr>
        <w:numPr>
          <w:ilvl w:val="0"/>
          <w:numId w:val="1"/>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The First-Party Funding Rule:</w:t>
      </w:r>
      <w:r w:rsidRPr="00566D14">
        <w:rPr>
          <w:rFonts w:ascii="Arial" w:eastAsia="Times New Roman" w:hAnsi="Arial" w:cs="Times New Roman"/>
          <w:kern w:val="0"/>
          <w14:ligatures w14:val="none"/>
        </w:rPr>
        <w:t xml:space="preserve"> Regulated crypto exchanges rigidly enforce that any fiat deposited into a corporate exchange account must come from a bank account bearing the exact same legal entity name. GCNA cannot wire funds directly to Anansi's Coinbase account; the wire will be bounced. To bridge it, Anansi must take the fiat into its own bank account first—commingling third-party funds.</w:t>
      </w:r>
    </w:p>
    <w:p w14:paraId="274896AD" w14:textId="77777777" w:rsidR="00566D14" w:rsidRPr="00566D14" w:rsidRDefault="00566D14" w:rsidP="00566D14">
      <w:pPr>
        <w:numPr>
          <w:ilvl w:val="0"/>
          <w:numId w:val="1"/>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The Travel Rule (Breaking the "James" Constraint):</w:t>
      </w:r>
      <w:r w:rsidRPr="00566D14">
        <w:rPr>
          <w:rFonts w:ascii="Arial" w:eastAsia="Times New Roman" w:hAnsi="Arial" w:cs="Times New Roman"/>
          <w:kern w:val="0"/>
          <w14:ligatures w14:val="none"/>
        </w:rPr>
        <w:t xml:space="preserve"> To use enterprise payout APIs, Coinbase contractually binds Anansi to the US Travel Rule. Anansi would be legally forced to collect full KYC documentation (passports, facial scans) on every unbanked farmer before executing a payout, introducing massive friction and destroying the core product mandate.</w:t>
      </w:r>
    </w:p>
    <w:p w14:paraId="26C92AEA"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3. Evaluating the Custodian-Led Distribution Model</w:t>
      </w:r>
    </w:p>
    <w:p w14:paraId="0E80121A"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To avoid global money transmission liabilities, a platform architect might attempt to push the responsibility of fiat-to-crypto conversion down to the custodian. In this model, the GCNA would open an institutional account with a stablecoin issuer (like Circle Mint), directly convert their surplus into USDC, and execute on-chain smart contract transactions.</w:t>
      </w:r>
    </w:p>
    <w:p w14:paraId="624320AC"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3.1 Disruption to Legacy Agricultural Operations</w:t>
      </w:r>
    </w:p>
    <w:p w14:paraId="44494D49"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Expecting a legacy entity like the GCNA to overhaul its financial operations to accommodate Web3 infrastructure is strategically unviable. The onboarding processes for institutional cryptocurrency accounts, such as Circle Mint, are highly invasive, requiring independent AML audits, transaction monitoring procedures, and enterprise cybersecurity documentation. For a Caribbean agricultural cooperative, this represents an insurmountable operational barrier.</w:t>
      </w:r>
    </w:p>
    <w:p w14:paraId="4B26CB73"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 xml:space="preserve">3.2 The </w:t>
      </w:r>
      <w:proofErr w:type="spellStart"/>
      <w:r w:rsidRPr="00566D14">
        <w:rPr>
          <w:rFonts w:ascii="Arial" w:eastAsia="Times New Roman" w:hAnsi="Arial" w:cs="Times New Roman"/>
          <w:b/>
          <w:bCs/>
          <w:kern w:val="0"/>
          <w:sz w:val="27"/>
          <w:szCs w:val="27"/>
          <w14:ligatures w14:val="none"/>
        </w:rPr>
        <w:t>DCash</w:t>
      </w:r>
      <w:proofErr w:type="spellEnd"/>
      <w:r w:rsidRPr="00566D14">
        <w:rPr>
          <w:rFonts w:ascii="Arial" w:eastAsia="Times New Roman" w:hAnsi="Arial" w:cs="Times New Roman"/>
          <w:b/>
          <w:bCs/>
          <w:kern w:val="0"/>
          <w:sz w:val="27"/>
          <w:szCs w:val="27"/>
          <w14:ligatures w14:val="none"/>
        </w:rPr>
        <w:t xml:space="preserve"> Precedent and Technological Friction</w:t>
      </w:r>
    </w:p>
    <w:p w14:paraId="2A57E421"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The danger of introducing technological friction to traditional Caribbean businesses is illustrated by the region's recent experimentation with digital currencies. The Eastern Caribbean Central Bank (ECCB) launched </w:t>
      </w:r>
      <w:proofErr w:type="spellStart"/>
      <w:r w:rsidRPr="00566D14">
        <w:rPr>
          <w:rFonts w:ascii="Arial" w:eastAsia="Times New Roman" w:hAnsi="Arial" w:cs="Times New Roman"/>
          <w:kern w:val="0"/>
          <w14:ligatures w14:val="none"/>
        </w:rPr>
        <w:t>DCash</w:t>
      </w:r>
      <w:proofErr w:type="spellEnd"/>
      <w:r w:rsidRPr="00566D14">
        <w:rPr>
          <w:rFonts w:ascii="Arial" w:eastAsia="Times New Roman" w:hAnsi="Arial" w:cs="Times New Roman"/>
          <w:kern w:val="0"/>
          <w14:ligatures w14:val="none"/>
        </w:rPr>
        <w:t xml:space="preserve">, a blockchain-based retail CBDC. Despite central bank backing, it has struggled to achieve widespread adoption because shifting traditional economies to digital infrastructure requires the technology to be </w:t>
      </w:r>
      <w:r w:rsidRPr="00566D14">
        <w:rPr>
          <w:rFonts w:ascii="Arial" w:eastAsia="Times New Roman" w:hAnsi="Arial" w:cs="Times New Roman"/>
          <w:kern w:val="0"/>
          <w14:ligatures w14:val="none"/>
        </w:rPr>
        <w:lastRenderedPageBreak/>
        <w:t>entirely invisible. Forcing a custodian to maintain crypto accounts violates this core principle.</w:t>
      </w:r>
    </w:p>
    <w:p w14:paraId="08D7884E"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4. Legal Structuring: The Local SPV Gateway</w:t>
      </w:r>
    </w:p>
    <w:p w14:paraId="4F94C24C"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Because Anansi cannot touch the funds (Model 2) and the custodian cannot touch the crypto infrastructure (Model 3), the platform requires a structural synthesis. The optimal architecture leverages a </w:t>
      </w:r>
      <w:r w:rsidRPr="00566D14">
        <w:rPr>
          <w:rFonts w:ascii="Arial" w:eastAsia="Times New Roman" w:hAnsi="Arial" w:cs="Times New Roman"/>
          <w:b/>
          <w:bCs/>
          <w:kern w:val="0"/>
          <w14:ligatures w14:val="none"/>
        </w:rPr>
        <w:t>Special Purpose Vehicle (SPV)</w:t>
      </w:r>
      <w:r w:rsidRPr="00566D14">
        <w:rPr>
          <w:rFonts w:ascii="Arial" w:eastAsia="Times New Roman" w:hAnsi="Arial" w:cs="Times New Roman"/>
          <w:kern w:val="0"/>
          <w14:ligatures w14:val="none"/>
        </w:rPr>
        <w:t xml:space="preserve"> in the local jurisdiction to act as a legal and financial shock-absorber.</w:t>
      </w:r>
    </w:p>
    <w:p w14:paraId="18EEACA9"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4.1 The "Drop-In" SPV Blueprint</w:t>
      </w:r>
    </w:p>
    <w:p w14:paraId="17629B13"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Instead of Anansi or GCNA managing the conversion, a standalone entity (e.g., "Spice Distribution SPV Ltd.") is incorporated locally in Grenada.</w:t>
      </w:r>
    </w:p>
    <w:p w14:paraId="3CE3ECE9" w14:textId="77777777" w:rsidR="00566D14" w:rsidRPr="00566D14" w:rsidRDefault="00566D14" w:rsidP="00566D14">
      <w:pPr>
        <w:numPr>
          <w:ilvl w:val="0"/>
          <w:numId w:val="2"/>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Governance:</w:t>
      </w:r>
      <w:r w:rsidRPr="00566D14">
        <w:rPr>
          <w:rFonts w:ascii="Arial" w:eastAsia="Times New Roman" w:hAnsi="Arial" w:cs="Times New Roman"/>
          <w:kern w:val="0"/>
          <w14:ligatures w14:val="none"/>
        </w:rPr>
        <w:t xml:space="preserve"> The SPV is wholly owned and directed by trusted local professionals (e.g., a local accountant). Anansi has no ownership stake, entirely avoiding the US Foreign Account Tax Compliance Act (FATCA) traps that complicate offshore banking for US parent companies.</w:t>
      </w:r>
    </w:p>
    <w:p w14:paraId="0F048BA7" w14:textId="77777777" w:rsidR="00566D14" w:rsidRPr="00566D14" w:rsidRDefault="00566D14" w:rsidP="00566D14">
      <w:pPr>
        <w:numPr>
          <w:ilvl w:val="0"/>
          <w:numId w:val="2"/>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Neutrality:</w:t>
      </w:r>
      <w:r w:rsidRPr="00566D14">
        <w:rPr>
          <w:rFonts w:ascii="Arial" w:eastAsia="Times New Roman" w:hAnsi="Arial" w:cs="Times New Roman"/>
          <w:kern w:val="0"/>
          <w14:ligatures w14:val="none"/>
        </w:rPr>
        <w:t xml:space="preserve"> Anansi signs a strict B2B software licensing agreement with the SPV, collecting a 1% platform fee. Anansi never touches user funds.</w:t>
      </w:r>
    </w:p>
    <w:p w14:paraId="3C6E3373" w14:textId="77777777" w:rsidR="00566D14" w:rsidRPr="00566D14" w:rsidRDefault="00566D14" w:rsidP="00566D14">
      <w:pPr>
        <w:numPr>
          <w:ilvl w:val="0"/>
          <w:numId w:val="2"/>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Fiat Ingestion:</w:t>
      </w:r>
      <w:r w:rsidRPr="00566D14">
        <w:rPr>
          <w:rFonts w:ascii="Arial" w:eastAsia="Times New Roman" w:hAnsi="Arial" w:cs="Times New Roman"/>
          <w:kern w:val="0"/>
          <w14:ligatures w14:val="none"/>
        </w:rPr>
        <w:t xml:space="preserve"> The SPV opens a local Grenadian bank account. When GCNA calculates the surplus, they wire it to the SPV exactly as they would pay any standard local vendor.</w:t>
      </w:r>
    </w:p>
    <w:p w14:paraId="6AB89BF1"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4.2 Navigating Local Compliance</w:t>
      </w:r>
    </w:p>
    <w:p w14:paraId="47434C3C"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By keeping the fiat within the Eastern Caribbean Currency Union, the SPV falls under local jurisdiction. To ensure frictionless banking, the SPV registers with the Grenada Financial Intelligence Unit (FIU) as an "Agricultural Software Administrator" utilizing digital assets for settlements. The enactment of the Virtual Asset Business Act, 2021 (VABA) in Grenada provides a formal regulatory framework under the Grenada Authority for the Regulation of Financial Institutions (GARFIN) for virtual asset services. Operating transparently under this local regime satisfies banking partners (like Ariza Credit Union) and correspondent banks that the funds are compliant and strictly tied to agricultural exports.</w:t>
      </w:r>
    </w:p>
    <w:p w14:paraId="7BD071E9"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5. The API-Driven Stablecoin Orchestration Layer</w:t>
      </w:r>
    </w:p>
    <w:p w14:paraId="06AEE8DD"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With the SPV legally established to hold the funds, the platform utilizes enterprise APIs to execute the fiat-to-crypto bridge seamlessly.</w:t>
      </w:r>
    </w:p>
    <w:p w14:paraId="7F282B71"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SPV holds the institutional account with Circle Mint (the issuer of USDC) or Coinbase Prime. Because the SPV legally owns the funds, it satisfies the First-Party Funding Rule.</w:t>
      </w:r>
    </w:p>
    <w:p w14:paraId="431780FE" w14:textId="77777777" w:rsidR="00566D14" w:rsidRPr="00566D14" w:rsidRDefault="00566D14" w:rsidP="00566D14">
      <w:pPr>
        <w:numPr>
          <w:ilvl w:val="0"/>
          <w:numId w:val="3"/>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lastRenderedPageBreak/>
        <w:t>The SPV's local accountant wires the fiat from their Grenadian bank account to the SPV's Circle account.</w:t>
      </w:r>
    </w:p>
    <w:p w14:paraId="77BC5C2C" w14:textId="77777777" w:rsidR="00566D14" w:rsidRPr="00566D14" w:rsidRDefault="00566D14" w:rsidP="00566D14">
      <w:pPr>
        <w:numPr>
          <w:ilvl w:val="0"/>
          <w:numId w:val="3"/>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Circle natively mints the exact equivalent in USDC directly into the Spice Distribution Smart Contract on the Sui network.</w:t>
      </w:r>
    </w:p>
    <w:p w14:paraId="10290444" w14:textId="77777777" w:rsidR="00566D14" w:rsidRPr="00566D14" w:rsidRDefault="00566D14" w:rsidP="00566D14">
      <w:pPr>
        <w:numPr>
          <w:ilvl w:val="0"/>
          <w:numId w:val="3"/>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SPV director logs into the Spice web dashboard and clicks "Authorize Distribution." Anansi's software simply executes the API call on behalf of the SPV to trigger the on-chain payout.</w:t>
      </w:r>
    </w:p>
    <w:p w14:paraId="109556FC"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6. The "Same Door" Web3 Execution Architecture</w:t>
      </w:r>
    </w:p>
    <w:p w14:paraId="4C36B074"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Once the USDC is minted and authorized, the distribution occurs on the highly performant Sui blockchain. The Spice platform must cater to two completely different user personas—the unbanked local farmer (James) and the global DeFi investor—without introducing complex, branching smart-contract logic. This is solved via a unified </w:t>
      </w:r>
      <w:r w:rsidRPr="00566D14">
        <w:rPr>
          <w:rFonts w:ascii="Arial" w:eastAsia="Times New Roman" w:hAnsi="Arial" w:cs="Times New Roman"/>
          <w:b/>
          <w:bCs/>
          <w:kern w:val="0"/>
          <w14:ligatures w14:val="none"/>
        </w:rPr>
        <w:t>"Same Door" pipeline</w:t>
      </w:r>
      <w:r w:rsidRPr="00566D14">
        <w:rPr>
          <w:rFonts w:ascii="Arial" w:eastAsia="Times New Roman" w:hAnsi="Arial" w:cs="Times New Roman"/>
          <w:kern w:val="0"/>
          <w14:ligatures w14:val="none"/>
        </w:rPr>
        <w:t>.</w:t>
      </w:r>
    </w:p>
    <w:p w14:paraId="691C20BD"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6.1 The Universal Asset and Abstracted Wallets</w:t>
      </w:r>
    </w:p>
    <w:p w14:paraId="7720E140"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Every participant holds NUTMG tokens, representing a zero-coupon bond claim on the December surplus payout. To satisfy the mandate that James the farmer never sees a seed phrase or pays a gas fee, Anansi utilizes Sui's </w:t>
      </w:r>
      <w:proofErr w:type="spellStart"/>
      <w:r w:rsidRPr="00566D14">
        <w:rPr>
          <w:rFonts w:ascii="Arial" w:eastAsia="Times New Roman" w:hAnsi="Arial" w:cs="Times New Roman"/>
          <w:b/>
          <w:bCs/>
          <w:kern w:val="0"/>
          <w14:ligatures w14:val="none"/>
        </w:rPr>
        <w:t>zkLogin</w:t>
      </w:r>
      <w:proofErr w:type="spellEnd"/>
      <w:r w:rsidRPr="00566D14">
        <w:rPr>
          <w:rFonts w:ascii="Arial" w:eastAsia="Times New Roman" w:hAnsi="Arial" w:cs="Times New Roman"/>
          <w:kern w:val="0"/>
          <w14:ligatures w14:val="none"/>
        </w:rPr>
        <w:t xml:space="preserve"> (allowing login via Google credentials) and </w:t>
      </w:r>
      <w:r w:rsidRPr="00566D14">
        <w:rPr>
          <w:rFonts w:ascii="Arial" w:eastAsia="Times New Roman" w:hAnsi="Arial" w:cs="Times New Roman"/>
          <w:b/>
          <w:bCs/>
          <w:kern w:val="0"/>
          <w14:ligatures w14:val="none"/>
        </w:rPr>
        <w:t>Sponsored Transactions</w:t>
      </w:r>
      <w:r w:rsidRPr="00566D14">
        <w:rPr>
          <w:rFonts w:ascii="Arial" w:eastAsia="Times New Roman" w:hAnsi="Arial" w:cs="Times New Roman"/>
          <w:kern w:val="0"/>
          <w14:ligatures w14:val="none"/>
        </w:rPr>
        <w:t xml:space="preserve"> (where the platform pays the SUI network fees on the backend).</w:t>
      </w:r>
    </w:p>
    <w:p w14:paraId="436E5859"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6.2 The Early Cash-Out (Exit Liquidity Engine)</w:t>
      </w:r>
    </w:p>
    <w:p w14:paraId="7B403129"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A primary value proposition of Spice is allowing farmers to access capital before the December distribution.</w:t>
      </w:r>
    </w:p>
    <w:p w14:paraId="68AAE223" w14:textId="77777777" w:rsidR="00566D14" w:rsidRPr="00566D14" w:rsidRDefault="00566D14" w:rsidP="00566D14">
      <w:pPr>
        <w:numPr>
          <w:ilvl w:val="0"/>
          <w:numId w:val="4"/>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When a farmer taps "Sell Early," the Anansi backend routes their NUTMG tokens to an integrated Decentralized Exchange (DEX) on Sui.</w:t>
      </w:r>
    </w:p>
    <w:p w14:paraId="7EB2364C" w14:textId="77777777" w:rsidR="00566D14" w:rsidRPr="00566D14" w:rsidRDefault="00566D14" w:rsidP="00566D14">
      <w:pPr>
        <w:numPr>
          <w:ilvl w:val="0"/>
          <w:numId w:val="4"/>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Global diaspora investors or DeFi yield-seekers provide USDC liquidity to this pool, buying the farmer's NUTMG at a slight discount (representing the time-value of money).</w:t>
      </w:r>
    </w:p>
    <w:p w14:paraId="15D9FCCB" w14:textId="77777777" w:rsidR="00566D14" w:rsidRPr="00566D14" w:rsidRDefault="00566D14" w:rsidP="00566D14">
      <w:pPr>
        <w:numPr>
          <w:ilvl w:val="0"/>
          <w:numId w:val="4"/>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DEX automatically swaps the NUTMG for USDC.</w:t>
      </w:r>
    </w:p>
    <w:p w14:paraId="66C3C2E6" w14:textId="77777777" w:rsidR="00566D14" w:rsidRPr="00566D14" w:rsidRDefault="00566D14" w:rsidP="00566D14">
      <w:pPr>
        <w:numPr>
          <w:ilvl w:val="0"/>
          <w:numId w:val="4"/>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Every user—whether a local farmer or a Singaporean trader—is now holding USDC in their wallet. For the farmer, the UI abstracts "USDC" and simply displays: </w:t>
      </w:r>
      <w:r w:rsidRPr="00566D14">
        <w:rPr>
          <w:rFonts w:ascii="Arial" w:eastAsia="Times New Roman" w:hAnsi="Arial" w:cs="Times New Roman"/>
          <w:i/>
          <w:iCs/>
          <w:kern w:val="0"/>
          <w14:ligatures w14:val="none"/>
        </w:rPr>
        <w:t>"Spice Cash Balance: $300."</w:t>
      </w:r>
    </w:p>
    <w:p w14:paraId="7F18D282"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7. The "Last Mile" Frictionless Fiat Off-Ramp</w:t>
      </w:r>
    </w:p>
    <w:p w14:paraId="7650C713"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final architectural hurdle is allowing the unbanked or traditional farmer to convert their "Spice Cash" (USDC) back into physical, usable fiat (EC$) to buy groceries, without relying on international correspondent wire delays.</w:t>
      </w:r>
    </w:p>
    <w:p w14:paraId="13F21BDE"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lastRenderedPageBreak/>
        <w:t xml:space="preserve">By requiring the user to tap </w:t>
      </w:r>
      <w:r w:rsidRPr="00566D14">
        <w:rPr>
          <w:rFonts w:ascii="Arial" w:eastAsia="Times New Roman" w:hAnsi="Arial" w:cs="Times New Roman"/>
          <w:b/>
          <w:bCs/>
          <w:kern w:val="0"/>
          <w14:ligatures w14:val="none"/>
        </w:rPr>
        <w:t>"Withdraw to Bank"</w:t>
      </w:r>
      <w:r w:rsidRPr="00566D14">
        <w:rPr>
          <w:rFonts w:ascii="Arial" w:eastAsia="Times New Roman" w:hAnsi="Arial" w:cs="Times New Roman"/>
          <w:kern w:val="0"/>
          <w14:ligatures w14:val="none"/>
        </w:rPr>
        <w:t xml:space="preserve"> or </w:t>
      </w:r>
      <w:r w:rsidRPr="00566D14">
        <w:rPr>
          <w:rFonts w:ascii="Arial" w:eastAsia="Times New Roman" w:hAnsi="Arial" w:cs="Times New Roman"/>
          <w:b/>
          <w:bCs/>
          <w:kern w:val="0"/>
          <w14:ligatures w14:val="none"/>
        </w:rPr>
        <w:t>"Pick Up Cash,"</w:t>
      </w:r>
      <w:r w:rsidRPr="00566D14">
        <w:rPr>
          <w:rFonts w:ascii="Arial" w:eastAsia="Times New Roman" w:hAnsi="Arial" w:cs="Times New Roman"/>
          <w:kern w:val="0"/>
          <w14:ligatures w14:val="none"/>
        </w:rPr>
        <w:t xml:space="preserve"> the system triggers the SPV off-ramp.</w:t>
      </w:r>
    </w:p>
    <w:p w14:paraId="4A23BFC8"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7.1 Route A: Local Bank Transfer</w:t>
      </w:r>
    </w:p>
    <w:p w14:paraId="588134F8"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smart contract sweeps the user's USDC back to the SPV's Circle account and burns it. The Spice dashboard instantly alerts the SPV accountant, who uses the local fiat buffer (held at their Grenadian bank) to execute a same-day, domestic EC$ transfer directly to the farmer's credit union account.</w:t>
      </w:r>
    </w:p>
    <w:p w14:paraId="6FD9FBB6" w14:textId="77777777" w:rsidR="00566D14" w:rsidRPr="00566D14" w:rsidRDefault="00566D14" w:rsidP="00566D14">
      <w:pPr>
        <w:spacing w:after="100" w:afterAutospacing="1" w:line="240" w:lineRule="auto"/>
        <w:outlineLvl w:val="2"/>
        <w:rPr>
          <w:rFonts w:ascii="Arial" w:eastAsia="Times New Roman" w:hAnsi="Arial" w:cs="Times New Roman"/>
          <w:b/>
          <w:bCs/>
          <w:kern w:val="0"/>
          <w:sz w:val="27"/>
          <w:szCs w:val="27"/>
          <w14:ligatures w14:val="none"/>
        </w:rPr>
      </w:pPr>
      <w:r w:rsidRPr="00566D14">
        <w:rPr>
          <w:rFonts w:ascii="Arial" w:eastAsia="Times New Roman" w:hAnsi="Arial" w:cs="Times New Roman"/>
          <w:b/>
          <w:bCs/>
          <w:kern w:val="0"/>
          <w:sz w:val="27"/>
          <w:szCs w:val="27"/>
          <w14:ligatures w14:val="none"/>
        </w:rPr>
        <w:t>7.2 Route B: The QR Code "Cash Agent" Network</w:t>
      </w:r>
    </w:p>
    <w:p w14:paraId="189A6B5B"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For unbanked farmers operating entirely in cash:</w:t>
      </w:r>
    </w:p>
    <w:p w14:paraId="77154DA9" w14:textId="77777777" w:rsidR="00566D14" w:rsidRPr="00566D14" w:rsidRDefault="00566D14" w:rsidP="00566D14">
      <w:pPr>
        <w:numPr>
          <w:ilvl w:val="0"/>
          <w:numId w:val="5"/>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 xml:space="preserve">The smart contract burns the USDC, and the Spice app generates a secure, time-sensitive </w:t>
      </w:r>
      <w:r w:rsidRPr="00566D14">
        <w:rPr>
          <w:rFonts w:ascii="Arial" w:eastAsia="Times New Roman" w:hAnsi="Arial" w:cs="Times New Roman"/>
          <w:b/>
          <w:bCs/>
          <w:kern w:val="0"/>
          <w14:ligatures w14:val="none"/>
        </w:rPr>
        <w:t>QR Code</w:t>
      </w:r>
      <w:r w:rsidRPr="00566D14">
        <w:rPr>
          <w:rFonts w:ascii="Arial" w:eastAsia="Times New Roman" w:hAnsi="Arial" w:cs="Times New Roman"/>
          <w:kern w:val="0"/>
          <w14:ligatures w14:val="none"/>
        </w:rPr>
        <w:t xml:space="preserve"> on the farmer's phone.</w:t>
      </w:r>
    </w:p>
    <w:p w14:paraId="075130CD" w14:textId="77777777" w:rsidR="00566D14" w:rsidRPr="00566D14" w:rsidRDefault="00566D14" w:rsidP="00566D14">
      <w:pPr>
        <w:numPr>
          <w:ilvl w:val="0"/>
          <w:numId w:val="5"/>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farmer visits a partnered "Cash Agent"—such as a local credit union teller, a Western Union desk, or even the GCNA nutmeg receiving station manager.</w:t>
      </w:r>
    </w:p>
    <w:p w14:paraId="50C9EB3C" w14:textId="77777777" w:rsidR="00566D14" w:rsidRPr="00566D14" w:rsidRDefault="00566D14" w:rsidP="00566D14">
      <w:pPr>
        <w:numPr>
          <w:ilvl w:val="0"/>
          <w:numId w:val="5"/>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agent checks the farmer's physical National ID (pushing the KYC burden to the physical agent, avoiding complex biometric software requirements in-app).</w:t>
      </w:r>
    </w:p>
    <w:p w14:paraId="6D523090" w14:textId="77777777" w:rsidR="00566D14" w:rsidRPr="00566D14" w:rsidRDefault="00566D14" w:rsidP="00566D14">
      <w:pPr>
        <w:numPr>
          <w:ilvl w:val="0"/>
          <w:numId w:val="5"/>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agent scans the QR code via a web portal and hands the farmer physical EC$ cash.</w:t>
      </w:r>
    </w:p>
    <w:p w14:paraId="051E075E" w14:textId="77777777" w:rsidR="00566D14" w:rsidRPr="00566D14" w:rsidRDefault="00566D14" w:rsidP="00566D14">
      <w:pPr>
        <w:numPr>
          <w:ilvl w:val="0"/>
          <w:numId w:val="5"/>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At the end of the day, the SPV reimburses the Cash Agent's bank account for all disbursed funds, creating an infinitely scalable mobile money network.</w:t>
      </w:r>
    </w:p>
    <w:p w14:paraId="6C0D48C8" w14:textId="77777777" w:rsidR="00566D14" w:rsidRPr="00566D14" w:rsidRDefault="00566D14" w:rsidP="00566D14">
      <w:pPr>
        <w:spacing w:after="100" w:afterAutospacing="1" w:line="240" w:lineRule="auto"/>
        <w:outlineLvl w:val="1"/>
        <w:rPr>
          <w:rFonts w:ascii="Arial" w:eastAsia="Times New Roman" w:hAnsi="Arial" w:cs="Times New Roman"/>
          <w:b/>
          <w:bCs/>
          <w:kern w:val="0"/>
          <w:sz w:val="36"/>
          <w:szCs w:val="36"/>
          <w14:ligatures w14:val="none"/>
        </w:rPr>
      </w:pPr>
      <w:r w:rsidRPr="00566D14">
        <w:rPr>
          <w:rFonts w:ascii="Arial" w:eastAsia="Times New Roman" w:hAnsi="Arial" w:cs="Times New Roman"/>
          <w:b/>
          <w:bCs/>
          <w:kern w:val="0"/>
          <w:sz w:val="36"/>
          <w:szCs w:val="36"/>
          <w14:ligatures w14:val="none"/>
        </w:rPr>
        <w:t>8. Strategic Action Plan and Conclusions</w:t>
      </w:r>
    </w:p>
    <w:p w14:paraId="54AE243B"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Tokenizing an agricultural asset but forcing a traditional cooperative to manually manage cryptocurrency wallets entirely defeats the purpose of the technological innovation. Conversely, placing the software provider in the middle of a global fiat-to-crypto conversion pipeline transforms a high-margin software business into an undercapitalized, unlicensed money transmitter facing severe criminal liabilities.</w:t>
      </w:r>
    </w:p>
    <w:p w14:paraId="37B0C3C6" w14:textId="77777777" w:rsidR="00566D14" w:rsidRPr="00566D14"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The Spice application must be architected around the following directives:</w:t>
      </w:r>
    </w:p>
    <w:p w14:paraId="135362B1" w14:textId="77777777" w:rsidR="00566D14" w:rsidRPr="00566D14" w:rsidRDefault="00566D14" w:rsidP="00566D14">
      <w:pPr>
        <w:numPr>
          <w:ilvl w:val="0"/>
          <w:numId w:val="6"/>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Establish the SPV Gateway:</w:t>
      </w:r>
      <w:r w:rsidRPr="00566D14">
        <w:rPr>
          <w:rFonts w:ascii="Arial" w:eastAsia="Times New Roman" w:hAnsi="Arial" w:cs="Times New Roman"/>
          <w:kern w:val="0"/>
          <w14:ligatures w14:val="none"/>
        </w:rPr>
        <w:t xml:space="preserve"> Incorporate "Spice Distribution SPV Ltd." in Grenada with 100% local directorship to absorb local compliance, avoid FATCA, and shield Anansi from US MSB classification.</w:t>
      </w:r>
    </w:p>
    <w:p w14:paraId="00FDD907" w14:textId="77777777" w:rsidR="00566D14" w:rsidRPr="00566D14" w:rsidRDefault="00566D14" w:rsidP="00566D14">
      <w:pPr>
        <w:numPr>
          <w:ilvl w:val="0"/>
          <w:numId w:val="6"/>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Utilize API Orchestration:</w:t>
      </w:r>
      <w:r w:rsidRPr="00566D14">
        <w:rPr>
          <w:rFonts w:ascii="Arial" w:eastAsia="Times New Roman" w:hAnsi="Arial" w:cs="Times New Roman"/>
          <w:kern w:val="0"/>
          <w14:ligatures w14:val="none"/>
        </w:rPr>
        <w:t xml:space="preserve"> The SPV manages the fiat buffer at a local bank and holds the institutional Circle Mint or Coinbase Prime account, bridging the fiat to USDC securely.</w:t>
      </w:r>
    </w:p>
    <w:p w14:paraId="257B81EA" w14:textId="77777777" w:rsidR="00566D14" w:rsidRPr="00566D14" w:rsidRDefault="00566D14" w:rsidP="00566D14">
      <w:pPr>
        <w:numPr>
          <w:ilvl w:val="0"/>
          <w:numId w:val="6"/>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t>Deploy the "Same Door" Pipeline on Sui:</w:t>
      </w:r>
      <w:r w:rsidRPr="00566D14">
        <w:rPr>
          <w:rFonts w:ascii="Arial" w:eastAsia="Times New Roman" w:hAnsi="Arial" w:cs="Times New Roman"/>
          <w:kern w:val="0"/>
          <w14:ligatures w14:val="none"/>
        </w:rPr>
        <w:t xml:space="preserve"> Utilize </w:t>
      </w:r>
      <w:proofErr w:type="spellStart"/>
      <w:r w:rsidRPr="00566D14">
        <w:rPr>
          <w:rFonts w:ascii="Arial" w:eastAsia="Times New Roman" w:hAnsi="Arial" w:cs="Times New Roman"/>
          <w:kern w:val="0"/>
          <w14:ligatures w14:val="none"/>
        </w:rPr>
        <w:t>zkLogin</w:t>
      </w:r>
      <w:proofErr w:type="spellEnd"/>
      <w:r w:rsidRPr="00566D14">
        <w:rPr>
          <w:rFonts w:ascii="Arial" w:eastAsia="Times New Roman" w:hAnsi="Arial" w:cs="Times New Roman"/>
          <w:kern w:val="0"/>
          <w14:ligatures w14:val="none"/>
        </w:rPr>
        <w:t xml:space="preserve"> and sponsored gas to abstract Web3 mechanics. Connect local farmers to global exit liquidity via a DEX, ensuring fair pricing and instant settlement in USDC.</w:t>
      </w:r>
    </w:p>
    <w:p w14:paraId="0E33B379" w14:textId="77777777" w:rsidR="00566D14" w:rsidRPr="00566D14" w:rsidRDefault="00566D14" w:rsidP="00566D14">
      <w:pPr>
        <w:numPr>
          <w:ilvl w:val="0"/>
          <w:numId w:val="6"/>
        </w:num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b/>
          <w:bCs/>
          <w:kern w:val="0"/>
          <w14:ligatures w14:val="none"/>
        </w:rPr>
        <w:lastRenderedPageBreak/>
        <w:t>Implement Localized Cash Off-Ramps:</w:t>
      </w:r>
      <w:r w:rsidRPr="00566D14">
        <w:rPr>
          <w:rFonts w:ascii="Arial" w:eastAsia="Times New Roman" w:hAnsi="Arial" w:cs="Times New Roman"/>
          <w:kern w:val="0"/>
          <w14:ligatures w14:val="none"/>
        </w:rPr>
        <w:t xml:space="preserve"> Leverage the SPV to execute same-day local fiat transfers and deploy a QR-based Cash Agent network to serve unbanked populations with physical cash.</w:t>
      </w:r>
    </w:p>
    <w:p w14:paraId="20BB6C10" w14:textId="3E9A254B" w:rsidR="00845571" w:rsidRDefault="00566D14" w:rsidP="00566D14">
      <w:pPr>
        <w:spacing w:after="100" w:afterAutospacing="1" w:line="240" w:lineRule="auto"/>
        <w:rPr>
          <w:rFonts w:ascii="Arial" w:eastAsia="Times New Roman" w:hAnsi="Arial" w:cs="Times New Roman"/>
          <w:kern w:val="0"/>
          <w14:ligatures w14:val="none"/>
        </w:rPr>
      </w:pPr>
      <w:r w:rsidRPr="00566D14">
        <w:rPr>
          <w:rFonts w:ascii="Arial" w:eastAsia="Times New Roman" w:hAnsi="Arial" w:cs="Times New Roman"/>
          <w:kern w:val="0"/>
          <w14:ligatures w14:val="none"/>
        </w:rPr>
        <w:t>This unified architecture ensures the agricultural custodian operates purely in legacy fiat, unbanked token holders receive instant liquidity without friction, and Anansi Technology scales infinitely as a purely neutral, compliant software layer.</w:t>
      </w:r>
    </w:p>
    <w:p w14:paraId="6324DFC3" w14:textId="114386DB" w:rsidR="006576F0" w:rsidRPr="006576F0" w:rsidRDefault="006576F0" w:rsidP="00566D14">
      <w:pPr>
        <w:spacing w:after="100" w:afterAutospacing="1" w:line="240" w:lineRule="auto"/>
        <w:rPr>
          <w:rFonts w:ascii="Arial" w:eastAsia="Times New Roman" w:hAnsi="Arial" w:cs="Times New Roman"/>
          <w:color w:val="EE0000"/>
          <w:kern w:val="0"/>
          <w14:ligatures w14:val="none"/>
        </w:rPr>
      </w:pPr>
      <w:r w:rsidRPr="006576F0">
        <w:rPr>
          <w:rFonts w:ascii="Arial" w:eastAsia="Times New Roman" w:hAnsi="Arial" w:cs="Times New Roman"/>
          <w:color w:val="EE0000"/>
          <w:kern w:val="0"/>
          <w14:ligatures w14:val="none"/>
        </w:rPr>
        <w:t xml:space="preserve">another thought. what if </w:t>
      </w:r>
      <w:proofErr w:type="spellStart"/>
      <w:r w:rsidRPr="006576F0">
        <w:rPr>
          <w:rFonts w:ascii="Arial" w:eastAsia="Times New Roman" w:hAnsi="Arial" w:cs="Times New Roman"/>
          <w:color w:val="EE0000"/>
          <w:kern w:val="0"/>
          <w14:ligatures w14:val="none"/>
        </w:rPr>
        <w:t>anansi</w:t>
      </w:r>
      <w:proofErr w:type="spellEnd"/>
      <w:r w:rsidRPr="006576F0">
        <w:rPr>
          <w:rFonts w:ascii="Arial" w:eastAsia="Times New Roman" w:hAnsi="Arial" w:cs="Times New Roman"/>
          <w:color w:val="EE0000"/>
          <w:kern w:val="0"/>
          <w14:ligatures w14:val="none"/>
        </w:rPr>
        <w:t xml:space="preserve"> was incorporated in </w:t>
      </w:r>
      <w:proofErr w:type="spellStart"/>
      <w:r w:rsidRPr="006576F0">
        <w:rPr>
          <w:rFonts w:ascii="Arial" w:eastAsia="Times New Roman" w:hAnsi="Arial" w:cs="Times New Roman"/>
          <w:color w:val="EE0000"/>
          <w:kern w:val="0"/>
          <w14:ligatures w14:val="none"/>
        </w:rPr>
        <w:t>grenada</w:t>
      </w:r>
      <w:proofErr w:type="spellEnd"/>
      <w:r w:rsidRPr="006576F0">
        <w:rPr>
          <w:rFonts w:ascii="Arial" w:eastAsia="Times New Roman" w:hAnsi="Arial" w:cs="Times New Roman"/>
          <w:color w:val="EE0000"/>
          <w:kern w:val="0"/>
          <w14:ligatures w14:val="none"/>
        </w:rPr>
        <w:t xml:space="preserve">? </w:t>
      </w:r>
      <w:proofErr w:type="spellStart"/>
      <w:r w:rsidRPr="006576F0">
        <w:rPr>
          <w:rFonts w:ascii="Arial" w:eastAsia="Times New Roman" w:hAnsi="Arial" w:cs="Times New Roman"/>
          <w:color w:val="EE0000"/>
          <w:kern w:val="0"/>
          <w14:ligatures w14:val="none"/>
        </w:rPr>
        <w:t>i</w:t>
      </w:r>
      <w:proofErr w:type="spellEnd"/>
      <w:r w:rsidRPr="006576F0">
        <w:rPr>
          <w:rFonts w:ascii="Arial" w:eastAsia="Times New Roman" w:hAnsi="Arial" w:cs="Times New Roman"/>
          <w:color w:val="EE0000"/>
          <w:kern w:val="0"/>
          <w14:ligatures w14:val="none"/>
        </w:rPr>
        <w:t xml:space="preserve"> am the future founder and dual citizenship (us and </w:t>
      </w:r>
      <w:proofErr w:type="spellStart"/>
      <w:r w:rsidRPr="006576F0">
        <w:rPr>
          <w:rFonts w:ascii="Arial" w:eastAsia="Times New Roman" w:hAnsi="Arial" w:cs="Times New Roman"/>
          <w:color w:val="EE0000"/>
          <w:kern w:val="0"/>
          <w14:ligatures w14:val="none"/>
        </w:rPr>
        <w:t>grenada</w:t>
      </w:r>
      <w:proofErr w:type="spellEnd"/>
      <w:r w:rsidRPr="006576F0">
        <w:rPr>
          <w:rFonts w:ascii="Arial" w:eastAsia="Times New Roman" w:hAnsi="Arial" w:cs="Times New Roman"/>
          <w:color w:val="EE0000"/>
          <w:kern w:val="0"/>
          <w14:ligatures w14:val="none"/>
        </w:rPr>
        <w:t>)</w:t>
      </w:r>
    </w:p>
    <w:p w14:paraId="092FA718"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Incorporating Anansi directly in Grenada is a very logical architectural pivot. It elegantly simplifies the system diagram: Anansi becomes a single, local entity that builds the software, partners with GCNA, and manages the fiat bridge natively.</w:t>
      </w:r>
    </w:p>
    <w:p w14:paraId="0429F3C0"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However, when you introduce your U.S. citizenship into the equation alongside global startup ambitions, this path triggers a new set of complex legal and financial traps.</w:t>
      </w:r>
    </w:p>
    <w:p w14:paraId="5878D0C9"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Here is the candid breakdown of what happens if Anansi is a 100% Grenadian company, and why the "dual entity" structure (US Parent + Grenada SPV) is usually the standard playbook for founders in your exact position.</w:t>
      </w:r>
    </w:p>
    <w:p w14:paraId="2DEE862A" w14:textId="77777777" w:rsidR="006576F0" w:rsidRPr="006576F0" w:rsidRDefault="006576F0" w:rsidP="006576F0">
      <w:pPr>
        <w:spacing w:after="120" w:line="240" w:lineRule="auto"/>
        <w:outlineLvl w:val="2"/>
        <w:rPr>
          <w:rFonts w:ascii="Arial" w:eastAsia="Times New Roman" w:hAnsi="Arial" w:cs="Arial"/>
          <w:b/>
          <w:bCs/>
          <w:color w:val="1F1F1F"/>
          <w:kern w:val="0"/>
          <w:sz w:val="27"/>
          <w:szCs w:val="27"/>
          <w14:ligatures w14:val="none"/>
        </w:rPr>
      </w:pPr>
      <w:r w:rsidRPr="006576F0">
        <w:rPr>
          <w:rFonts w:ascii="Arial" w:eastAsia="Times New Roman" w:hAnsi="Arial" w:cs="Arial"/>
          <w:b/>
          <w:bCs/>
          <w:color w:val="1F1F1F"/>
          <w:kern w:val="0"/>
          <w:sz w:val="27"/>
          <w:szCs w:val="27"/>
          <w14:ligatures w14:val="none"/>
        </w:rPr>
        <w:t>1. The Dual-Citizen Trap (The IRS Follows You)</w:t>
      </w:r>
    </w:p>
    <w:p w14:paraId="329DB640" w14:textId="77777777" w:rsidR="006576F0" w:rsidRPr="006576F0" w:rsidRDefault="006576F0" w:rsidP="006576F0">
      <w:pPr>
        <w:spacing w:after="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 xml:space="preserve">The most critical factor here is your U.S. citizenship. Unlike almost every other country, the United States taxes based on </w:t>
      </w:r>
      <w:r w:rsidRPr="006576F0">
        <w:rPr>
          <w:rFonts w:ascii="Arial" w:eastAsia="Times New Roman" w:hAnsi="Arial" w:cs="Arial"/>
          <w:i/>
          <w:iCs/>
          <w:color w:val="1F1F1F"/>
          <w:kern w:val="0"/>
          <w:bdr w:val="none" w:sz="0" w:space="0" w:color="auto" w:frame="1"/>
          <w14:ligatures w14:val="none"/>
        </w:rPr>
        <w:t>citizenship</w:t>
      </w:r>
      <w:r w:rsidRPr="006576F0">
        <w:rPr>
          <w:rFonts w:ascii="Arial" w:eastAsia="Times New Roman" w:hAnsi="Arial" w:cs="Arial"/>
          <w:color w:val="1F1F1F"/>
          <w:kern w:val="0"/>
          <w14:ligatures w14:val="none"/>
        </w:rPr>
        <w:t>, not residency.</w:t>
      </w:r>
    </w:p>
    <w:p w14:paraId="6765898B" w14:textId="77777777" w:rsidR="006576F0" w:rsidRPr="006576F0" w:rsidRDefault="006576F0" w:rsidP="006576F0">
      <w:pPr>
        <w:spacing w:after="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 xml:space="preserve">If you incorporate Anansi in Grenada and you (a U.S. citizen) own more than 50% of it, the IRS classifies Anansi as a </w:t>
      </w:r>
      <w:r w:rsidRPr="006576F0">
        <w:rPr>
          <w:rFonts w:ascii="Arial" w:eastAsia="Times New Roman" w:hAnsi="Arial" w:cs="Arial"/>
          <w:b/>
          <w:bCs/>
          <w:color w:val="1F1F1F"/>
          <w:kern w:val="0"/>
          <w:bdr w:val="none" w:sz="0" w:space="0" w:color="auto" w:frame="1"/>
          <w14:ligatures w14:val="none"/>
        </w:rPr>
        <w:t>Controlled Foreign Corporation (CFC)</w:t>
      </w:r>
      <w:r w:rsidRPr="006576F0">
        <w:rPr>
          <w:rFonts w:ascii="Arial" w:eastAsia="Times New Roman" w:hAnsi="Arial" w:cs="Arial"/>
          <w:color w:val="1F1F1F"/>
          <w:kern w:val="0"/>
          <w14:ligatures w14:val="none"/>
        </w:rPr>
        <w:t>.</w:t>
      </w:r>
    </w:p>
    <w:p w14:paraId="3D5A8099" w14:textId="77777777" w:rsidR="006576F0" w:rsidRPr="006576F0" w:rsidRDefault="006576F0" w:rsidP="006576F0">
      <w:pPr>
        <w:numPr>
          <w:ilvl w:val="0"/>
          <w:numId w:val="7"/>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The Reporting Burden:</w:t>
      </w:r>
      <w:r w:rsidRPr="006576F0">
        <w:rPr>
          <w:rFonts w:ascii="Arial" w:eastAsia="Times New Roman" w:hAnsi="Arial" w:cs="Arial"/>
          <w:color w:val="1F1F1F"/>
          <w:kern w:val="0"/>
          <w14:ligatures w14:val="none"/>
        </w:rPr>
        <w:t xml:space="preserve"> You will be subject to complex, expensive annual IRS reporting (specifically Form 5471). Failing to file this form correctly carries severe penalties.</w:t>
      </w:r>
    </w:p>
    <w:p w14:paraId="54044506" w14:textId="77777777" w:rsidR="006576F0" w:rsidRPr="006576F0" w:rsidRDefault="006576F0" w:rsidP="006576F0">
      <w:pPr>
        <w:numPr>
          <w:ilvl w:val="0"/>
          <w:numId w:val="7"/>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GILTI Tax:</w:t>
      </w:r>
      <w:r w:rsidRPr="006576F0">
        <w:rPr>
          <w:rFonts w:ascii="Arial" w:eastAsia="Times New Roman" w:hAnsi="Arial" w:cs="Arial"/>
          <w:color w:val="1F1F1F"/>
          <w:kern w:val="0"/>
          <w14:ligatures w14:val="none"/>
        </w:rPr>
        <w:t xml:space="preserve"> Under current U.S. tax law, the IRS can tax you personally on the global intangible income (GILTI) of your foreign corporation, even if you never distribute that money to yourself as a dividend.</w:t>
      </w:r>
    </w:p>
    <w:p w14:paraId="42D8D00B" w14:textId="77777777" w:rsidR="006576F0" w:rsidRPr="006576F0" w:rsidRDefault="006576F0" w:rsidP="006576F0">
      <w:pPr>
        <w:numPr>
          <w:ilvl w:val="0"/>
          <w:numId w:val="7"/>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The FATCA Reality:</w:t>
      </w:r>
      <w:r w:rsidRPr="006576F0">
        <w:rPr>
          <w:rFonts w:ascii="Arial" w:eastAsia="Times New Roman" w:hAnsi="Arial" w:cs="Arial"/>
          <w:color w:val="1F1F1F"/>
          <w:kern w:val="0"/>
          <w14:ligatures w14:val="none"/>
        </w:rPr>
        <w:t xml:space="preserve"> When your Grenadian company walks into Ariza Credit Union or Republic Bank to open an account, they will ask if any U.S. citizens own more than 10% of the company. When you say yes, FATCA (Foreign Account Tax Compliance Act) regulations kick in. The local bank must report your company's balances directly to the U.S. government, which often makes foreign banks extremely hesitant to open accounts for U.S.-owned businesses.</w:t>
      </w:r>
    </w:p>
    <w:p w14:paraId="12B2202C"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Incorporating in Grenada does not hide you from the U.S. government; it just makes your accounting bills significantly higher.</w:t>
      </w:r>
    </w:p>
    <w:p w14:paraId="5688FA38" w14:textId="77777777" w:rsidR="006576F0" w:rsidRPr="006576F0" w:rsidRDefault="006576F0" w:rsidP="006576F0">
      <w:pPr>
        <w:spacing w:after="120" w:line="240" w:lineRule="auto"/>
        <w:outlineLvl w:val="2"/>
        <w:rPr>
          <w:rFonts w:ascii="Arial" w:eastAsia="Times New Roman" w:hAnsi="Arial" w:cs="Arial"/>
          <w:b/>
          <w:bCs/>
          <w:color w:val="1F1F1F"/>
          <w:kern w:val="0"/>
          <w:sz w:val="27"/>
          <w:szCs w:val="27"/>
          <w14:ligatures w14:val="none"/>
        </w:rPr>
      </w:pPr>
      <w:r w:rsidRPr="006576F0">
        <w:rPr>
          <w:rFonts w:ascii="Arial" w:eastAsia="Times New Roman" w:hAnsi="Arial" w:cs="Arial"/>
          <w:b/>
          <w:bCs/>
          <w:color w:val="1F1F1F"/>
          <w:kern w:val="0"/>
          <w:sz w:val="27"/>
          <w:szCs w:val="27"/>
          <w14:ligatures w14:val="none"/>
        </w:rPr>
        <w:t>2. The Fundraising Wall</w:t>
      </w:r>
    </w:p>
    <w:p w14:paraId="5FF4260F"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If your roadmap includes raising venture capital, conducting a SAFT (Simple Agreement for Future Tokens) pre-sale, or eventually selling the company, the corporate jurisdiction matters immensely.</w:t>
      </w:r>
    </w:p>
    <w:p w14:paraId="346506FC" w14:textId="77777777" w:rsidR="006576F0" w:rsidRPr="006576F0" w:rsidRDefault="006576F0" w:rsidP="006576F0">
      <w:pPr>
        <w:spacing w:after="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lastRenderedPageBreak/>
        <w:t xml:space="preserve">Global investors, Web3 funds, and U.S. venture capitalists strongly prefer to invest in familiar legal wrappers—specifically, a </w:t>
      </w:r>
      <w:r w:rsidRPr="006576F0">
        <w:rPr>
          <w:rFonts w:ascii="Arial" w:eastAsia="Times New Roman" w:hAnsi="Arial" w:cs="Arial"/>
          <w:b/>
          <w:bCs/>
          <w:color w:val="1F1F1F"/>
          <w:kern w:val="0"/>
          <w:bdr w:val="none" w:sz="0" w:space="0" w:color="auto" w:frame="1"/>
          <w14:ligatures w14:val="none"/>
        </w:rPr>
        <w:t>Delaware C-Corp</w:t>
      </w:r>
      <w:r w:rsidRPr="006576F0">
        <w:rPr>
          <w:rFonts w:ascii="Arial" w:eastAsia="Times New Roman" w:hAnsi="Arial" w:cs="Arial"/>
          <w:color w:val="1F1F1F"/>
          <w:kern w:val="0"/>
          <w14:ligatures w14:val="none"/>
        </w:rPr>
        <w:t xml:space="preserve"> or a U.S. LLC.</w:t>
      </w:r>
    </w:p>
    <w:p w14:paraId="22C9BCDA" w14:textId="77777777" w:rsidR="006576F0" w:rsidRPr="006576F0" w:rsidRDefault="006576F0" w:rsidP="006576F0">
      <w:pPr>
        <w:numPr>
          <w:ilvl w:val="0"/>
          <w:numId w:val="8"/>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Legal Predictability:</w:t>
      </w:r>
      <w:r w:rsidRPr="006576F0">
        <w:rPr>
          <w:rFonts w:ascii="Arial" w:eastAsia="Times New Roman" w:hAnsi="Arial" w:cs="Arial"/>
          <w:color w:val="1F1F1F"/>
          <w:kern w:val="0"/>
          <w14:ligatures w14:val="none"/>
        </w:rPr>
        <w:t xml:space="preserve"> Investors know exactly how U.S. corporate law protects their equity. They do not know Grenadian corporate law.</w:t>
      </w:r>
    </w:p>
    <w:p w14:paraId="305EBFBA" w14:textId="77777777" w:rsidR="006576F0" w:rsidRPr="006576F0" w:rsidRDefault="006576F0" w:rsidP="006576F0">
      <w:pPr>
        <w:numPr>
          <w:ilvl w:val="0"/>
          <w:numId w:val="8"/>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The "Offshore" Stigma:</w:t>
      </w:r>
      <w:r w:rsidRPr="006576F0">
        <w:rPr>
          <w:rFonts w:ascii="Arial" w:eastAsia="Times New Roman" w:hAnsi="Arial" w:cs="Arial"/>
          <w:color w:val="1F1F1F"/>
          <w:kern w:val="0"/>
          <w14:ligatures w14:val="none"/>
        </w:rPr>
        <w:t xml:space="preserve"> While places like the BVI or Cayman Islands have established legal frameworks for crypto funds, a standard Grenadian LLC acting as a global software company might cause compliance departments at major VC firms to pass on the deal simply due to the legal friction of investing in an unfamiliar jurisdiction.</w:t>
      </w:r>
    </w:p>
    <w:p w14:paraId="3DEE15D1" w14:textId="77777777" w:rsidR="006576F0" w:rsidRPr="006576F0" w:rsidRDefault="006576F0" w:rsidP="006576F0">
      <w:pPr>
        <w:spacing w:after="120" w:line="240" w:lineRule="auto"/>
        <w:outlineLvl w:val="2"/>
        <w:rPr>
          <w:rFonts w:ascii="Arial" w:eastAsia="Times New Roman" w:hAnsi="Arial" w:cs="Arial"/>
          <w:b/>
          <w:bCs/>
          <w:color w:val="1F1F1F"/>
          <w:kern w:val="0"/>
          <w:sz w:val="27"/>
          <w:szCs w:val="27"/>
          <w14:ligatures w14:val="none"/>
        </w:rPr>
      </w:pPr>
      <w:r w:rsidRPr="006576F0">
        <w:rPr>
          <w:rFonts w:ascii="Arial" w:eastAsia="Times New Roman" w:hAnsi="Arial" w:cs="Arial"/>
          <w:b/>
          <w:bCs/>
          <w:color w:val="1F1F1F"/>
          <w:kern w:val="0"/>
          <w:sz w:val="27"/>
          <w:szCs w:val="27"/>
          <w14:ligatures w14:val="none"/>
        </w:rPr>
        <w:t>3. Banking and Global Operations</w:t>
      </w:r>
    </w:p>
    <w:p w14:paraId="71C7C532"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Anansi is building software meant to scale globally (tourism, rum, real estate). You will need enterprise-grade operational infrastructure: Stripe for SaaS billing, AWS for cloud hosting, and robust corporate treasury management.</w:t>
      </w:r>
    </w:p>
    <w:p w14:paraId="17E4F9F1"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Trying to open a Stripe account, a Mercury bank account, or a global corporate brokerage account using a Grenadian corporate entity is incredibly difficult. You will face constant geographic restrictions and "unsupported region" errors for standard Silicon Valley tech stack tools. A U.S. entity gets approved for these tools in ten minutes.</w:t>
      </w:r>
    </w:p>
    <w:p w14:paraId="46553FE2" w14:textId="77777777" w:rsidR="006576F0" w:rsidRPr="006576F0" w:rsidRDefault="006576F0" w:rsidP="006576F0">
      <w:pPr>
        <w:spacing w:after="120" w:line="240" w:lineRule="auto"/>
        <w:outlineLvl w:val="2"/>
        <w:rPr>
          <w:rFonts w:ascii="Arial" w:eastAsia="Times New Roman" w:hAnsi="Arial" w:cs="Arial"/>
          <w:b/>
          <w:bCs/>
          <w:color w:val="1F1F1F"/>
          <w:kern w:val="0"/>
          <w:sz w:val="27"/>
          <w:szCs w:val="27"/>
          <w14:ligatures w14:val="none"/>
        </w:rPr>
      </w:pPr>
      <w:r w:rsidRPr="006576F0">
        <w:rPr>
          <w:rFonts w:ascii="Arial" w:eastAsia="Times New Roman" w:hAnsi="Arial" w:cs="Arial"/>
          <w:b/>
          <w:bCs/>
          <w:color w:val="1F1F1F"/>
          <w:kern w:val="0"/>
          <w:sz w:val="27"/>
          <w:szCs w:val="27"/>
          <w14:ligatures w14:val="none"/>
        </w:rPr>
        <w:t>The Verdict: The "Hub and Spoke" Model is Still Best</w:t>
      </w:r>
    </w:p>
    <w:p w14:paraId="4F8096D2"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Because you are a U.S. citizen building a global technology company, keeping Anansi Technology Corporation in the U.S. (Florida or Delaware) as your "Hub" is the most strategic move. It protects your IP under U.S. law, makes fundraising frictionless, and gives you access to top-tier banking and developer tools.</w:t>
      </w:r>
    </w:p>
    <w:p w14:paraId="1326C857"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The Grenadian SPV acts as your local "Spoke."</w:t>
      </w:r>
    </w:p>
    <w:p w14:paraId="51E0611C" w14:textId="77777777" w:rsidR="006576F0" w:rsidRPr="006576F0" w:rsidRDefault="006576F0" w:rsidP="006576F0">
      <w:pPr>
        <w:numPr>
          <w:ilvl w:val="0"/>
          <w:numId w:val="9"/>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Anansi (U.S.):</w:t>
      </w:r>
      <w:r w:rsidRPr="006576F0">
        <w:rPr>
          <w:rFonts w:ascii="Arial" w:eastAsia="Times New Roman" w:hAnsi="Arial" w:cs="Arial"/>
          <w:color w:val="1F1F1F"/>
          <w:kern w:val="0"/>
          <w14:ligatures w14:val="none"/>
        </w:rPr>
        <w:t xml:space="preserve"> Owns the intellectual property, writes the code, employs the engineers, and raises the venture capital.</w:t>
      </w:r>
    </w:p>
    <w:p w14:paraId="27FA4F28" w14:textId="77777777" w:rsidR="006576F0" w:rsidRPr="006576F0" w:rsidRDefault="006576F0" w:rsidP="006576F0">
      <w:pPr>
        <w:numPr>
          <w:ilvl w:val="0"/>
          <w:numId w:val="9"/>
        </w:numPr>
        <w:spacing w:after="0" w:line="240" w:lineRule="auto"/>
        <w:rPr>
          <w:rFonts w:ascii="Arial" w:eastAsia="Times New Roman" w:hAnsi="Arial" w:cs="Arial"/>
          <w:color w:val="1F1F1F"/>
          <w:kern w:val="0"/>
          <w14:ligatures w14:val="none"/>
        </w:rPr>
      </w:pPr>
      <w:r w:rsidRPr="006576F0">
        <w:rPr>
          <w:rFonts w:ascii="Arial" w:eastAsia="Times New Roman" w:hAnsi="Arial" w:cs="Arial"/>
          <w:b/>
          <w:bCs/>
          <w:color w:val="1F1F1F"/>
          <w:kern w:val="0"/>
          <w:bdr w:val="none" w:sz="0" w:space="0" w:color="auto" w:frame="1"/>
          <w14:ligatures w14:val="none"/>
        </w:rPr>
        <w:t>Spice Distribution SPV (Grenada):</w:t>
      </w:r>
      <w:r w:rsidRPr="006576F0">
        <w:rPr>
          <w:rFonts w:ascii="Arial" w:eastAsia="Times New Roman" w:hAnsi="Arial" w:cs="Arial"/>
          <w:color w:val="1F1F1F"/>
          <w:kern w:val="0"/>
          <w14:ligatures w14:val="none"/>
        </w:rPr>
        <w:t xml:space="preserve"> Exists </w:t>
      </w:r>
      <w:r w:rsidRPr="006576F0">
        <w:rPr>
          <w:rFonts w:ascii="Arial" w:eastAsia="Times New Roman" w:hAnsi="Arial" w:cs="Arial"/>
          <w:i/>
          <w:iCs/>
          <w:color w:val="1F1F1F"/>
          <w:kern w:val="0"/>
          <w:bdr w:val="none" w:sz="0" w:space="0" w:color="auto" w:frame="1"/>
          <w14:ligatures w14:val="none"/>
        </w:rPr>
        <w:t>solely</w:t>
      </w:r>
      <w:r w:rsidRPr="006576F0">
        <w:rPr>
          <w:rFonts w:ascii="Arial" w:eastAsia="Times New Roman" w:hAnsi="Arial" w:cs="Arial"/>
          <w:color w:val="1F1F1F"/>
          <w:kern w:val="0"/>
          <w14:ligatures w14:val="none"/>
        </w:rPr>
        <w:t xml:space="preserve"> to hold the local bank account, interface with GCNA, and manage the fiat-to-crypto stablecoin gateway under the jurisdiction of the Eastern Caribbean Central Bank.</w:t>
      </w:r>
    </w:p>
    <w:p w14:paraId="48BB7F28"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To avoid the CFC/FATCA traps on the SPV side, the Grenadian SPV should ideally be legally owned and directed by your trusted local Grenadian partners (like the accountant discussed earlier), not by you personally or by Anansi. Anansi simply signs an ironclad, exclusive software licensing agreement with the SPV.</w:t>
      </w:r>
    </w:p>
    <w:p w14:paraId="5C0A0243" w14:textId="77777777" w:rsidR="006576F0" w:rsidRPr="006576F0" w:rsidRDefault="006576F0" w:rsidP="006576F0">
      <w:pPr>
        <w:spacing w:after="150" w:line="240" w:lineRule="auto"/>
        <w:rPr>
          <w:rFonts w:ascii="Arial" w:eastAsia="Times New Roman" w:hAnsi="Arial" w:cs="Arial"/>
          <w:color w:val="1F1F1F"/>
          <w:kern w:val="0"/>
          <w14:ligatures w14:val="none"/>
        </w:rPr>
      </w:pPr>
      <w:r w:rsidRPr="006576F0">
        <w:rPr>
          <w:rFonts w:ascii="Arial" w:eastAsia="Times New Roman" w:hAnsi="Arial" w:cs="Arial"/>
          <w:color w:val="1F1F1F"/>
          <w:kern w:val="0"/>
          <w14:ligatures w14:val="none"/>
        </w:rPr>
        <w:t>This gives you the absolute best of both worlds: global tech-startup agility in Miami, combined with localized, compliant, and frictionless fiat operations in Grenada.</w:t>
      </w:r>
    </w:p>
    <w:p w14:paraId="2A020243" w14:textId="77777777" w:rsidR="006576F0" w:rsidRPr="00566D14" w:rsidRDefault="006576F0" w:rsidP="00566D14">
      <w:pPr>
        <w:spacing w:after="100" w:afterAutospacing="1" w:line="240" w:lineRule="auto"/>
        <w:rPr>
          <w:rFonts w:ascii="Arial" w:eastAsia="Times New Roman" w:hAnsi="Arial" w:cs="Times New Roman"/>
          <w:kern w:val="0"/>
          <w14:ligatures w14:val="none"/>
        </w:rPr>
      </w:pPr>
    </w:p>
    <w:sectPr w:rsidR="006576F0" w:rsidRPr="0056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701F"/>
    <w:multiLevelType w:val="multilevel"/>
    <w:tmpl w:val="5526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92492"/>
    <w:multiLevelType w:val="multilevel"/>
    <w:tmpl w:val="3E3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44D11"/>
    <w:multiLevelType w:val="multilevel"/>
    <w:tmpl w:val="993E7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F41CC3"/>
    <w:multiLevelType w:val="multilevel"/>
    <w:tmpl w:val="1520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5B2709"/>
    <w:multiLevelType w:val="multilevel"/>
    <w:tmpl w:val="7FD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3C3507"/>
    <w:multiLevelType w:val="multilevel"/>
    <w:tmpl w:val="04881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7B6B73"/>
    <w:multiLevelType w:val="multilevel"/>
    <w:tmpl w:val="F41C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9D7835"/>
    <w:multiLevelType w:val="multilevel"/>
    <w:tmpl w:val="C0A4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A5829"/>
    <w:multiLevelType w:val="multilevel"/>
    <w:tmpl w:val="BF16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3483447">
    <w:abstractNumId w:val="8"/>
  </w:num>
  <w:num w:numId="2" w16cid:durableId="1553344854">
    <w:abstractNumId w:val="2"/>
  </w:num>
  <w:num w:numId="3" w16cid:durableId="579411136">
    <w:abstractNumId w:val="0"/>
  </w:num>
  <w:num w:numId="4" w16cid:durableId="644623744">
    <w:abstractNumId w:val="3"/>
  </w:num>
  <w:num w:numId="5" w16cid:durableId="627325376">
    <w:abstractNumId w:val="6"/>
  </w:num>
  <w:num w:numId="6" w16cid:durableId="1852331416">
    <w:abstractNumId w:val="5"/>
  </w:num>
  <w:num w:numId="7" w16cid:durableId="75565226">
    <w:abstractNumId w:val="7"/>
  </w:num>
  <w:num w:numId="8" w16cid:durableId="1117866590">
    <w:abstractNumId w:val="1"/>
  </w:num>
  <w:num w:numId="9" w16cid:durableId="1471900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D14"/>
    <w:rsid w:val="00566D14"/>
    <w:rsid w:val="006576F0"/>
    <w:rsid w:val="006F11B6"/>
    <w:rsid w:val="00845571"/>
    <w:rsid w:val="009B511D"/>
    <w:rsid w:val="00BA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3254F1"/>
  <w15:chartTrackingRefBased/>
  <w15:docId w15:val="{75E317A3-7AFA-E24D-948B-353FC6128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D14"/>
    <w:rPr>
      <w:rFonts w:eastAsiaTheme="majorEastAsia" w:cstheme="majorBidi"/>
      <w:color w:val="272727" w:themeColor="text1" w:themeTint="D8"/>
    </w:rPr>
  </w:style>
  <w:style w:type="paragraph" w:styleId="Title">
    <w:name w:val="Title"/>
    <w:basedOn w:val="Normal"/>
    <w:next w:val="Normal"/>
    <w:link w:val="TitleChar"/>
    <w:uiPriority w:val="10"/>
    <w:qFormat/>
    <w:rsid w:val="0056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D14"/>
    <w:pPr>
      <w:spacing w:before="160"/>
      <w:jc w:val="center"/>
    </w:pPr>
    <w:rPr>
      <w:i/>
      <w:iCs/>
      <w:color w:val="404040" w:themeColor="text1" w:themeTint="BF"/>
    </w:rPr>
  </w:style>
  <w:style w:type="character" w:customStyle="1" w:styleId="QuoteChar">
    <w:name w:val="Quote Char"/>
    <w:basedOn w:val="DefaultParagraphFont"/>
    <w:link w:val="Quote"/>
    <w:uiPriority w:val="29"/>
    <w:rsid w:val="00566D14"/>
    <w:rPr>
      <w:i/>
      <w:iCs/>
      <w:color w:val="404040" w:themeColor="text1" w:themeTint="BF"/>
    </w:rPr>
  </w:style>
  <w:style w:type="paragraph" w:styleId="ListParagraph">
    <w:name w:val="List Paragraph"/>
    <w:basedOn w:val="Normal"/>
    <w:uiPriority w:val="34"/>
    <w:qFormat/>
    <w:rsid w:val="00566D14"/>
    <w:pPr>
      <w:ind w:left="720"/>
      <w:contextualSpacing/>
    </w:pPr>
  </w:style>
  <w:style w:type="character" w:styleId="IntenseEmphasis">
    <w:name w:val="Intense Emphasis"/>
    <w:basedOn w:val="DefaultParagraphFont"/>
    <w:uiPriority w:val="21"/>
    <w:qFormat/>
    <w:rsid w:val="00566D14"/>
    <w:rPr>
      <w:i/>
      <w:iCs/>
      <w:color w:val="0F4761" w:themeColor="accent1" w:themeShade="BF"/>
    </w:rPr>
  </w:style>
  <w:style w:type="paragraph" w:styleId="IntenseQuote">
    <w:name w:val="Intense Quote"/>
    <w:basedOn w:val="Normal"/>
    <w:next w:val="Normal"/>
    <w:link w:val="IntenseQuoteChar"/>
    <w:uiPriority w:val="30"/>
    <w:qFormat/>
    <w:rsid w:val="0056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D14"/>
    <w:rPr>
      <w:i/>
      <w:iCs/>
      <w:color w:val="0F4761" w:themeColor="accent1" w:themeShade="BF"/>
    </w:rPr>
  </w:style>
  <w:style w:type="character" w:styleId="IntenseReference">
    <w:name w:val="Intense Reference"/>
    <w:basedOn w:val="DefaultParagraphFont"/>
    <w:uiPriority w:val="32"/>
    <w:qFormat/>
    <w:rsid w:val="00566D14"/>
    <w:rPr>
      <w:b/>
      <w:bCs/>
      <w:smallCaps/>
      <w:color w:val="0F4761" w:themeColor="accent1" w:themeShade="BF"/>
      <w:spacing w:val="5"/>
    </w:rPr>
  </w:style>
  <w:style w:type="paragraph" w:styleId="NormalWeb">
    <w:name w:val="Normal (Web)"/>
    <w:basedOn w:val="Normal"/>
    <w:uiPriority w:val="99"/>
    <w:semiHidden/>
    <w:unhideWhenUsed/>
    <w:rsid w:val="00566D1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158f467-f592-4f68-b205-41e7c092277d}" enabled="1" method="Standard" siteId="{66295b3b-c4fd-41af-a077-c0ec2a40e369}" contentBits="0" removed="0"/>
</clbl:labelList>
</file>

<file path=docProps/app.xml><?xml version="1.0" encoding="utf-8"?>
<Properties xmlns="http://schemas.openxmlformats.org/officeDocument/2006/extended-properties" xmlns:vt="http://schemas.openxmlformats.org/officeDocument/2006/docPropsVTypes">
  <Template>Normal.dotm</Template>
  <TotalTime>5</TotalTime>
  <Pages>8</Pages>
  <Words>2889</Words>
  <Characters>16472</Characters>
  <Application>Microsoft Office Word</Application>
  <DocSecurity>0</DocSecurity>
  <Lines>137</Lines>
  <Paragraphs>38</Paragraphs>
  <ScaleCrop>false</ScaleCrop>
  <Company/>
  <LinksUpToDate>false</LinksUpToDate>
  <CharactersWithSpaces>19323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Noel</dc:creator>
  <cp:keywords/>
  <dc:description/>
  <cp:lastModifiedBy>David Noel</cp:lastModifiedBy>
  <cp:revision>3</cp:revision>
  <dcterms:created xsi:type="dcterms:W3CDTF">2026-04-03T20:09:00Z</dcterms:created>
  <dcterms:modified xsi:type="dcterms:W3CDTF">2026-04-03T20:23:00Z</dcterms:modified>
</cp:coreProperties>
</file>