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Workbook: Configurazione Enterprise GETVPN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Questo documento guida alla configurazione passo-passo di una rete GETVPN. L'obiettivo è stabilire una comunicazione sicura tra tre siti remoti (GM-1, GM-2, GM-3) utilizzando un Key Server (KS) centrale per la gestione delle policy, mantenendo l'header IP originale durante il trasporto nel Core.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Architettura e Informazioni di Rete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IP Address (Riepilogo)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Area OSPF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1.1.1.1/32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GM-1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101.101.101.101/32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GM-2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102.102.102.102/32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GM-3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Loopback0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103.103.103.103/32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Fase 1: Routing e Raggiungibilità (Core)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 di configurare la sicurezza, dobbiamo garantire che le Loopback dei Group Member possano raggiungere la Loopback del Key Server. Utilizzeremo OSPF come protocollo di routing nel core.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1.1: Configurazione Core Router (Esempio Core-1)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Core non partecipa alla VPN, deve solo instradare i pacchetti.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router ospf 1</w:t>
        <w:br w:type="textWrapping"/>
        <w:t xml:space="preserve"> router-id 10.0.0.1</w:t>
        <w:br w:type="textWrapping"/>
        <w:t xml:space="preserve"> network 10.0.0.0 0.0.255.255 area 0</w:t>
        <w:br w:type="textWrapping"/>
        <w:t xml:space="preserve"> network 192.168.100.0 0.0.0.255 area 0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Fase 2: Configurazione del Key Server (KS)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KS è l'entità più critica. Gestisce l'autenticazione IKE e le chiavi IPsec.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2.1: Definizione IKE Phase 1 (ISAKMP)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È necessaria per proteggere la sessione di registrazione del GM.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crypto isakmp policy 10</w:t>
        <w:br w:type="textWrapping"/>
        <w:t xml:space="preserve"> encr aes</w:t>
        <w:br w:type="textWrapping"/>
        <w:t xml:space="preserve"> authentication pre-share</w:t>
        <w:br w:type="textWrapping"/>
        <w:t xml:space="preserve"> group 14</w:t>
        <w:br w:type="textWrapping"/>
        <w:t xml:space="preserve">crypto isakmp key cisco123 address 0.0.0.0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2.2: Configurazione IPsec (Transform Set)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Definiamo come i pacchetti dati verranno cifrati. Nota l'uso di mode transport per l'Header Preservation.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crypto ipsec transform-set TS_GETVPN esp-aes esp-sha-hmac</w:t>
        <w:br w:type="textWrapping"/>
        <w:t xml:space="preserve"> mode transport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2.3: Configurazione GDOI (Group Domain of Interpretation)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 definiamo il gruppo GETVPN e le chiavi (KEK e TEK).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crypto gdoi group GETVPN_GROUP</w:t>
        <w:br w:type="textWrapping"/>
        <w:t xml:space="preserve"> identity number 1234</w:t>
        <w:br w:type="textWrapping"/>
        <w:t xml:space="preserve"> server local</w:t>
        <w:br w:type="textWrapping"/>
        <w:t xml:space="preserve">  rekey authentication mypubkey rsa GETVPN_KEY</w:t>
        <w:br w:type="textWrapping"/>
        <w:t xml:space="preserve">  rekey transport unicast</w:t>
        <w:br w:type="textWrapping"/>
        <w:t xml:space="preserve">  sa ipsec 1</w:t>
        <w:br w:type="textWrapping"/>
        <w:t xml:space="preserve">   profile GETVPN_PROFILE</w:t>
        <w:br w:type="textWrapping"/>
        <w:t xml:space="preserve">   match address 101  ! ACL che definisce il traffico da cifrare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2.4: ACL di Cifratura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Definiamo quale traffico deve essere protetto (es. traffico tra le LAN delle filiali).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access-list 101 permit ip 172.16.0.0 0.0.255.255 172.16.0.0 0.0.255.255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Fase 3: Configurazione dei Group Member (GM-1, 2, 3)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GM si registrano al KS e scaricano le policy.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3.1: Configurazione GDOI Client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crypto gdoi group GETVPN_GROUP</w:t>
        <w:br w:type="textWrapping"/>
        <w:t xml:space="preserve"> identity number 1234</w:t>
        <w:br w:type="textWrapping"/>
        <w:t xml:space="preserve"> server address ipv4 1.1.1.1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3.2: Crypto Map GDOI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Applichiamo la policy all'interfaccia rivolta verso il Core (WAN).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crypto map GET_MAP 10 gdoi</w:t>
        <w:br w:type="textWrapping"/>
        <w:t xml:space="preserve"> set group GETVPN_GROUP</w:t>
        <w:br w:type="textWrapping"/>
        <w:br w:type="textWrapping"/>
        <w:t xml:space="preserve">interface GigabitEthernet0/0</w:t>
        <w:br w:type="textWrapping"/>
        <w:t xml:space="preserve"> crypto map GET_MAP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Verifica della Configurazione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confermare che il laboratorio funzioni correttamente, esegui i seguenti comandi: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Sul Key Server: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 crypto gdoi ks members (per vedere i GM registrati).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Sui Group Member: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 crypto gdoi gm (per verificare lo stato della registrazione).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di Traffico: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un ping tra le LAN dei GM (es. da GM-1 a GM-2) e verifica con show crypto ipsec sa che i contatori di "encaps/decaps" aumentino.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a8dd6cii9v0c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Network Diagram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-776287</wp:posOffset>
            </wp:positionH>
            <wp:positionV relativeFrom="paragraph">
              <wp:posOffset>190500</wp:posOffset>
            </wp:positionV>
            <wp:extent cx="7529513" cy="478182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513" cy="4781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