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WORKBOOK: Laboratorio LISP Control Plane &amp; VXLAN Data Plane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Sviluppato 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David Aulicino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Campus Fabric Multi-Vendor (Cisco &amp; Arista)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Elenco Nodi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 questo laboratorio utilizzeremo i seguenti apparati: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Nome Nodo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Ruolo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Risorse Minime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SPINE-MSMR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Cisco CSR1000v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LISP Map-Server / Map-Resolver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GB 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Arista vEOS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VTEP / LISP xTR (Accesso)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GB 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Arista vEOS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VTEP / LISP xTR (Accesso)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GB 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PC-A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VPCS / Alpine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End-host (Subnet 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 MB 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PC-B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VPCS / Alpine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End-host (Subnet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 MB RAM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Tabella di Cablaggio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collegamenti fisici (o virtuali) devono seguire questo schema: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 Nodo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 Nodo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SPINE-MSMR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 Underlay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SPINE-MSMR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 Underlay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PC-A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 Accesso Host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PC-B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 Accesso Host B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Piano di Indirizzamento IP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Underlay &amp; Loopbacks (RLOC)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L'Underlay serve solo a permettere alle Loopback di "parlarsi".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Indirizzo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SPINE-MSMR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1.1.1.1/32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LISP MS/MR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SPINE-MSMR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192.168.1.1/30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 verso EDGE-1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SPINE-MSMR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192.168.2.1/30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 verso EDGE-2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2.2.2.2/32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RLOC / VTEP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192.168.1.2/30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 verso SPINE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3.3.3.3/32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RLOC / VTEP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192.168.2.2/30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 verso SPINE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Overlay (EID - Endpoint Identifier)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client appartengono alla stessa rete logica (L2 Extension).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Indirizzo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Gateway (Anycast)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PC-A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10.1.1.10/24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PC-B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10.1.1.20/24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Configurazione Passo-Passo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1: Configurazione Underlay (OSPF)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Dobbiamo garantire che ogni nodo possa pingare la Loopback degli altri.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ourier New" w:cs="Courier New" w:eastAsia="Courier New" w:hAnsi="Courier New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SPINE-MSMR: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router ospf 1</w:t>
        <w:br w:type="textWrapping"/>
        <w:t xml:space="preserve"> network 1.1.1.1 0.0.0.0 area 0</w:t>
        <w:br w:type="textWrapping"/>
        <w:t xml:space="preserve"> network 192.168.1.0 0.0.0.3 area 0</w:t>
        <w:br w:type="textWrapping"/>
        <w:t xml:space="preserve"> network 192.168.2.0 0.0.0.3 area 0</w:t>
        <w:br w:type="textWrapping"/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EDGE-1 &amp; EDGE-2 (Esempio Arista):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router ospf 1</w:t>
        <w:br w:type="textWrapping"/>
        <w:t xml:space="preserve">   router-id 2.2.2.2 (3.3.3.3 su EDGE-2)</w:t>
        <w:br w:type="textWrapping"/>
        <w:t xml:space="preserve">   network 2.2.2.2/32 area 0</w:t>
        <w:br w:type="textWrapping"/>
        <w:t xml:space="preserve">   network 192.168.1.0/30 area 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2: Configurazione LISP Control Plane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Cisco agisce da database, gli Arista registrano i propri client.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SPINE-MSMR (Map-Server):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router lisp</w:t>
        <w:br w:type="textWrapping"/>
        <w:t xml:space="preserve"> site CAMPUS</w:t>
        <w:br w:type="textWrapping"/>
        <w:t xml:space="preserve">  authentication-key LAB123</w:t>
        <w:br w:type="textWrapping"/>
        <w:t xml:space="preserve">  eid-record 10.1.1.0/24 accept-more-specifics</w:t>
        <w:br w:type="textWrapping"/>
        <w:t xml:space="preserve"> exit</w:t>
        <w:br w:type="textWrapping"/>
        <w:t xml:space="preserve"> ipv4 map-server</w:t>
        <w:br w:type="textWrapping"/>
        <w:t xml:space="preserve"> ipv4 map-resolver</w:t>
        <w:br w:type="textWrapping"/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3: Configurazione VXLAN Data Plane (Arista)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 definiamo l'incapsulamento dei pacchetti.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EDGE-1: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interface vxlan1</w:t>
        <w:br w:type="textWrapping"/>
        <w:t xml:space="preserve">   vxlan source-interface loopback0</w:t>
        <w:br w:type="textWrapping"/>
        <w:t xml:space="preserve">   vxlan udp-port 4789</w:t>
        <w:br w:type="textWrapping"/>
        <w:t xml:space="preserve">   vxlan vlan 10 vni 10010</w:t>
        <w:br w:type="textWrapping"/>
        <w:t xml:space="preserve">   vxlan vlan 10 flood vtep 3.3.3.3  (Per il traffico BUM iniziale)</w:t>
        <w:br w:type="textWrapping"/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concetto chiave che stai esplorando è l'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incapsulamento ricorsivo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il pacchetto originale dell'host viene messo dentro un frame VXLAN, e le informazioni su dove mandare quel frame VXLAN vengono fornite dal protocollo LISP.</w:t>
      </w:r>
    </w:p>
    <w:p w:rsidR="00000000" w:rsidDel="00000000" w:rsidP="00000000" w:rsidRDefault="00000000" w:rsidRPr="00000000" w14:paraId="0000007F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272u56errxo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6uf1cyz99z2d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Network Diagram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152400</wp:posOffset>
            </wp:positionV>
            <wp:extent cx="5062538" cy="815360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81536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