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LABORATORIO: CONFIGURAZIONE PRIVATE VLAN (CISCO IOL L2/L3)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Versione:</w:t>
      </w:r>
      <w:r w:rsidDel="00000000" w:rsidR="00000000" w:rsidRPr="00000000">
        <w:rPr>
          <w:rFonts w:ascii="Google Sans" w:cs="Google Sans" w:eastAsia="Google Sans" w:hAnsi="Google Sans"/>
          <w:color w:val="1f1f1f"/>
          <w:rtl w:val="0"/>
        </w:rPr>
        <w:t xml:space="preserve"> Dettagliata (Step-by-Step con motivazioni)</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Tabella di Indirizzamento IP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Tutti i dispositivi si trovano all'interno della stessa sottorete logica L3 (10.0.0.0/24), ma il traffico L2 sarà governato dalle regole della Private VLAN.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Dispositivo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Interfaccia / Ruolo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Indirizzo 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Subnet Mask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Default Gateway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VLAN Logica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(L3)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SVI 100 (Gateway)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10.0.0.254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(Primary)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10.0.0.254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(Isolated)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10.0.0.254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(Isolated)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10.0.0.254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(Community)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10.0.0.254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(Community)</w:t>
            </w:r>
          </w:p>
        </w:tc>
      </w:tr>
    </w:tbl>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Tabella di Cablaggio (Fisico)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Questa tabella mostra come collegare le interfacce nel tuo emulatore (EVE-NG, GNS3 o CML) usando le immagini IOL.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Dispositivo Locale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Porta Locale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Dispositivo Remoto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Porta Remota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Ruolo della Porta (Switch L2)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(L2)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(L3)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Promiscuous 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(L2)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Port (Isolated)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(L2)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Port (Isolated)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(L2)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Port (Community)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(L2)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 Port (Community)</w:t>
            </w:r>
          </w:p>
        </w:tc>
      </w:tr>
    </w:tbl>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Guida Passo Passo alle Operazioni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1: Configurazione della modalità VTP (Switch Access L2)</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Operazione:</w:t>
      </w:r>
      <w:r w:rsidDel="00000000" w:rsidR="00000000" w:rsidRPr="00000000">
        <w:rPr>
          <w:rFonts w:ascii="Google Sans" w:cs="Google Sans" w:eastAsia="Google Sans" w:hAnsi="Google Sans"/>
          <w:color w:val="1f1f1f"/>
          <w:rtl w:val="0"/>
        </w:rPr>
        <w:t xml:space="preserve"> Impostare lo switch in modalità VTP Transparent.</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Perché:</w:t>
      </w:r>
      <w:r w:rsidDel="00000000" w:rsidR="00000000" w:rsidRPr="00000000">
        <w:rPr>
          <w:rFonts w:ascii="Google Sans" w:cs="Google Sans" w:eastAsia="Google Sans" w:hAnsi="Google Sans"/>
          <w:color w:val="1f1f1f"/>
          <w:rtl w:val="0"/>
        </w:rPr>
        <w:t xml:space="preserve"> Le Private VLAN non sono supportate nativamente dalle versioni VTP 1 e 2 in modalità Server o Client, in quanto le informazioni sulle PVLAN non vengono propagate nei normali update VTP (a meno di non usare VTPv3). Lo switch deve essere in modalità Transparent per permettere la creazione e il salvataggio della struttura PVLAN direttamente nel file running-config locale.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2: Creazione delle VLAN Secondarie (Switch Access L2)</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Operazione:</w:t>
      </w:r>
      <w:r w:rsidDel="00000000" w:rsidR="00000000" w:rsidRPr="00000000">
        <w:rPr>
          <w:rFonts w:ascii="Google Sans" w:cs="Google Sans" w:eastAsia="Google Sans" w:hAnsi="Google Sans"/>
          <w:color w:val="1f1f1f"/>
          <w:rtl w:val="0"/>
        </w:rPr>
        <w:t xml:space="preserve"> Creare la VLAN 101 configurandola come isolated e la VLAN 102 configurandola come community.</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Perché:</w:t>
      </w:r>
      <w:r w:rsidDel="00000000" w:rsidR="00000000" w:rsidRPr="00000000">
        <w:rPr>
          <w:rFonts w:ascii="Google Sans" w:cs="Google Sans" w:eastAsia="Google Sans" w:hAnsi="Google Sans"/>
          <w:color w:val="1f1f1f"/>
          <w:rtl w:val="0"/>
        </w:rPr>
        <w:t xml:space="preserve"> Dobbiamo definire le regole di forwarding all'interno della singola subnet L3.</w:t>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La VLAN </w:t>
      </w:r>
      <w:r w:rsidDel="00000000" w:rsidR="00000000" w:rsidRPr="00000000">
        <w:rPr>
          <w:rFonts w:ascii="Google Sans" w:cs="Google Sans" w:eastAsia="Google Sans" w:hAnsi="Google Sans"/>
          <w:b w:val="1"/>
          <w:bCs w:val="1"/>
          <w:color w:val="1f1f1f"/>
          <w:rtl w:val="0"/>
        </w:rPr>
        <w:t xml:space="preserve">isolated</w:t>
      </w:r>
      <w:r w:rsidDel="00000000" w:rsidR="00000000" w:rsidRPr="00000000">
        <w:rPr>
          <w:rFonts w:ascii="Google Sans" w:cs="Google Sans" w:eastAsia="Google Sans" w:hAnsi="Google Sans"/>
          <w:color w:val="1f1f1f"/>
          <w:rtl w:val="0"/>
        </w:rPr>
        <w:t xml:space="preserve"> impedisce a tutti gli host al suo interno di comunicare tra loro a livello L2 (isolamento totale tra porte della stessa VLAN).</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 VLAN </w:t>
      </w:r>
      <w:r w:rsidDel="00000000" w:rsidR="00000000" w:rsidRPr="00000000">
        <w:rPr>
          <w:rFonts w:ascii="Google Sans" w:cs="Google Sans" w:eastAsia="Google Sans" w:hAnsi="Google Sans"/>
          <w:b w:val="1"/>
          <w:bCs w:val="1"/>
          <w:color w:val="1f1f1f"/>
          <w:rtl w:val="0"/>
        </w:rPr>
        <w:t xml:space="preserve">community</w:t>
      </w:r>
      <w:r w:rsidDel="00000000" w:rsidR="00000000" w:rsidRPr="00000000">
        <w:rPr>
          <w:rFonts w:ascii="Google Sans" w:cs="Google Sans" w:eastAsia="Google Sans" w:hAnsi="Google Sans"/>
          <w:color w:val="1f1f1f"/>
          <w:rtl w:val="0"/>
        </w:rPr>
        <w:t xml:space="preserve"> permette agli host membri di comunicare tra loro, ma li isola dal resto degli host configurati in altre community o in vlan isolate.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3: Creazione della VLAN Primaria e Associazione (Switch Access L2)</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Operazione:</w:t>
      </w:r>
      <w:r w:rsidDel="00000000" w:rsidR="00000000" w:rsidRPr="00000000">
        <w:rPr>
          <w:rFonts w:ascii="Google Sans" w:cs="Google Sans" w:eastAsia="Google Sans" w:hAnsi="Google Sans"/>
          <w:color w:val="1f1f1f"/>
          <w:rtl w:val="0"/>
        </w:rPr>
        <w:t xml:space="preserve"> Creare la VLAN 100 configurandola come primary e associarle le VLAN secondarie 101 e 102.</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Perché:</w:t>
      </w:r>
      <w:r w:rsidDel="00000000" w:rsidR="00000000" w:rsidRPr="00000000">
        <w:rPr>
          <w:rFonts w:ascii="Google Sans" w:cs="Google Sans" w:eastAsia="Google Sans" w:hAnsi="Google Sans"/>
          <w:color w:val="1f1f1f"/>
          <w:rtl w:val="0"/>
        </w:rPr>
        <w:t xml:space="preserve"> La VLAN primaria è l'entità principale che "avvolge" le secondarie. Ha il compito di trasportare il traffico downstream (dal gateway promiscuo verso le porte host). L'associazione istruisce lo switch su quali relazioni logiche mantenere tra l'uplink e le porte di accesso.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4: Configurazione delle porte Host (Switch Access L2)</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Operazione:</w:t>
      </w:r>
      <w:r w:rsidDel="00000000" w:rsidR="00000000" w:rsidRPr="00000000">
        <w:rPr>
          <w:rFonts w:ascii="Google Sans" w:cs="Google Sans" w:eastAsia="Google Sans" w:hAnsi="Google Sans"/>
          <w:color w:val="1f1f1f"/>
          <w:rtl w:val="0"/>
        </w:rPr>
        <w:t xml:space="preserve"> Configurare le porte fisiche connesse ai PC (da e0/1 a e0/4) in modalità switchport mode private-vlan host e mappare la coppia corretta (Primaria 100, Secondaria 101 o 102 a seconda del PC).</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Perché:</w:t>
      </w:r>
      <w:r w:rsidDel="00000000" w:rsidR="00000000" w:rsidRPr="00000000">
        <w:rPr>
          <w:rFonts w:ascii="Google Sans" w:cs="Google Sans" w:eastAsia="Google Sans" w:hAnsi="Google Sans"/>
          <w:color w:val="1f1f1f"/>
          <w:rtl w:val="0"/>
        </w:rPr>
        <w:t xml:space="preserve"> Le normali porte di accesso (access mode) non processano la logica PVLAN. Impostandole come porte host PVLAN, lo switch sa che deve applicare le restrizioni L2 definite al Passo 2 per il traffico generato da quelle interfacce.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5: Configurazione della porta Promiscua (Switch Access L2)</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Operazione:</w:t>
      </w:r>
      <w:r w:rsidDel="00000000" w:rsidR="00000000" w:rsidRPr="00000000">
        <w:rPr>
          <w:rFonts w:ascii="Google Sans" w:cs="Google Sans" w:eastAsia="Google Sans" w:hAnsi="Google Sans"/>
          <w:color w:val="1f1f1f"/>
          <w:rtl w:val="0"/>
        </w:rPr>
        <w:t xml:space="preserve"> Configurare l'uplink (e0/0) verso il Core L3 in modalità switchport mode private-vlan promiscuous e mappare la VLAN primaria 100 alle secondarie 101 e 102.</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Perché:</w:t>
      </w:r>
      <w:r w:rsidDel="00000000" w:rsidR="00000000" w:rsidRPr="00000000">
        <w:rPr>
          <w:rFonts w:ascii="Google Sans" w:cs="Google Sans" w:eastAsia="Google Sans" w:hAnsi="Google Sans"/>
          <w:color w:val="1f1f1f"/>
          <w:rtl w:val="0"/>
        </w:rPr>
        <w:t xml:space="preserve"> La porta promiscua è l'unica interfaccia che può comunicare liberamente con tutte le porte all'interno del dominio PVLAN, bypassando le regole di isolamento. È indispensabile per collegare il default gateway, che deve poter ricevere e instradare i pacchetti per tutti gli host.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6: Configurazione del Gateway (Switch Core L3)</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Operazione:</w:t>
      </w:r>
      <w:r w:rsidDel="00000000" w:rsidR="00000000" w:rsidRPr="00000000">
        <w:rPr>
          <w:rFonts w:ascii="Google Sans" w:cs="Google Sans" w:eastAsia="Google Sans" w:hAnsi="Google Sans"/>
          <w:color w:val="1f1f1f"/>
          <w:rtl w:val="0"/>
        </w:rPr>
        <w:t xml:space="preserve"> Sull'IOL L3, configurare l'interfaccia o la SVI 100 con l'indirizzo IP 10.0.0.254/24 e abilitare il routing.</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Perché:</w:t>
      </w:r>
      <w:r w:rsidDel="00000000" w:rsidR="00000000" w:rsidRPr="00000000">
        <w:rPr>
          <w:rFonts w:ascii="Google Sans" w:cs="Google Sans" w:eastAsia="Google Sans" w:hAnsi="Google Sans"/>
          <w:color w:val="1f1f1f"/>
          <w:rtl w:val="0"/>
        </w:rPr>
        <w:t xml:space="preserve"> Il dispositivo L3 esterno (o la SVI di routing) è totalmente agnostico rispetto alla configurazione PVLAN. Vede solo un singolo segmento broadcast. Riceve il traffico aggregato dalla porta promiscua dello switch L2 e lo gestisce normalmente.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7: Verifica del Comportamento</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Operazione:</w:t>
      </w:r>
      <w:r w:rsidDel="00000000" w:rsidR="00000000" w:rsidRPr="00000000">
        <w:rPr>
          <w:rFonts w:ascii="Google Sans" w:cs="Google Sans" w:eastAsia="Google Sans" w:hAnsi="Google Sans"/>
          <w:color w:val="1f1f1f"/>
          <w:rtl w:val="0"/>
        </w:rPr>
        <w:t xml:space="preserve"> Eseguire i test di raggiungibilità (ping) tra i vari nodi.</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Perché:</w:t>
      </w:r>
      <w:r w:rsidDel="00000000" w:rsidR="00000000" w:rsidRPr="00000000">
        <w:rPr>
          <w:rFonts w:ascii="Google Sans" w:cs="Google Sans" w:eastAsia="Google Sans" w:hAnsi="Google Sans"/>
          <w:color w:val="1f1f1f"/>
          <w:rtl w:val="0"/>
        </w:rPr>
        <w:t xml:space="preserve"> Serve a validare che l'ASIC dello switch (o il software IOL) stia applicando correttamente le policy L2.</w:t>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Ping PC1 -&gt; PC2 (Entrambi Isolated): </w:t>
      </w:r>
      <w:r w:rsidDel="00000000" w:rsidR="00000000" w:rsidRPr="00000000">
        <w:rPr>
          <w:rFonts w:ascii="Google Sans" w:cs="Google Sans" w:eastAsia="Google Sans" w:hAnsi="Google Sans"/>
          <w:b w:val="1"/>
          <w:bCs w:val="1"/>
          <w:color w:val="1f1f1f"/>
          <w:rtl w:val="0"/>
        </w:rPr>
        <w:t xml:space="preserve">DEVE FALLIRE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Ping PC3 -&gt; PC4 (Entrambi Community): </w:t>
      </w:r>
      <w:r w:rsidDel="00000000" w:rsidR="00000000" w:rsidRPr="00000000">
        <w:rPr>
          <w:rFonts w:ascii="Google Sans" w:cs="Google Sans" w:eastAsia="Google Sans" w:hAnsi="Google Sans"/>
          <w:b w:val="1"/>
          <w:bCs w:val="1"/>
          <w:color w:val="1f1f1f"/>
          <w:rtl w:val="0"/>
        </w:rPr>
        <w:t xml:space="preserve">DEVE AVERE SUCCESSO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Ping PC1 -&gt; PC3 (Cross-VLAN): </w:t>
      </w:r>
      <w:r w:rsidDel="00000000" w:rsidR="00000000" w:rsidRPr="00000000">
        <w:rPr>
          <w:rFonts w:ascii="Google Sans" w:cs="Google Sans" w:eastAsia="Google Sans" w:hAnsi="Google Sans"/>
          <w:b w:val="1"/>
          <w:bCs w:val="1"/>
          <w:color w:val="1f1f1f"/>
          <w:rtl w:val="0"/>
        </w:rPr>
        <w:t xml:space="preserve">DEVE FALLIRE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Ping Tutti -&gt; Gateway 10.0.0.254: </w:t>
      </w:r>
      <w:r w:rsidDel="00000000" w:rsidR="00000000" w:rsidRPr="00000000">
        <w:rPr>
          <w:rFonts w:ascii="Google Sans" w:cs="Google Sans" w:eastAsia="Google Sans" w:hAnsi="Google Sans"/>
          <w:b w:val="1"/>
          <w:bCs w:val="1"/>
          <w:color w:val="1f1f1f"/>
          <w:rtl w:val="0"/>
        </w:rPr>
        <w:t xml:space="preserve">DEVE AVERE SUCCESSO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4"/>
        <w:spacing w:after="120" w:before="120" w:line="275.9999942779541" w:lineRule="auto"/>
        <w:rPr>
          <w:rFonts w:ascii="Google Sans" w:cs="Google Sans" w:eastAsia="Google Sans" w:hAnsi="Google Sans"/>
          <w:color w:val="1f1f1f"/>
        </w:rPr>
      </w:pPr>
      <w:bookmarkStart w:colFirst="0" w:colLast="0" w:name="_f6u0elsvdy2p" w:id="0"/>
      <w:bookmarkEnd w:id="0"/>
      <w:r w:rsidDel="00000000" w:rsidR="00000000" w:rsidRPr="00000000">
        <w:rPr>
          <w:rFonts w:ascii="Google Sans" w:cs="Google Sans" w:eastAsia="Google Sans" w:hAnsi="Google Sans"/>
          <w:color w:val="1f1f1f"/>
          <w:rtl w:val="0"/>
        </w:rPr>
        <w:t xml:space="preserve">Network Diagram</w:t>
      </w:r>
    </w:p>
    <w:p w:rsidR="00000000" w:rsidDel="00000000" w:rsidP="00000000" w:rsidRDefault="00000000" w:rsidRPr="00000000" w14:paraId="00000068">
      <w:pPr>
        <w:rPr/>
      </w:pPr>
      <w:r w:rsidDel="00000000" w:rsidR="00000000" w:rsidRPr="00000000">
        <w:rPr/>
        <w:drawing>
          <wp:inline distB="114300" distT="114300" distL="114300" distR="114300">
            <wp:extent cx="5943600" cy="416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656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