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Workbook: Advanced Routing Manipulation &amp; Redistribution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Scenario e Topologia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questo laboratorio simuleremo una rete Enterprise che sta subendo una fusione. Abbiamo due domini di routing principali: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Dominio OSPF (Area 0):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 rete "Core" esistente.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Dominio EIGRP (AS 100):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 rete della nuova filiale acquisita.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Dominio BGP (AS 65001):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Una connessione verso un partner esterno (ISP/Cloud).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punto critico è che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fungono entrambi da punti di ridistribuzione tra OSPF ed EIGRP per garantire ridondanza. Senza le opportune manipolazioni (Route-Maps, Tags, AD), questo creerà routing sub-ottimale o loop.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Cabling (IOL Interfaces)</w:t>
      </w:r>
    </w:p>
    <w:tbl>
      <w:tblPr>
        <w:tblStyle w:val="Table1"/>
        <w:tblW w:w="104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1875"/>
        <w:gridCol w:w="1335"/>
        <w:gridCol w:w="1350"/>
        <w:gridCol w:w="3975"/>
        <w:tblGridChange w:id="0">
          <w:tblGrid>
            <w:gridCol w:w="1875"/>
            <w:gridCol w:w="1875"/>
            <w:gridCol w:w="1335"/>
            <w:gridCol w:w="1350"/>
            <w:gridCol w:w="3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Device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Device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Subnet (Descrizione)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10.1.13.0/24 (Segmento OSPF)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10.1.23.0/24 (Segmento OSPF)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10.1.14.0/24 (Segmento EIGRP)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10.1.24.0/24 (Segmento EIGRP)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203.0.113.0/30 (Link eBGP verso ISP)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10.1.12.0/24 (Link Inter-AS / Backdoor)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(Nota: R3 agisce come router interno OSPF puro, R4 come router interno EIGRP puro, R5 come ISP esterno).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Indirizzamento IP (Addressing Table)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Tutti i dispositivi hanno una Loopback0 per ID e test di raggiungibilità.</w:t>
      </w:r>
    </w:p>
    <w:tbl>
      <w:tblPr>
        <w:tblStyle w:val="Table2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1485"/>
        <w:gridCol w:w="1695"/>
        <w:gridCol w:w="1995"/>
        <w:gridCol w:w="2325"/>
        <w:tblGridChange w:id="0">
          <w:tblGrid>
            <w:gridCol w:w="1875"/>
            <w:gridCol w:w="1485"/>
            <w:gridCol w:w="1695"/>
            <w:gridCol w:w="1995"/>
            <w:gridCol w:w="2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Protocollo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OSPF/EIGRP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 Area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EIGRP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203.0.113.1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BGP (AS 65000)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OSPF/EIGRP (TBD)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2.2.2.2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OSPF/EIGRP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10.1.23.2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 Area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10.1.24.2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EIGRP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OSPF/EIGRP (TBD)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3.3.3.3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 Area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10.1.23.3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OSPF Area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4.4.4.4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EIGRP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10.1.14.4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EIGRP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10.1.24.4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EIGRP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5.5.5.5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BGP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203.0.113.2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BGP (AS 65001)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Lab Tasks (Obiettivi)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Task 1: Configurazione Base e IGP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Configura gli indirizzi IP e le interfacce di loopback su tutti i router.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Configura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OSPF Area 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 R1, R2, R3 (sulle interfacce specificate in tabella). R3 deve vedere R1 e R2 come neighbor.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Configura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EIGRP AS 100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 R1, R2, R4. R4 deve vedere R1 e R2 come neighbor.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Verifica: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Assicurati che R1 e R2 abbiano sia route OSPF (da R3) che EIGRP (da R4) nelle loro tabelle.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Task 2: Configurazione BGP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Configura una sessione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eBGP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 R1 (AS 65000) e R5 (AS 65001).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 R5, crea una Loopback 100 con IP 172.16.0.1/24 e annunciala in BGP.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Assicurati che R1 riceva la rotta 172.16.0.0/24.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Task 3: Redistribuzione "Naive" (Creating the Loop)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Ridistribuisci OSPF in EIGRP e EIGRP in OSPF (Mutual Redistribution).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Ridistribuisci OSPF in EIGRP e EIGRP in OSPF.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Ridistribuisci le rotte BGP dentro OSPF su R1.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Analisi: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Vai su R4 (EIGRP). Come raggiunge la rete 172.16.0.0/24? Controlla la distanza amministrativa. Probabilmente vedrai instabilità o percorsi non ottimali (R4 potrebbe provare a passare da R2 per andare su R1, o viceversa, a causa della AD dell'EIGRP esterno vs OSPF).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Task 4: Fix con Route-Map e Tagging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L'obiettivo è prevenire che una rotta ridistribuita da OSPF a EIGRP su R1 rientri in OSPF tramite R2 (e viceversa).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Implementa una strategia di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Route-Tagging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Quando ridistribuisci da OSPF -&gt; EIGRP su R1, setta un tag (es. 110).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Quando ridistribuisci da EIGRP -&gt; OSPF su R2, nega le rotte con tag 110.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Applica la logica speculare sull'altro router.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Verifica: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Esegui traceroute da R3 verso R4 e viceversa. Il percorso deve essere simmetrico e stabile.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Task 5: Manipolazione del Percorso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Forza il traffico in uscita da R4 verso la rete esterna (R5) a passare preferibilmente tramite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invece che R1 (anche se R1 ha il link diretto, simuliamo che il link R1-R4 sia saturo).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Usa l'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Offset-list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 modifica il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Delay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sulle interfacce EIGRP per influenzare la scelta.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Network Diagram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-1785937</wp:posOffset>
            </wp:positionH>
            <wp:positionV relativeFrom="paragraph">
              <wp:posOffset>438150</wp:posOffset>
            </wp:positionV>
            <wp:extent cx="9518249" cy="54340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8249" cy="5434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pjnm0wkwih4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i5b2nwyzpuk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pao11m6pbtkm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Consigli per lo schema su PNETLAB: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0"/>
          <w:szCs w:val="20"/>
          <w:rtl w:val="0"/>
        </w:rPr>
        <w:t xml:space="preserve">R5 (ISP)</w:t>
      </w:r>
      <w:r w:rsidDel="00000000" w:rsidR="00000000" w:rsidRPr="00000000">
        <w:rPr>
          <w:rFonts w:ascii="Google Sans Text" w:cs="Google Sans Text" w:eastAsia="Google Sans Text" w:hAnsi="Google Sans Text"/>
          <w:sz w:val="20"/>
          <w:szCs w:val="20"/>
          <w:rtl w:val="0"/>
        </w:rPr>
        <w:t xml:space="preserve"> in alto a sinistra.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0"/>
          <w:szCs w:val="20"/>
          <w:rtl w:val="0"/>
        </w:rPr>
        <w:t xml:space="preserve">R1 e R2</w:t>
      </w:r>
      <w:r w:rsidDel="00000000" w:rsidR="00000000" w:rsidRPr="00000000">
        <w:rPr>
          <w:rFonts w:ascii="Google Sans Text" w:cs="Google Sans Text" w:eastAsia="Google Sans Text" w:hAnsi="Google Sans Text"/>
          <w:sz w:val="20"/>
          <w:szCs w:val="20"/>
          <w:rtl w:val="0"/>
        </w:rPr>
        <w:t xml:space="preserve"> al centro (il "Core" di ridistribuzione).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0"/>
          <w:szCs w:val="20"/>
          <w:rtl w:val="0"/>
        </w:rPr>
        <w:t xml:space="preserve">R3</w:t>
      </w:r>
      <w:r w:rsidDel="00000000" w:rsidR="00000000" w:rsidRPr="00000000">
        <w:rPr>
          <w:rFonts w:ascii="Google Sans Text" w:cs="Google Sans Text" w:eastAsia="Google Sans Text" w:hAnsi="Google Sans Text"/>
          <w:sz w:val="20"/>
          <w:szCs w:val="20"/>
          <w:rtl w:val="0"/>
        </w:rPr>
        <w:t xml:space="preserve"> a sinistra (lato OSPF).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0"/>
          <w:szCs w:val="20"/>
          <w:rtl w:val="0"/>
        </w:rPr>
        <w:t xml:space="preserve">R4</w:t>
      </w:r>
      <w:r w:rsidDel="00000000" w:rsidR="00000000" w:rsidRPr="00000000">
        <w:rPr>
          <w:rFonts w:ascii="Google Sans Text" w:cs="Google Sans Text" w:eastAsia="Google Sans Text" w:hAnsi="Google Sans Text"/>
          <w:sz w:val="20"/>
          <w:szCs w:val="20"/>
          <w:rtl w:val="0"/>
        </w:rPr>
        <w:t xml:space="preserve"> a destra (lato EIGRP).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sz w:val="20"/>
          <w:szCs w:val="20"/>
          <w:rtl w:val="0"/>
        </w:rPr>
        <w:t xml:space="preserve">Usa le icone standard Cisco (il cerchio blu per i router) e disegna dei rettangoli colorati di sfondo per evidenziare le aree: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sz w:val="18"/>
          <w:szCs w:val="18"/>
          <w:rtl w:val="0"/>
        </w:rPr>
        <w:t xml:space="preserve">Giallo:</w:t>
      </w:r>
      <w:r w:rsidDel="00000000" w:rsidR="00000000" w:rsidRPr="00000000">
        <w:rPr>
          <w:rFonts w:ascii="Google Sans Text" w:cs="Google Sans Text" w:eastAsia="Google Sans Text" w:hAnsi="Google Sans Text"/>
          <w:sz w:val="18"/>
          <w:szCs w:val="18"/>
          <w:rtl w:val="0"/>
        </w:rPr>
        <w:t xml:space="preserve"> Area OSPF.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sz w:val="18"/>
          <w:szCs w:val="18"/>
          <w:rtl w:val="0"/>
        </w:rPr>
        <w:t xml:space="preserve">Verde:</w:t>
      </w:r>
      <w:r w:rsidDel="00000000" w:rsidR="00000000" w:rsidRPr="00000000">
        <w:rPr>
          <w:rFonts w:ascii="Google Sans Text" w:cs="Google Sans Text" w:eastAsia="Google Sans Text" w:hAnsi="Google Sans Text"/>
          <w:sz w:val="18"/>
          <w:szCs w:val="18"/>
          <w:rtl w:val="0"/>
        </w:rPr>
        <w:t xml:space="preserve"> Area EIGRP.</w:t>
      </w:r>
    </w:p>
    <w:p w:rsidR="00000000" w:rsidDel="00000000" w:rsidP="00000000" w:rsidRDefault="00000000" w:rsidRPr="00000000" w14:paraId="000000D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  <w:rPr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sz w:val="18"/>
          <w:szCs w:val="18"/>
          <w:rtl w:val="0"/>
        </w:rPr>
        <w:t xml:space="preserve">Rosso:</w:t>
      </w:r>
      <w:r w:rsidDel="00000000" w:rsidR="00000000" w:rsidRPr="00000000">
        <w:rPr>
          <w:rFonts w:ascii="Google Sans Text" w:cs="Google Sans Text" w:eastAsia="Google Sans Text" w:hAnsi="Google Sans Text"/>
          <w:sz w:val="18"/>
          <w:szCs w:val="18"/>
          <w:rtl w:val="0"/>
        </w:rPr>
        <w:t xml:space="preserve"> Area BGP.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