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3888"/>
        <w:gridCol w:w="3312"/>
      </w:tblGrid>
      <w:tr>
        <w:trPr>
          <w:cantSplit/>
        </w:trPr>
        <w:tc>
          <w:tcPr>
            <w:tcW w:w="3888" w:type="dxa"/>
          </w:tcPr>
          <w:p>
            <w:pPr>
              <w:spacing w:before="0" w:after="0" w:line="322" w:lineRule="exact"/>
              <w:ind w:left="0" w:firstLine="0"/>
              <w:jc w:val="left"/>
            </w:pPr>
            <w:r>
              <w:t xml:space="preserve">STATE</w:t>
            </w:r>
            <w:r>
              <w:t xml:space="preserve"> </w:t>
            </w:r>
            <w:r>
              <w:t xml:space="preserve">OF</w:t>
            </w:r>
            <w:r>
              <w:t xml:space="preserve"> </w:t>
            </w:r>
            <w:r>
              <w:t xml:space="preserve">WASHINGTON,</w:t>
            </w:r>
          </w:p>
          <w:p>
            <w:pPr>
              <w:spacing w:before="0" w:after="0" w:line="322" w:lineRule="exact"/>
              <w:ind w:left="720" w:firstLine="0"/>
              <w:jc w:val="left"/>
            </w:pPr>
            <w:r>
              <w:rPr>
                <w:i/>
                <w:iCs/>
              </w:rPr>
              <w:t xml:space="preserve">Petitioner,</w:t>
            </w:r>
          </w:p>
          <w:p>
            <w:pPr>
              <w:spacing w:before="84" w:after="84" w:line="322" w:lineRule="exact"/>
              <w:ind w:left="0" w:firstLine="0"/>
              <w:jc w:val="center"/>
            </w:pPr>
            <w:r>
              <w:t xml:space="preserve">vs.</w:t>
            </w:r>
          </w:p>
          <w:p>
            <w:pPr>
              <w:spacing w:before="0" w:after="0" w:line="322" w:lineRule="exact"/>
              <w:ind w:left="0" w:firstLine="0"/>
              <w:jc w:val="left"/>
            </w:pPr>
            <w:r>
              <w:t xml:space="preserve">SHAWN</w:t>
            </w:r>
            <w:r>
              <w:t xml:space="preserve"> </w:t>
            </w:r>
            <w:r>
              <w:t xml:space="preserve">LAMAR</w:t>
            </w:r>
            <w:r>
              <w:t xml:space="preserve"> </w:t>
            </w:r>
            <w:r>
              <w:t xml:space="preserve">BELL,</w:t>
            </w:r>
          </w:p>
          <w:p>
            <w:pPr>
              <w:spacing w:before="0" w:after="0" w:line="322" w:lineRule="exact"/>
              <w:ind w:left="720" w:firstLine="0"/>
              <w:jc w:val="left"/>
            </w:pPr>
            <w:r>
              <w:rPr>
                <w:i/>
                <w:iCs/>
              </w:rPr>
              <w:t xml:space="preserve">Respondent.</w:t>
            </w:r>
          </w:p>
        </w:tc>
        <w:tc>
          <w:tcPr>
            <w:tcW w:w="3312" w:type="dxa"/>
            <w:tcMar>
              <w:left w:w="576" w:type="dxa"/>
            </w:tcMar>
            <w:vAlign w:val="center"/>
          </w:tcPr>
          <w:p>
            <w:pPr>
              <w:spacing w:before="0" w:after="0" w:line="322" w:lineRule="exact"/>
              <w:ind w:left="0" w:firstLine="0"/>
              <w:jc w:val="left"/>
            </w:pPr>
            <w:r>
              <w:t xml:space="preserve">No.</w:t>
            </w:r>
            <w:r>
              <w:t xml:space="preserve"> </w:t>
            </w:r>
            <w:r>
              <w:t xml:space="preserve">103077</w:t>
              <w:noBreakHyphen/>
              <w:t xml:space="preserve">1</w:t>
            </w:r>
          </w:p>
          <w:p>
            <w:pPr>
              <w:spacing w:before="322" w:after="0" w:line="322" w:lineRule="exact"/>
              <w:ind w:left="0" w:firstLine="0"/>
              <w:jc w:val="left"/>
            </w:pPr>
            <w:r>
              <w:t xml:space="preserve">PETITION</w:t>
            </w:r>
            <w:r>
              <w:t xml:space="preserve"> </w:t>
            </w:r>
            <w:r>
              <w:t xml:space="preserve">FOR</w:t>
            </w:r>
            <w:r>
              <w:t xml:space="preserve"> </w:t>
            </w:r>
            <w:r>
              <w:t xml:space="preserve">REVIEW</w:t>
            </w:r>
          </w:p>
        </w:tc>
      </w:tr>
    </w:tbl>
    <w:p>
      <w:pPr>
        <w:spacing w:before="576" w:after="0" w:line="322" w:lineRule="exact"/>
        <w:ind w:left="0" w:firstLine="0"/>
        <w:jc w:val="left"/>
      </w:pPr>
      <w:r>
        <w:t xml:space="preserve">Court</w:t>
      </w:r>
      <w:r>
        <w:t xml:space="preserve"> </w:t>
      </w:r>
      <w:r>
        <w:t xml:space="preserve">of</w:t>
      </w:r>
      <w:r>
        <w:t xml:space="preserve"> </w:t>
      </w:r>
      <w:r>
        <w:t xml:space="preserve">Appeals</w:t>
      </w:r>
      <w:r>
        <w:t xml:space="preserve"> </w:t>
      </w:r>
      <w:r>
        <w:t xml:space="preserve">No.</w:t>
      </w:r>
      <w:r>
        <w:t xml:space="preserve"> </w:t>
      </w:r>
      <w:r>
        <w:t xml:space="preserve">85684</w:t>
        <w:noBreakHyphen/>
        <w:t xml:space="preserve">7-I.</w:t>
      </w:r>
      <w:r>
        <w:t xml:space="preserve"> </w:t>
      </w:r>
      <w:r>
        <w:t xml:space="preserve">Appeal</w:t>
      </w:r>
      <w:r>
        <w:t xml:space="preserve"> </w:t>
      </w:r>
      <w:r>
        <w:t xml:space="preserve">from</w:t>
      </w:r>
      <w:r>
        <w:t xml:space="preserve"> </w:t>
      </w:r>
      <w:r>
        <w:t xml:space="preserve">Pierce</w:t>
      </w:r>
      <w:r>
        <w:t xml:space="preserve"> </w:t>
      </w:r>
      <w:r>
        <w:t xml:space="preserve">County</w:t>
      </w:r>
      <w:r>
        <w:t xml:space="preserve"> </w:t>
      </w:r>
      <w:r>
        <w:t xml:space="preserve">Superior</w:t>
      </w:r>
      <w:r>
        <w:t xml:space="preserve"> </w:t>
      </w:r>
      <w:r>
        <w:t xml:space="preserve">Court</w:t>
      </w:r>
      <w:r>
        <w:t xml:space="preserve"> </w:t>
      </w:r>
      <w:r>
        <w:t xml:space="preserve">No.</w:t>
      </w:r>
      <w:r>
        <w:t xml:space="preserve"> </w:t>
      </w:r>
      <w:r>
        <w:t xml:space="preserve">19</w:t>
        <w:noBreakHyphen/>
        <w:t xml:space="preserve">1</w:t>
        <w:noBreakHyphen/>
        <w:t xml:space="preserve">00973</w:t>
        <w:noBreakHyphen/>
        <w:t xml:space="preserve">1,</w:t>
      </w:r>
      <w:r>
        <w:t xml:space="preserve"> </w:t>
      </w:r>
      <w:r>
        <w:t xml:space="preserve">Honorable</w:t>
      </w:r>
      <w:r>
        <w:t xml:space="preserve"> </w:t>
      </w:r>
      <w:r>
        <w:t xml:space="preserve">Stanley</w:t>
      </w:r>
      <w:r>
        <w:t xml:space="preserve"> </w:t>
      </w:r>
      <w:r>
        <w:t xml:space="preserve">J.</w:t>
      </w:r>
      <w:r>
        <w:t xml:space="preserve"> </w:t>
      </w:r>
      <w:r>
        <w:t xml:space="preserve">Rumbaugh.</w:t>
      </w:r>
    </w:p>
    <w:p>
      <w:pPr>
        <w:spacing w:before="0" w:after="0" w:line="3293" w:lineRule="exact"/>
      </w:pPr>
    </w:p>
    <w:p>
      <w:pPr>
        <w:spacing w:before="0" w:after="0" w:line="322" w:lineRule="exact"/>
        <w:ind w:left="0" w:firstLine="0"/>
        <w:jc w:val="left"/>
      </w:pPr>
      <w:r>
        <w:rPr>
          <w:b/>
          <w:bCs/>
        </w:rPr>
        <w:t xml:space="preserve">MARY</w:t>
      </w:r>
      <w:r>
        <w:rPr>
          <w:b/>
          <w:bCs/>
        </w:rPr>
        <w:t xml:space="preserve"> </w:t>
      </w:r>
      <w:r>
        <w:rPr>
          <w:b/>
          <w:bCs/>
        </w:rPr>
        <w:t xml:space="preserve">E.</w:t>
      </w:r>
      <w:r>
        <w:rPr>
          <w:b/>
          <w:bCs/>
        </w:rPr>
        <w:t xml:space="preserve"> </w:t>
      </w:r>
      <w:r>
        <w:rPr>
          <w:b/>
          <w:bCs/>
        </w:rPr>
        <w:t xml:space="preserve">ROBNETT</w:t>
      </w:r>
    </w:p>
    <w:p>
      <w:pPr>
        <w:spacing w:before="0" w:after="0" w:line="322" w:lineRule="exact"/>
        <w:ind w:left="0" w:firstLine="0"/>
        <w:jc w:val="left"/>
      </w:pPr>
      <w:r>
        <w:rPr>
          <w:b/>
          <w:bCs/>
        </w:rPr>
        <w:t xml:space="preserve">Pierce</w:t>
      </w:r>
      <w:r>
        <w:rPr>
          <w:b/>
          <w:bCs/>
        </w:rPr>
        <w:t xml:space="preserve"> </w:t>
      </w:r>
      <w:r>
        <w:rPr>
          <w:b/>
          <w:bCs/>
        </w:rPr>
        <w:t xml:space="preserve">County</w:t>
      </w:r>
      <w:r>
        <w:rPr>
          <w:b/>
          <w:bCs/>
        </w:rPr>
        <w:t xml:space="preserve"> </w:t>
      </w:r>
      <w:r>
        <w:rPr>
          <w:b/>
          <w:bCs/>
        </w:rPr>
        <w:t xml:space="preserve">Prosecuting</w:t>
      </w:r>
      <w:r>
        <w:rPr>
          <w:b/>
          <w:bCs/>
        </w:rPr>
        <w:t xml:space="preserve"> </w:t>
      </w:r>
      <w:r>
        <w:rPr>
          <w:b/>
          <w:bCs/>
        </w:rPr>
        <w:t xml:space="preserve">Attorney</w:t>
      </w:r>
    </w:p>
    <w:p>
      <w:pPr>
        <w:spacing w:before="0" w:after="0" w:line="322"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p>
    <w:p>
      <w:pPr>
        <w:spacing w:before="168" w:after="0" w:line="322" w:lineRule="exact"/>
        <w:ind w:left="0" w:firstLine="0"/>
        <w:jc w:val="left"/>
      </w:pPr>
      <w:r>
        <w:rPr>
          <w:b/>
          <w:bCs/>
        </w:rPr>
        <w:t xml:space="preserve">BRITTA</w:t>
      </w:r>
      <w:r>
        <w:rPr>
          <w:b/>
          <w:bCs/>
        </w:rPr>
        <w:t xml:space="preserve"> </w:t>
      </w:r>
      <w:r>
        <w:rPr>
          <w:b/>
          <w:bCs/>
        </w:rPr>
        <w:t xml:space="preserve">ANN</w:t>
      </w:r>
      <w:r>
        <w:rPr>
          <w:b/>
          <w:bCs/>
        </w:rPr>
        <w:t xml:space="preserve"> </w:t>
      </w:r>
      <w:r>
        <w:rPr>
          <w:b/>
          <w:bCs/>
        </w:rPr>
        <w:t xml:space="preserve">HALVERSON</w:t>
      </w:r>
    </w:p>
    <w:p>
      <w:pPr>
        <w:spacing w:before="0" w:after="0" w:line="322" w:lineRule="exact"/>
        <w:ind w:left="0" w:firstLine="0"/>
        <w:jc w:val="left"/>
      </w:pPr>
      <w:r>
        <w:rPr>
          <w:b/>
          <w:bCs/>
        </w:rPr>
        <w:t xml:space="preserve">Deputy</w:t>
      </w:r>
      <w:r>
        <w:rPr>
          <w:b/>
          <w:bCs/>
        </w:rPr>
        <w:t xml:space="preserve"> </w:t>
      </w:r>
      <w:r>
        <w:rPr>
          <w:b/>
          <w:bCs/>
        </w:rPr>
        <w:t xml:space="preserve">Prosecuting</w:t>
      </w:r>
      <w:r>
        <w:rPr>
          <w:b/>
          <w:bCs/>
        </w:rPr>
        <w:t xml:space="preserve"> </w:t>
      </w:r>
      <w:r>
        <w:rPr>
          <w:b/>
          <w:bCs/>
        </w:rPr>
        <w:t xml:space="preserve">Attorney</w:t>
      </w:r>
    </w:p>
    <w:p>
      <w:pPr>
        <w:spacing w:before="0" w:after="0" w:line="322" w:lineRule="exact"/>
        <w:ind w:left="0" w:firstLine="0"/>
        <w:jc w:val="left"/>
      </w:pPr>
      <w:r>
        <w:rPr>
          <w:b/>
          <w:bCs/>
        </w:rPr>
        <w:t xml:space="preserve">WSB</w:t>
      </w:r>
      <w:r>
        <w:rPr>
          <w:b/>
          <w:bCs/>
        </w:rPr>
        <w:t xml:space="preserve"> </w:t>
      </w:r>
      <w:r>
        <w:rPr>
          <w:b/>
          <w:bCs/>
        </w:rPr>
        <w:t xml:space="preserve">#</w:t>
      </w:r>
      <w:r>
        <w:rPr>
          <w:b/>
          <w:bCs/>
        </w:rPr>
        <w:t xml:space="preserve"> </w:t>
      </w:r>
      <w:r>
        <w:rPr>
          <w:b/>
          <w:bCs/>
        </w:rPr>
        <w:t xml:space="preserve">44108</w:t>
      </w:r>
      <w:r>
        <w:rPr>
          <w:b/>
          <w:bCs/>
        </w:rPr>
        <w:t xml:space="preserve"> </w:t>
      </w:r>
      <w:r>
        <w:rPr>
          <w:b/>
          <w:bCs/>
        </w:rPr>
        <w:t xml:space="preserve">/</w:t>
      </w:r>
      <w:r>
        <w:rPr>
          <w:b/>
          <w:bCs/>
        </w:rPr>
        <w:t xml:space="preserve"> </w:t>
      </w:r>
      <w:r>
        <w:rPr>
          <w:b/>
          <w:bCs/>
        </w:rPr>
        <w:t xml:space="preserve">OID</w:t>
      </w:r>
      <w:r>
        <w:rPr>
          <w:b/>
          <w:bCs/>
        </w:rPr>
        <w:t xml:space="preserve"> </w:t>
      </w:r>
      <w:r>
        <w:rPr>
          <w:b/>
          <w:bCs/>
        </w:rPr>
        <w:t xml:space="preserve">#91121</w:t>
      </w:r>
    </w:p>
    <w:p>
      <w:pPr>
        <w:spacing w:before="0" w:after="0" w:line="322" w:lineRule="exact"/>
        <w:ind w:left="0" w:firstLine="0"/>
        <w:jc w:val="left"/>
      </w:pPr>
      <w:r>
        <w:t xml:space="preserve">930</w:t>
      </w:r>
      <w:r>
        <w:t xml:space="preserve"> </w:t>
      </w:r>
      <w:r>
        <w:t xml:space="preserve">Tacoma</w:t>
      </w:r>
      <w:r>
        <w:t xml:space="preserve"> </w:t>
      </w:r>
      <w:r>
        <w:t xml:space="preserve">Ave.</w:t>
      </w:r>
      <w:r>
        <w:t xml:space="preserve"> </w:t>
      </w:r>
      <w:r>
        <w:t xml:space="preserve">S,</w:t>
      </w:r>
      <w:r>
        <w:t xml:space="preserve"> </w:t>
      </w:r>
      <w:r>
        <w:t xml:space="preserve">Rm</w:t>
      </w:r>
      <w:r>
        <w:t xml:space="preserve"> </w:t>
      </w:r>
      <w:r>
        <w:t xml:space="preserve">946</w:t>
      </w:r>
    </w:p>
    <w:p>
      <w:pPr>
        <w:spacing w:before="0" w:after="0" w:line="322" w:lineRule="exact"/>
        <w:ind w:left="0" w:firstLine="0"/>
        <w:jc w:val="left"/>
      </w:pPr>
      <w:r>
        <w:t xml:space="preserve">Tacoma,</w:t>
      </w:r>
      <w:r>
        <w:t xml:space="preserve"> </w:t>
      </w:r>
      <w:r>
        <w:t xml:space="preserve">WA</w:t>
      </w:r>
      <w:r>
        <w:t xml:space="preserve"> </w:t>
      </w:r>
      <w:r>
        <w:t xml:space="preserve">98402</w:t>
      </w:r>
    </w:p>
    <w:p>
      <w:pPr>
        <w:spacing w:before="0" w:after="0" w:line="322" w:lineRule="exact"/>
        <w:ind w:left="0" w:firstLine="0"/>
        <w:jc w:val="left"/>
      </w:pPr>
      <w:r>
        <w:t xml:space="preserve">(253)</w:t>
      </w:r>
      <w:r>
        <w:t xml:space="preserve"> </w:t>
      </w:r>
      <w:r>
        <w:t xml:space="preserve">798</w:t>
        <w:noBreakHyphen/>
        <w:t xml:space="preserve">2912</w:t>
      </w:r>
    </w:p>
    <w:p>
      <w:pPr>
        <w:spacing w:before="0" w:after="0" w:line="322" w:lineRule="exact"/>
        <w:ind w:left="0" w:firstLine="0"/>
        <w:jc w:val="left"/>
      </w:pPr>
      <w:r>
        <w:t xml:space="preserve">Britta.halverson@piercecountywa.gov</w:t>
      </w:r>
    </w:p>
    <w:p>
      <w:pPr>
        <w:spacing w:before="0" w:after="0" w:line="1" w:lineRule="exact"/>
        <w:sectPr>
          <w:footerReference w:type="default" r:id="rIdXdNone"/>
          <w:pgSz w:w="12240" w:h="15840"/>
          <w:pgMar w:top="2160" w:right="2160" w:bottom="2304" w:left="2880" w:header="720" w:footer="1291"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w:t>
      </w:r>
      <w:r>
        <w:t xml:space="preserve"> </w:t>
      </w:r>
      <w:r>
        <w:t xml:space="preserve">INTRODUCTION</w:t>
      </w:r>
      <w:r>
        <w:t xml:space="preserve">   </w:t>
      </w:r>
      <w:r>
        <w:tab/>
      </w:r>
      <w:r>
        <w:t xml:space="preserve">1</w:t>
      </w:r>
    </w:p>
    <w:p>
      <w:pPr>
        <w:keepLines/>
        <w:tabs>
          <w:tab w:val="right" w:leader="dot" w:pos="7200"/>
        </w:tabs>
        <w:spacing w:before="252" w:after="0" w:line="322" w:lineRule="exact"/>
        <w:ind w:left="420" w:right="720" w:hanging="420"/>
      </w:pPr>
      <w:r>
        <w:t xml:space="preserve">II.</w:t>
      </w:r>
      <w:r>
        <w:t xml:space="preserve"> </w:t>
      </w:r>
      <w:r>
        <w:t xml:space="preserve">IDENTITY</w:t>
      </w:r>
      <w:r>
        <w:t xml:space="preserve"> </w:t>
      </w:r>
      <w:r>
        <w:t xml:space="preserve">OF</w:t>
      </w:r>
      <w:r>
        <w:t xml:space="preserve"> </w:t>
      </w:r>
      <w:r>
        <w:t xml:space="preserve">PETITIONER</w:t>
      </w:r>
      <w:r>
        <w:t xml:space="preserve">   </w:t>
      </w:r>
      <w:r>
        <w:tab/>
      </w:r>
      <w:r>
        <w:t xml:space="preserve">3</w:t>
      </w:r>
    </w:p>
    <w:p>
      <w:pPr>
        <w:keepLines/>
        <w:tabs>
          <w:tab w:val="right" w:leader="dot" w:pos="7200"/>
        </w:tabs>
        <w:spacing w:before="252" w:after="0" w:line="322" w:lineRule="exact"/>
        <w:ind w:left="420" w:right="720" w:hanging="420"/>
      </w:pPr>
      <w:r>
        <w:t xml:space="preserve">III.</w:t>
      </w:r>
      <w:r>
        <w:t xml:space="preserve"> </w:t>
      </w:r>
      <w:r>
        <w:t xml:space="preserve">COURT</w:t>
      </w:r>
      <w:r>
        <w:t xml:space="preserve"> </w:t>
      </w:r>
      <w:r>
        <w:t xml:space="preserve">OF</w:t>
      </w:r>
      <w:r>
        <w:t xml:space="preserve"> </w:t>
      </w:r>
      <w:r>
        <w:t xml:space="preserve">APPEALS</w:t>
      </w:r>
      <w:r>
        <w:t xml:space="preserve"> </w:t>
      </w:r>
      <w:r>
        <w:t xml:space="preserve">DECISION</w:t>
      </w:r>
      <w:r>
        <w:t xml:space="preserve">   </w:t>
      </w:r>
      <w:r>
        <w:tab/>
      </w:r>
      <w:r>
        <w:t xml:space="preserve">4</w:t>
      </w:r>
    </w:p>
    <w:p>
      <w:pPr>
        <w:keepLines/>
        <w:tabs>
          <w:tab w:val="right" w:leader="dot" w:pos="7200"/>
        </w:tabs>
        <w:spacing w:before="252" w:after="0" w:line="322" w:lineRule="exact"/>
        <w:ind w:left="420" w:right="720" w:hanging="420"/>
      </w:pPr>
      <w:r>
        <w:t xml:space="preserve">IV.</w:t>
      </w:r>
      <w:r>
        <w:t xml:space="preserve"> </w:t>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4</w:t>
      </w:r>
    </w:p>
    <w:p>
      <w:pPr>
        <w:keepLines/>
        <w:tabs>
          <w:tab w:val="right" w:leader="dot" w:pos="7200"/>
        </w:tabs>
        <w:spacing w:before="252" w:after="0" w:line="322" w:lineRule="exact"/>
        <w:ind w:left="420" w:right="720" w:hanging="420"/>
      </w:pPr>
      <w:r>
        <w:t xml:space="preserve">V.</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7200"/>
        </w:tabs>
        <w:spacing w:before="252" w:after="0" w:line="322" w:lineRule="exact"/>
        <w:ind w:left="840" w:right="720" w:hanging="420"/>
      </w:pPr>
      <w:r>
        <w:t xml:space="preserve">A.</w:t>
      </w:r>
      <w:r>
        <w:t xml:space="preserve"> </w:t>
      </w:r>
      <w:r>
        <w:t xml:space="preserve">Bell</w:t>
      </w:r>
      <w:r>
        <w:t xml:space="preserve"> </w:t>
      </w:r>
      <w:r>
        <w:t xml:space="preserve">Violently</w:t>
      </w:r>
      <w:r>
        <w:t xml:space="preserve"> </w:t>
      </w:r>
      <w:r>
        <w:t xml:space="preserve">Attacked</w:t>
      </w:r>
      <w:r>
        <w:t xml:space="preserve"> </w:t>
      </w:r>
      <w:r>
        <w:t xml:space="preserve">Store</w:t>
      </w:r>
      <w:r>
        <w:t xml:space="preserve"> </w:t>
      </w:r>
      <w:r>
        <w:t xml:space="preserve">Employees</w:t>
      </w:r>
      <w:r>
        <w:t xml:space="preserve"> </w:t>
      </w:r>
      <w:r>
        <w:t xml:space="preserve">Late</w:t>
      </w:r>
      <w:r>
        <w:t xml:space="preserve"> </w:t>
      </w:r>
      <w:r>
        <w:t xml:space="preserve">at</w:t>
      </w:r>
      <w:r>
        <w:t xml:space="preserve"> </w:t>
      </w:r>
      <w:r>
        <w:t xml:space="preserve">Night</w:t>
      </w:r>
      <w:r>
        <w:t xml:space="preserve"> </w:t>
      </w:r>
      <w:r>
        <w:t xml:space="preserve">While</w:t>
      </w:r>
      <w:r>
        <w:t xml:space="preserve"> </w:t>
      </w:r>
      <w:r>
        <w:t xml:space="preserve">Wearing</w:t>
      </w:r>
      <w:r>
        <w:t xml:space="preserve"> </w:t>
      </w:r>
      <w:r>
        <w:t xml:space="preserve">a</w:t>
      </w:r>
      <w:r>
        <w:t xml:space="preserve"> </w:t>
      </w:r>
      <w:r>
        <w:t xml:space="preserve">Halloween</w:t>
      </w:r>
      <w:r>
        <w:t xml:space="preserve"> </w:t>
      </w:r>
      <w:r>
        <w:t xml:space="preserve">Mask.</w:t>
      </w:r>
      <w:r>
        <w:t xml:space="preserve">   </w:t>
      </w:r>
      <w:r>
        <w:tab/>
      </w:r>
      <w:r>
        <w:t xml:space="preserve">5</w:t>
      </w:r>
    </w:p>
    <w:p>
      <w:pPr>
        <w:keepLines/>
        <w:tabs>
          <w:tab w:val="right" w:leader="dot" w:pos="7200"/>
        </w:tabs>
        <w:spacing w:before="252" w:after="0" w:line="322" w:lineRule="exact"/>
        <w:ind w:left="840" w:right="720" w:hanging="420"/>
      </w:pPr>
      <w:r>
        <w:t xml:space="preserve">B.</w:t>
      </w:r>
      <w:r>
        <w:t xml:space="preserve"> </w:t>
      </w:r>
      <w:r>
        <w:t xml:space="preserve">The</w:t>
      </w:r>
      <w:r>
        <w:t xml:space="preserve"> </w:t>
      </w:r>
      <w:r>
        <w:t xml:space="preserve">State</w:t>
      </w:r>
      <w:r>
        <w:t xml:space="preserve"> </w:t>
      </w:r>
      <w:r>
        <w:t xml:space="preserve">Exercised</w:t>
      </w:r>
      <w:r>
        <w:t xml:space="preserve"> </w:t>
      </w:r>
      <w:r>
        <w:t xml:space="preserve">a</w:t>
      </w:r>
      <w:r>
        <w:t xml:space="preserve"> </w:t>
      </w:r>
      <w:r>
        <w:t xml:space="preserve">Peremptory</w:t>
      </w:r>
      <w:r>
        <w:t xml:space="preserve"> </w:t>
      </w:r>
      <w:r>
        <w:t xml:space="preserve">Challenge</w:t>
      </w:r>
      <w:r>
        <w:t xml:space="preserve"> </w:t>
      </w:r>
      <w:r>
        <w:t xml:space="preserve">Against</w:t>
      </w:r>
      <w:r>
        <w:t xml:space="preserve"> </w:t>
      </w:r>
      <w:r>
        <w:t xml:space="preserve">a</w:t>
      </w:r>
      <w:r>
        <w:t xml:space="preserve"> </w:t>
      </w:r>
      <w:r>
        <w:t xml:space="preserve">Juror</w:t>
      </w:r>
      <w:r>
        <w:t xml:space="preserve"> </w:t>
      </w:r>
      <w:r>
        <w:t xml:space="preserve">Who</w:t>
      </w:r>
      <w:r>
        <w:t xml:space="preserve"> </w:t>
      </w:r>
      <w:r>
        <w:t xml:space="preserve">Admitted</w:t>
      </w:r>
      <w:r>
        <w:t xml:space="preserve"> </w:t>
      </w:r>
      <w:r>
        <w:t xml:space="preserve">He</w:t>
      </w:r>
      <w:r>
        <w:t xml:space="preserve"> </w:t>
      </w:r>
      <w:r>
        <w:t xml:space="preserve">Was</w:t>
      </w:r>
      <w:r>
        <w:t xml:space="preserve"> </w:t>
      </w:r>
      <w:r>
        <w:t xml:space="preserve">Not</w:t>
      </w:r>
      <w:r>
        <w:t xml:space="preserve"> </w:t>
      </w:r>
      <w:r>
        <w:t xml:space="preserve">Paying</w:t>
      </w:r>
      <w:r>
        <w:t xml:space="preserve"> </w:t>
      </w:r>
      <w:r>
        <w:t xml:space="preserve">Attention</w:t>
      </w:r>
      <w:r>
        <w:t xml:space="preserve"> </w:t>
      </w:r>
      <w:r>
        <w:t xml:space="preserve">During</w:t>
      </w:r>
      <w:r>
        <w:t xml:space="preserve"> </w:t>
      </w:r>
      <w:r>
        <w:t xml:space="preserve">Voir</w:t>
      </w:r>
      <w:r>
        <w:t xml:space="preserve"> </w:t>
      </w:r>
      <w:r>
        <w:t xml:space="preserve">Dire.</w:t>
      </w:r>
      <w:r>
        <w:t xml:space="preserve">   </w:t>
      </w:r>
      <w:r>
        <w:tab/>
      </w:r>
      <w:r>
        <w:t xml:space="preserve">6</w:t>
      </w:r>
    </w:p>
    <w:p>
      <w:pPr>
        <w:keepLines/>
        <w:tabs>
          <w:tab w:val="right" w:leader="dot" w:pos="7200"/>
        </w:tabs>
        <w:spacing w:before="252" w:after="0" w:line="322" w:lineRule="exact"/>
        <w:ind w:left="840" w:right="720" w:hanging="420"/>
      </w:pPr>
      <w:r>
        <w:t xml:space="preserve">C.</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Reversed</w:t>
      </w:r>
      <w:r>
        <w:t xml:space="preserve"> </w:t>
      </w:r>
      <w:r>
        <w:t xml:space="preserve">Bell’s</w:t>
      </w:r>
      <w:r>
        <w:t xml:space="preserve"> </w:t>
      </w:r>
      <w:r>
        <w:t xml:space="preserve">Convictions</w:t>
      </w:r>
      <w:r>
        <w:t xml:space="preserve"> </w:t>
      </w:r>
      <w:r>
        <w:t xml:space="preserve">Due</w:t>
      </w:r>
      <w:r>
        <w:t xml:space="preserve"> </w:t>
      </w:r>
      <w:r>
        <w:t xml:space="preserve">to</w:t>
      </w:r>
      <w:r>
        <w:t xml:space="preserve"> </w:t>
      </w:r>
      <w:r>
        <w:t xml:space="preserve">the</w:t>
      </w:r>
      <w:r>
        <w:t xml:space="preserve"> </w:t>
      </w:r>
      <w:r>
        <w:t xml:space="preserve">State’s</w:t>
      </w:r>
      <w:r>
        <w:t xml:space="preserve"> </w:t>
      </w:r>
      <w:r>
        <w:t xml:space="preserve">Failure</w:t>
      </w:r>
      <w:r>
        <w:t xml:space="preserve"> </w:t>
      </w:r>
      <w:r>
        <w:t xml:space="preserve">to</w:t>
      </w:r>
      <w:r>
        <w:t xml:space="preserve"> </w:t>
      </w:r>
      <w:r>
        <w:t xml:space="preserve">Give</w:t>
      </w:r>
      <w:r>
        <w:t xml:space="preserve"> </w:t>
      </w:r>
      <w:r>
        <w:t xml:space="preserve">Notice</w:t>
      </w:r>
      <w:r>
        <w:t xml:space="preserve"> </w:t>
      </w:r>
      <w:r>
        <w:t xml:space="preserve">Under</w:t>
      </w:r>
      <w:r>
        <w:t xml:space="preserve"> </w:t>
      </w:r>
      <w:r>
        <w:t xml:space="preserve">GR</w:t>
      </w:r>
      <w:r>
        <w:t xml:space="preserve"> </w:t>
      </w:r>
      <w:r>
        <w:t xml:space="preserve">37(i).</w:t>
      </w:r>
      <w:r>
        <w:t xml:space="preserve">   </w:t>
      </w:r>
      <w:r>
        <w:tab/>
      </w:r>
      <w:r>
        <w:t xml:space="preserve">10</w:t>
      </w:r>
    </w:p>
    <w:p>
      <w:pPr>
        <w:keepLines/>
        <w:tabs>
          <w:tab w:val="right" w:leader="dot" w:pos="7200"/>
        </w:tabs>
        <w:spacing w:before="252" w:after="0" w:line="322" w:lineRule="exact"/>
        <w:ind w:left="420" w:right="720" w:hanging="420"/>
      </w:pPr>
      <w:r>
        <w:t xml:space="preserve">VI.</w:t>
      </w:r>
      <w:r>
        <w:t xml:space="preserve"> </w:t>
      </w:r>
      <w:r>
        <w:t xml:space="preserve">REASONS</w:t>
      </w:r>
      <w:r>
        <w:t xml:space="preserve"> </w:t>
      </w:r>
      <w:r>
        <w:t xml:space="preserve">REVIEW</w:t>
      </w:r>
      <w:r>
        <w:t xml:space="preserve"> </w:t>
      </w:r>
      <w:r>
        <w:t xml:space="preserve">SHOULD</w:t>
      </w:r>
      <w:r>
        <w:t xml:space="preserve"> </w:t>
      </w:r>
      <w:r>
        <w:t xml:space="preserve">BE</w:t>
      </w:r>
      <w:r>
        <w:t xml:space="preserve"> </w:t>
      </w:r>
      <w:r>
        <w:t xml:space="preserve">GRANTED</w:t>
      </w:r>
      <w:r>
        <w:t xml:space="preserve">   </w:t>
      </w:r>
      <w:r>
        <w:tab/>
      </w:r>
      <w:r>
        <w:t xml:space="preserve">12</w:t>
      </w:r>
    </w:p>
    <w:p>
      <w:pPr>
        <w:keepLines/>
        <w:tabs>
          <w:tab w:val="right" w:leader="dot" w:pos="7200"/>
        </w:tabs>
        <w:spacing w:before="252" w:after="0" w:line="322" w:lineRule="exact"/>
        <w:ind w:left="840" w:right="720" w:hanging="420"/>
      </w:pPr>
      <w:r>
        <w:t xml:space="preserve">A.</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Decision</w:t>
      </w:r>
      <w:r>
        <w:t xml:space="preserve"> </w:t>
      </w:r>
      <w:r>
        <w:t xml:space="preserve">Conflicts</w:t>
      </w:r>
      <w:r>
        <w:t xml:space="preserve"> </w:t>
      </w:r>
      <w:r>
        <w:t xml:space="preserve">With</w:t>
      </w:r>
      <w:r>
        <w:t xml:space="preserve"> </w:t>
      </w:r>
      <w:r>
        <w:t xml:space="preserve">This</w:t>
      </w:r>
      <w:r>
        <w:t xml:space="preserve"> </w:t>
      </w:r>
      <w:r>
        <w:t xml:space="preserve">Court’s</w:t>
      </w:r>
      <w:r>
        <w:t xml:space="preserve"> </w:t>
      </w:r>
      <w:r>
        <w:t xml:space="preserve">Precedent</w:t>
      </w:r>
      <w:r>
        <w:t xml:space="preserve"> </w:t>
      </w:r>
      <w:r>
        <w:t xml:space="preserve">Regarding</w:t>
      </w:r>
      <w:r>
        <w:t xml:space="preserve"> </w:t>
      </w:r>
      <w:r>
        <w:t xml:space="preserve">Harmless</w:t>
      </w:r>
      <w:r>
        <w:t xml:space="preserve"> </w:t>
      </w:r>
      <w:r>
        <w:t xml:space="preserve">Error</w:t>
      </w:r>
      <w:r>
        <w:t xml:space="preserve"> </w:t>
      </w:r>
      <w:r>
        <w:t xml:space="preserve">Review.</w:t>
      </w:r>
      <w:r>
        <w:t xml:space="preserve">   </w:t>
      </w:r>
      <w:r>
        <w:tab/>
      </w:r>
      <w:r>
        <w:t xml:space="preserve">12</w:t>
      </w:r>
    </w:p>
    <w:p>
      <w:pPr>
        <w:keepLines/>
        <w:tabs>
          <w:tab w:val="right" w:leader="dot" w:pos="7200"/>
        </w:tabs>
        <w:spacing w:before="252" w:after="0" w:line="322" w:lineRule="exact"/>
        <w:ind w:left="840" w:right="720" w:hanging="420"/>
      </w:pPr>
      <w:r>
        <w:t xml:space="preserve">B.</w:t>
      </w:r>
      <w:r>
        <w:t xml:space="preserve"> </w:t>
      </w:r>
      <w:r>
        <w:t xml:space="preserve">This</w:t>
      </w:r>
      <w:r>
        <w:t xml:space="preserve"> </w:t>
      </w:r>
      <w:r>
        <w:t xml:space="preserve">Court</w:t>
      </w:r>
      <w:r>
        <w:t xml:space="preserve"> </w:t>
      </w:r>
      <w:r>
        <w:t xml:space="preserve">Should</w:t>
      </w:r>
      <w:r>
        <w:t xml:space="preserve"> </w:t>
      </w:r>
      <w:r>
        <w:t xml:space="preserve">Clarify</w:t>
      </w:r>
      <w:r>
        <w:t xml:space="preserve"> </w:t>
      </w:r>
      <w:r>
        <w:t xml:space="preserve">Whether</w:t>
      </w:r>
      <w:r>
        <w:t xml:space="preserve"> </w:t>
      </w:r>
      <w:r>
        <w:t xml:space="preserve">Automatic</w:t>
      </w:r>
      <w:r>
        <w:t xml:space="preserve"> </w:t>
      </w:r>
      <w:r>
        <w:t xml:space="preserve">Reversal</w:t>
      </w:r>
      <w:r>
        <w:t xml:space="preserve"> </w:t>
      </w:r>
      <w:r>
        <w:t xml:space="preserve">is</w:t>
      </w:r>
      <w:r>
        <w:t xml:space="preserve"> </w:t>
      </w:r>
      <w:r>
        <w:t xml:space="preserve">Required</w:t>
      </w:r>
      <w:r>
        <w:t xml:space="preserve"> </w:t>
      </w:r>
      <w:r>
        <w:t xml:space="preserve">When</w:t>
      </w:r>
      <w:r>
        <w:t xml:space="preserve"> </w:t>
      </w:r>
      <w:r>
        <w:t xml:space="preserve">an</w:t>
      </w:r>
      <w:r>
        <w:t xml:space="preserve"> </w:t>
      </w:r>
      <w:r>
        <w:t xml:space="preserve">Alleged</w:t>
      </w:r>
      <w:r>
        <w:t xml:space="preserve"> </w:t>
      </w:r>
      <w:r>
        <w:t xml:space="preserve">Error</w:t>
      </w:r>
      <w:r>
        <w:t xml:space="preserve"> </w:t>
      </w:r>
      <w:r>
        <w:t xml:space="preserve">Implicates</w:t>
      </w:r>
      <w:r>
        <w:t xml:space="preserve"> </w:t>
      </w:r>
      <w:r>
        <w:t xml:space="preserve">GR</w:t>
      </w:r>
      <w:r>
        <w:t xml:space="preserve"> </w:t>
      </w:r>
      <w:r>
        <w:t xml:space="preserve">37</w:t>
      </w:r>
      <w:r>
        <w:t xml:space="preserve"> </w:t>
      </w:r>
      <w:r>
        <w:t xml:space="preserve">but</w:t>
      </w:r>
      <w:r>
        <w:t xml:space="preserve"> </w:t>
      </w:r>
      <w:r>
        <w:t xml:space="preserve">an</w:t>
      </w:r>
      <w:r>
        <w:t xml:space="preserve"> </w:t>
      </w:r>
      <w:r>
        <w:t xml:space="preserve">Objective</w:t>
      </w:r>
      <w:r>
        <w:t xml:space="preserve"> </w:t>
      </w:r>
      <w:r>
        <w:t xml:space="preserve">Observer</w:t>
      </w:r>
      <w:r>
        <w:t xml:space="preserve"> </w:t>
      </w:r>
      <w:r>
        <w:t xml:space="preserve">Could</w:t>
      </w:r>
      <w:r>
        <w:t xml:space="preserve"> </w:t>
      </w:r>
      <w:r>
        <w:t xml:space="preserve">Not</w:t>
      </w:r>
      <w:r>
        <w:t xml:space="preserve"> </w:t>
      </w:r>
      <w:r>
        <w:t xml:space="preserve">View</w:t>
      </w:r>
      <w:r>
        <w:t xml:space="preserve"> </w:t>
      </w:r>
      <w:r>
        <w:t xml:space="preserve">Race</w:t>
      </w:r>
      <w:r>
        <w:t xml:space="preserve"> </w:t>
      </w:r>
      <w:r>
        <w:t xml:space="preserve">as</w:t>
      </w:r>
      <w:r>
        <w:t xml:space="preserve"> </w:t>
      </w:r>
      <w:r>
        <w:t xml:space="preserve">a</w:t>
      </w:r>
      <w:r>
        <w:t xml:space="preserve"> </w:t>
      </w:r>
      <w:r>
        <w:t xml:space="preserve">Factor</w:t>
      </w:r>
      <w:r>
        <w:t xml:space="preserve"> </w:t>
      </w:r>
      <w:r>
        <w:t xml:space="preserve">in</w:t>
      </w:r>
      <w:r>
        <w:t xml:space="preserve"> </w:t>
      </w:r>
      <w:r>
        <w:t xml:space="preserve">the</w:t>
      </w:r>
      <w:r>
        <w:t xml:space="preserve"> </w:t>
      </w:r>
      <w:r>
        <w:t xml:space="preserve">Exercise</w:t>
      </w:r>
      <w:r>
        <w:t xml:space="preserve"> </w:t>
      </w:r>
      <w:r>
        <w:t xml:space="preserve">of</w:t>
      </w:r>
      <w:r>
        <w:t xml:space="preserve"> </w:t>
      </w:r>
      <w:r>
        <w:t xml:space="preserve">a</w:t>
      </w:r>
      <w:r>
        <w:t xml:space="preserve"> </w:t>
      </w:r>
      <w:r>
        <w:t xml:space="preserve">Peremptory</w:t>
      </w:r>
      <w:r>
        <w:t xml:space="preserve"> </w:t>
      </w:r>
      <w:r>
        <w:t xml:space="preserve">Challenge.</w:t>
      </w:r>
      <w:r>
        <w:t xml:space="preserve">   </w:t>
      </w:r>
      <w:r>
        <w:tab/>
      </w:r>
      <w:r>
        <w:t xml:space="preserve">16</w:t>
      </w:r>
    </w:p>
    <w:p>
      <w:pPr>
        <w:keepLines/>
        <w:tabs>
          <w:tab w:val="right" w:leader="dot" w:pos="7200"/>
        </w:tabs>
        <w:spacing w:before="252" w:after="0" w:line="322" w:lineRule="exact"/>
        <w:ind w:left="840" w:right="720" w:hanging="420"/>
      </w:pPr>
      <w:r>
        <w:t xml:space="preserve">C.</w:t>
      </w:r>
      <w:r>
        <w:t xml:space="preserve"> </w:t>
      </w:r>
      <w:r>
        <w:t xml:space="preserve">Lower</w:t>
      </w:r>
      <w:r>
        <w:t xml:space="preserve"> </w:t>
      </w:r>
      <w:r>
        <w:t xml:space="preserve">Courts</w:t>
      </w:r>
      <w:r>
        <w:t xml:space="preserve"> </w:t>
      </w:r>
      <w:r>
        <w:t xml:space="preserve">Need</w:t>
      </w:r>
      <w:r>
        <w:t xml:space="preserve"> </w:t>
      </w:r>
      <w:r>
        <w:t xml:space="preserve">Guidance</w:t>
      </w:r>
      <w:r>
        <w:t xml:space="preserve"> </w:t>
      </w:r>
      <w:r>
        <w:t xml:space="preserve">Regarding</w:t>
      </w:r>
      <w:r>
        <w:t xml:space="preserve"> </w:t>
      </w:r>
      <w:r>
        <w:t xml:space="preserve">the</w:t>
      </w:r>
      <w:r>
        <w:t xml:space="preserve"> </w:t>
      </w:r>
      <w:r>
        <w:t xml:space="preserve">Proper</w:t>
      </w:r>
      <w:r>
        <w:t xml:space="preserve"> </w:t>
      </w:r>
      <w:r>
        <w:t xml:space="preserve">Appellate</w:t>
      </w:r>
      <w:r>
        <w:t xml:space="preserve"> </w:t>
      </w:r>
      <w:r>
        <w:t xml:space="preserve">Standard</w:t>
      </w:r>
      <w:r>
        <w:t xml:space="preserve"> </w:t>
      </w:r>
      <w:r>
        <w:t xml:space="preserve">of</w:t>
      </w:r>
      <w:r>
        <w:t xml:space="preserve"> </w:t>
      </w:r>
      <w:r>
        <w:t xml:space="preserve">Review</w:t>
      </w:r>
      <w:r>
        <w:t xml:space="preserve"> </w:t>
      </w:r>
      <w:r>
        <w:t xml:space="preserve">for</w:t>
      </w:r>
      <w:r>
        <w:t xml:space="preserve"> </w:t>
      </w:r>
      <w:r>
        <w:t xml:space="preserve">Claims</w:t>
      </w:r>
      <w:r>
        <w:t xml:space="preserve"> </w:t>
      </w:r>
      <w:r>
        <w:t xml:space="preserve">Involving</w:t>
      </w:r>
      <w:r>
        <w:t xml:space="preserve"> </w:t>
      </w:r>
      <w:r>
        <w:t xml:space="preserve">GR</w:t>
      </w:r>
      <w:r>
        <w:t xml:space="preserve"> </w:t>
      </w:r>
      <w:r>
        <w:t xml:space="preserve">37.</w:t>
      </w:r>
      <w:r>
        <w:t xml:space="preserve">   </w:t>
      </w:r>
      <w:r>
        <w:tab/>
      </w:r>
      <w:r>
        <w:t xml:space="preserve">22</w:t>
      </w:r>
    </w:p>
    <w:p>
      <w:pPr>
        <w:keepLines/>
        <w:tabs>
          <w:tab w:val="right" w:leader="dot" w:pos="7200"/>
        </w:tabs>
        <w:spacing w:before="252" w:after="0" w:line="322" w:lineRule="exact"/>
        <w:ind w:left="420" w:right="720" w:hanging="420"/>
      </w:pPr>
      <w:r>
        <w:t xml:space="preserve">VII.</w:t>
      </w:r>
      <w:r>
        <w:t xml:space="preserve"> </w:t>
      </w:r>
      <w:r>
        <w:t xml:space="preserve">CONCLUSION</w:t>
      </w:r>
      <w:r>
        <w:t xml:space="preserve">   </w:t>
      </w:r>
      <w:r>
        <w:tab/>
      </w:r>
      <w:r>
        <w:t xml:space="preserve">26</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7200"/>
        </w:tabs>
        <w:spacing w:before="252" w:after="0" w:line="322" w:lineRule="exact"/>
        <w:ind w:left="420" w:right="1120" w:hanging="420"/>
      </w:pPr>
      <w:r>
        <w:rPr>
          <w:i/>
          <w:iCs/>
        </w:rPr>
        <w:t xml:space="preserve">Batson</w:t>
      </w:r>
      <w:r>
        <w:rPr>
          <w:i/>
          <w:iCs/>
        </w:rPr>
        <w:t xml:space="preserve"> </w:t>
      </w:r>
      <w:r>
        <w:rPr>
          <w:i/>
          <w:iCs/>
        </w:rPr>
        <w:t xml:space="preserve">v.</w:t>
      </w:r>
      <w:r>
        <w:rPr>
          <w:i/>
          <w:iCs/>
        </w:rPr>
        <w:t xml:space="preserve"> </w:t>
      </w:r>
      <w:r>
        <w:rPr>
          <w:i/>
          <w:iCs/>
        </w:rPr>
        <w:t xml:space="preserve">Kentucky</w:t>
      </w:r>
      <w:r>
        <w:t xml:space="preserve">,</w:t>
      </w:r>
      <w:r>
        <w:t xml:space="preserve"> </w:t>
      </w:r>
      <w:r>
        <w:t xml:space="preserve">476</w:t>
      </w:r>
      <w:r>
        <w:t xml:space="preserve"> </w:t>
      </w:r>
      <w:r>
        <w:t xml:space="preserve">U.S.</w:t>
      </w:r>
      <w:r>
        <w:t xml:space="preserve"> </w:t>
      </w:r>
      <w:r>
        <w:t xml:space="preserve">79,</w:t>
      </w:r>
      <w:r>
        <w:t xml:space="preserve"> </w:t>
      </w:r>
      <w:r>
        <w:t xml:space="preserve">106</w:t>
      </w:r>
      <w:r>
        <w:t xml:space="preserve"> </w:t>
      </w:r>
      <w:r>
        <w:t xml:space="preserve">S.</w:t>
      </w:r>
      <w:r>
        <w:t xml:space="preserve"> </w:t>
      </w:r>
      <w:r>
        <w:t xml:space="preserve">Ct.</w:t>
      </w:r>
      <w:r>
        <w:t xml:space="preserve"> </w:t>
      </w:r>
      <w:r>
        <w:t xml:space="preserve">1712,</w:t>
      </w:r>
      <w:r>
        <w:t xml:space="preserve"> </w:t>
      </w:r>
      <w:r>
        <w:t xml:space="preserve">90</w:t>
      </w:r>
      <w:r>
        <w:t xml:space="preserve"> </w:t>
      </w:r>
      <w:r>
        <w:t xml:space="preserve">L.</w:t>
      </w:r>
      <w:r>
        <w:t xml:space="preserve"> </w:t>
      </w:r>
      <w:r>
        <w:t xml:space="preserve">Ed.</w:t>
      </w:r>
      <w:r>
        <w:t xml:space="preserve"> </w:t>
      </w:r>
      <w:r>
        <w:t xml:space="preserve">2d</w:t>
      </w:r>
      <w:r>
        <w:t xml:space="preserve"> </w:t>
      </w:r>
      <w:r>
        <w:t xml:space="preserve">69</w:t>
      </w:r>
      <w:r>
        <w:t xml:space="preserve"> </w:t>
      </w:r>
      <w:r>
        <w:t xml:space="preserve">(1986)</w:t>
      </w:r>
      <w:r>
        <w:t xml:space="preserve">   </w:t>
      </w:r>
      <w:r>
        <w:tab/>
      </w:r>
      <w:r>
        <w:t xml:space="preserve">20, 21, 24</w:t>
      </w:r>
    </w:p>
    <w:p>
      <w:pPr>
        <w:keepLines/>
        <w:tabs>
          <w:tab w:val="right" w:leader="dot" w:pos="7200"/>
        </w:tabs>
        <w:spacing w:before="252" w:after="0" w:line="322" w:lineRule="exact"/>
        <w:ind w:left="420" w:right="1120" w:hanging="420"/>
      </w:pPr>
      <w:r>
        <w:rPr>
          <w:i/>
          <w:iCs/>
        </w:rPr>
        <w:t xml:space="preserve">Brown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411</w:t>
      </w:r>
      <w:r>
        <w:t xml:space="preserve"> </w:t>
      </w:r>
      <w:r>
        <w:t xml:space="preserve">U.S.</w:t>
      </w:r>
      <w:r>
        <w:t xml:space="preserve"> </w:t>
      </w:r>
      <w:r>
        <w:t xml:space="preserve">223,</w:t>
      </w:r>
      <w:r>
        <w:t xml:space="preserve"> </w:t>
      </w:r>
      <w:r>
        <w:t xml:space="preserve">93</w:t>
      </w:r>
      <w:r>
        <w:t xml:space="preserve"> </w:t>
      </w:r>
      <w:r>
        <w:t xml:space="preserve">S.</w:t>
      </w:r>
      <w:r>
        <w:t xml:space="preserve"> </w:t>
      </w:r>
      <w:r>
        <w:t xml:space="preserve">Ct.</w:t>
      </w:r>
      <w:r>
        <w:t xml:space="preserve"> </w:t>
      </w:r>
      <w:r>
        <w:t xml:space="preserve">1565,</w:t>
      </w:r>
      <w:r>
        <w:t xml:space="preserve"> </w:t>
      </w:r>
      <w:r>
        <w:t xml:space="preserve">36</w:t>
      </w:r>
      <w:r>
        <w:t xml:space="preserve"> </w:t>
      </w:r>
      <w:r>
        <w:t xml:space="preserve">L.</w:t>
      </w:r>
      <w:r>
        <w:t xml:space="preserve"> </w:t>
      </w:r>
      <w:r>
        <w:t xml:space="preserve">Ed.</w:t>
      </w:r>
      <w:r>
        <w:t xml:space="preserve"> </w:t>
      </w:r>
      <w:r>
        <w:t xml:space="preserve">2d</w:t>
      </w:r>
      <w:r>
        <w:t xml:space="preserve"> </w:t>
      </w:r>
      <w:r>
        <w:t xml:space="preserve">208</w:t>
      </w:r>
      <w:r>
        <w:t xml:space="preserve"> </w:t>
      </w:r>
      <w:r>
        <w:t xml:space="preserve">(1973)</w:t>
      </w:r>
      <w:r>
        <w:t xml:space="preserve">   </w:t>
      </w:r>
      <w:r>
        <w:tab/>
      </w:r>
      <w:r>
        <w:t xml:space="preserve">12</w:t>
      </w:r>
    </w:p>
    <w:p>
      <w:pPr>
        <w:keepLines/>
        <w:tabs>
          <w:tab w:val="right" w:leader="dot" w:pos="7200"/>
        </w:tabs>
        <w:spacing w:before="252" w:after="0" w:line="322" w:lineRule="exact"/>
        <w:ind w:left="420" w:right="1120" w:hanging="420"/>
      </w:pPr>
      <w:r>
        <w:rPr>
          <w:i/>
          <w:iCs/>
        </w:rPr>
        <w:t xml:space="preserve">Davis</w:t>
      </w:r>
      <w:r>
        <w:rPr>
          <w:i/>
          <w:iCs/>
        </w:rPr>
        <w:t xml:space="preserve"> </w:t>
      </w:r>
      <w:r>
        <w:rPr>
          <w:i/>
          <w:iCs/>
        </w:rPr>
        <w:t xml:space="preserve">v.</w:t>
      </w:r>
      <w:r>
        <w:rPr>
          <w:i/>
          <w:iCs/>
        </w:rPr>
        <w:t xml:space="preserve"> </w:t>
      </w:r>
      <w:r>
        <w:rPr>
          <w:i/>
          <w:iCs/>
        </w:rPr>
        <w:t xml:space="preserve">Ayala</w:t>
      </w:r>
      <w:r>
        <w:t xml:space="preserve">,</w:t>
      </w:r>
      <w:r>
        <w:t xml:space="preserve"> </w:t>
      </w:r>
      <w:r>
        <w:t xml:space="preserve">576</w:t>
      </w:r>
      <w:r>
        <w:t xml:space="preserve"> </w:t>
      </w:r>
      <w:r>
        <w:t xml:space="preserve">U.S.</w:t>
      </w:r>
      <w:r>
        <w:t xml:space="preserve"> </w:t>
      </w:r>
      <w:r>
        <w:t xml:space="preserve">257,</w:t>
      </w:r>
      <w:r>
        <w:t xml:space="preserve"> </w:t>
      </w:r>
      <w:r>
        <w:t xml:space="preserve">135</w:t>
      </w:r>
      <w:r>
        <w:t xml:space="preserve"> </w:t>
      </w:r>
      <w:r>
        <w:t xml:space="preserve">S.</w:t>
      </w:r>
      <w:r>
        <w:t xml:space="preserve"> </w:t>
      </w:r>
      <w:r>
        <w:t xml:space="preserve">Ct.</w:t>
      </w:r>
      <w:r>
        <w:t xml:space="preserve"> </w:t>
      </w:r>
      <w:r>
        <w:t xml:space="preserve">2187,</w:t>
      </w:r>
      <w:r>
        <w:t xml:space="preserve"> </w:t>
      </w:r>
      <w:r>
        <w:t xml:space="preserve">192</w:t>
      </w:r>
      <w:r>
        <w:t xml:space="preserve"> </w:t>
      </w:r>
      <w:r>
        <w:t xml:space="preserve">L.</w:t>
      </w:r>
      <w:r>
        <w:t xml:space="preserve"> </w:t>
      </w:r>
      <w:r>
        <w:t xml:space="preserve">Ed.</w:t>
      </w:r>
      <w:r>
        <w:t xml:space="preserve"> </w:t>
      </w:r>
      <w:r>
        <w:t xml:space="preserve">2d</w:t>
      </w:r>
      <w:r>
        <w:t xml:space="preserve"> </w:t>
      </w:r>
      <w:r>
        <w:t xml:space="preserve">323</w:t>
      </w:r>
      <w:r>
        <w:t xml:space="preserve"> </w:t>
      </w:r>
      <w:r>
        <w:t xml:space="preserve">(2015)</w:t>
      </w:r>
      <w:r>
        <w:t xml:space="preserve">   </w:t>
      </w:r>
      <w:r>
        <w:tab/>
      </w:r>
      <w:r>
        <w:t xml:space="preserve">21</w:t>
      </w:r>
    </w:p>
    <w:p>
      <w:pPr>
        <w:keepLines/>
        <w:tabs>
          <w:tab w:val="right" w:leader="dot" w:pos="7200"/>
        </w:tabs>
        <w:spacing w:before="252" w:after="0" w:line="322" w:lineRule="exact"/>
        <w:ind w:left="420" w:right="1120" w:hanging="420"/>
      </w:pPr>
      <w:r>
        <w:rPr>
          <w:i/>
          <w:iCs/>
        </w:rPr>
        <w:t xml:space="preserve">Delaware</w:t>
      </w:r>
      <w:r>
        <w:rPr>
          <w:i/>
          <w:iCs/>
        </w:rPr>
        <w:t xml:space="preserve"> </w:t>
      </w:r>
      <w:r>
        <w:rPr>
          <w:i/>
          <w:iCs/>
        </w:rPr>
        <w:t xml:space="preserve">v.</w:t>
      </w:r>
      <w:r>
        <w:rPr>
          <w:i/>
          <w:iCs/>
        </w:rPr>
        <w:t xml:space="preserve"> </w:t>
      </w:r>
      <w:r>
        <w:rPr>
          <w:i/>
          <w:iCs/>
        </w:rPr>
        <w:t xml:space="preserve">VanArsdall</w:t>
      </w:r>
      <w:r>
        <w:t xml:space="preserve">,</w:t>
      </w:r>
      <w:r>
        <w:t xml:space="preserve"> </w:t>
      </w:r>
      <w:r>
        <w:t xml:space="preserve">475</w:t>
      </w:r>
      <w:r>
        <w:t xml:space="preserve"> </w:t>
      </w:r>
      <w:r>
        <w:t xml:space="preserve">U.S.</w:t>
      </w:r>
      <w:r>
        <w:t xml:space="preserve"> </w:t>
      </w:r>
      <w:r>
        <w:t xml:space="preserve">673,</w:t>
      </w:r>
      <w:r>
        <w:t xml:space="preserve"> </w:t>
      </w:r>
      <w:r>
        <w:t xml:space="preserve">106</w:t>
      </w:r>
      <w:r>
        <w:t xml:space="preserve"> </w:t>
      </w:r>
      <w:r>
        <w:t xml:space="preserve">S.</w:t>
      </w:r>
      <w:r>
        <w:t xml:space="preserve"> </w:t>
      </w:r>
      <w:r>
        <w:t xml:space="preserve">Ct.</w:t>
      </w:r>
      <w:r>
        <w:t xml:space="preserve"> </w:t>
      </w:r>
      <w:r>
        <w:t xml:space="preserve">1431,</w:t>
      </w:r>
      <w:r>
        <w:t xml:space="preserve"> </w:t>
      </w:r>
      <w:r>
        <w:t xml:space="preserve">89</w:t>
      </w:r>
      <w:r>
        <w:t xml:space="preserve"> </w:t>
      </w:r>
      <w:r>
        <w:t xml:space="preserve">L.</w:t>
      </w:r>
      <w:r>
        <w:t xml:space="preserve"> </w:t>
      </w:r>
      <w:r>
        <w:t xml:space="preserve">Ed.</w:t>
      </w:r>
      <w:r>
        <w:t xml:space="preserve"> </w:t>
      </w:r>
      <w:r>
        <w:t xml:space="preserve">2d</w:t>
      </w:r>
      <w:r>
        <w:t xml:space="preserve"> </w:t>
      </w:r>
      <w:r>
        <w:t xml:space="preserve">674</w:t>
      </w:r>
      <w:r>
        <w:t xml:space="preserve"> </w:t>
      </w:r>
      <w:r>
        <w:t xml:space="preserve">(1986)</w:t>
      </w:r>
      <w:r>
        <w:t xml:space="preserve">   </w:t>
      </w:r>
      <w:r>
        <w:tab/>
      </w:r>
      <w:r>
        <w:t xml:space="preserve">22</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Lewis</w:t>
      </w:r>
      <w:r>
        <w:t xml:space="preserve">,</w:t>
      </w:r>
      <w:r>
        <w:t xml:space="preserve"> </w:t>
      </w:r>
      <w:r>
        <w:t xml:space="preserve">200</w:t>
      </w:r>
      <w:r>
        <w:t xml:space="preserve"> </w:t>
      </w:r>
      <w:r>
        <w:t xml:space="preserve">Wn.2d</w:t>
      </w:r>
      <w:r>
        <w:t xml:space="preserve"> </w:t>
      </w:r>
      <w:r>
        <w:t xml:space="preserve">848,</w:t>
      </w:r>
      <w:r>
        <w:t xml:space="preserve"> </w:t>
      </w:r>
      <w:r>
        <w:t xml:space="preserve">523</w:t>
      </w:r>
      <w:r>
        <w:t xml:space="preserve"> </w:t>
      </w:r>
      <w:r>
        <w:t xml:space="preserve">P.3d</w:t>
      </w:r>
      <w:r>
        <w:t xml:space="preserve"> </w:t>
      </w:r>
      <w:r>
        <w:t xml:space="preserve">760</w:t>
      </w:r>
      <w:r>
        <w:t xml:space="preserve"> </w:t>
      </w:r>
      <w:r>
        <w:t xml:space="preserve">(2023)</w:t>
      </w:r>
      <w:r>
        <w:t xml:space="preserve">   </w:t>
      </w:r>
      <w:r>
        <w:tab/>
      </w:r>
      <w:r>
        <w:t xml:space="preserve">13</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Meredith</w:t>
      </w:r>
      <w:r>
        <w:t xml:space="preserve">,</w:t>
      </w:r>
      <w:r>
        <w:t xml:space="preserve"> </w:t>
      </w:r>
      <w:r>
        <w:t xml:space="preserve">191</w:t>
      </w:r>
      <w:r>
        <w:t xml:space="preserve"> </w:t>
      </w:r>
      <w:r>
        <w:t xml:space="preserve">Wn.2d</w:t>
      </w:r>
      <w:r>
        <w:t xml:space="preserve"> </w:t>
      </w:r>
      <w:r>
        <w:t xml:space="preserve">300,</w:t>
      </w:r>
      <w:r>
        <w:t xml:space="preserve"> </w:t>
      </w:r>
      <w:r>
        <w:t xml:space="preserve">422</w:t>
      </w:r>
      <w:r>
        <w:t xml:space="preserve"> </w:t>
      </w:r>
      <w:r>
        <w:t xml:space="preserve">P.3d</w:t>
      </w:r>
      <w:r>
        <w:t xml:space="preserve"> </w:t>
      </w:r>
      <w:r>
        <w:t xml:space="preserve">458</w:t>
      </w:r>
      <w:r>
        <w:t xml:space="preserve"> </w:t>
      </w:r>
      <w:r>
        <w:t xml:space="preserve">(2018)</w:t>
      </w:r>
      <w:r>
        <w:t xml:space="preserve">   </w:t>
      </w:r>
      <w:r>
        <w:tab/>
      </w:r>
      <w:r>
        <w:t xml:space="preserve">13, 21</w:t>
      </w:r>
    </w:p>
    <w:p>
      <w:pPr>
        <w:keepLines/>
        <w:tabs>
          <w:tab w:val="right" w:leader="dot" w:pos="7200"/>
        </w:tabs>
        <w:spacing w:before="252" w:after="0" w:line="322" w:lineRule="exact"/>
        <w:ind w:left="420" w:right="1120" w:hanging="420"/>
      </w:pPr>
      <w:r>
        <w:rPr>
          <w:i/>
          <w:iCs/>
        </w:rPr>
        <w:t xml:space="preserve">Rivera</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556</w:t>
      </w:r>
      <w:r>
        <w:t xml:space="preserve"> </w:t>
      </w:r>
      <w:r>
        <w:t xml:space="preserve">U.S.</w:t>
      </w:r>
      <w:r>
        <w:t xml:space="preserve"> </w:t>
      </w:r>
      <w:r>
        <w:t xml:space="preserve">148,</w:t>
      </w:r>
      <w:r>
        <w:t xml:space="preserve"> </w:t>
      </w:r>
      <w:r>
        <w:t xml:space="preserve">129</w:t>
      </w:r>
      <w:r>
        <w:t xml:space="preserve"> </w:t>
      </w:r>
      <w:r>
        <w:t xml:space="preserve">S.</w:t>
      </w:r>
      <w:r>
        <w:t xml:space="preserve"> </w:t>
      </w:r>
      <w:r>
        <w:t xml:space="preserve">Ct.</w:t>
      </w:r>
      <w:r>
        <w:t xml:space="preserve"> </w:t>
      </w:r>
      <w:r>
        <w:t xml:space="preserve">1446,</w:t>
      </w:r>
      <w:r>
        <w:t xml:space="preserve"> </w:t>
      </w:r>
      <w:r>
        <w:t xml:space="preserve">173</w:t>
      </w:r>
      <w:r>
        <w:t xml:space="preserve"> </w:t>
      </w:r>
      <w:r>
        <w:t xml:space="preserve">L.</w:t>
      </w:r>
      <w:r>
        <w:t xml:space="preserve"> </w:t>
      </w:r>
      <w:r>
        <w:t xml:space="preserve">Ed.</w:t>
      </w:r>
      <w:r>
        <w:t xml:space="preserve"> </w:t>
      </w:r>
      <w:r>
        <w:t xml:space="preserve">2d</w:t>
      </w:r>
      <w:r>
        <w:t xml:space="preserve"> </w:t>
      </w:r>
      <w:r>
        <w:t xml:space="preserve">320</w:t>
      </w:r>
      <w:r>
        <w:t xml:space="preserve"> </w:t>
      </w:r>
      <w:r>
        <w:t xml:space="preserve">(2009)</w:t>
      </w:r>
      <w:r>
        <w:t xml:space="preserve">   </w:t>
      </w:r>
      <w:r>
        <w:tab/>
      </w:r>
      <w:r>
        <w:t xml:space="preserve">20, 21</w:t>
      </w:r>
    </w:p>
    <w:p>
      <w:pPr>
        <w:keepLines/>
        <w:tabs>
          <w:tab w:val="right" w:leader="dot" w:pos="7200"/>
        </w:tabs>
        <w:spacing w:before="252" w:after="0" w:line="322" w:lineRule="exact"/>
        <w:ind w:left="420" w:right="1120" w:hanging="420"/>
      </w:pPr>
      <w:r>
        <w:rPr>
          <w:i/>
          <w:iCs/>
        </w:rPr>
        <w:t xml:space="preserve">Snyder</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552</w:t>
      </w:r>
      <w:r>
        <w:t xml:space="preserve"> </w:t>
      </w:r>
      <w:r>
        <w:t xml:space="preserve">U.S.</w:t>
      </w:r>
      <w:r>
        <w:t xml:space="preserve"> </w:t>
      </w:r>
      <w:r>
        <w:t xml:space="preserve">472,</w:t>
      </w:r>
      <w:r>
        <w:t xml:space="preserve"> </w:t>
      </w:r>
      <w:r>
        <w:t xml:space="preserve">128</w:t>
      </w:r>
      <w:r>
        <w:t xml:space="preserve"> </w:t>
      </w:r>
      <w:r>
        <w:t xml:space="preserve">S.</w:t>
      </w:r>
      <w:r>
        <w:t xml:space="preserve"> </w:t>
      </w:r>
      <w:r>
        <w:t xml:space="preserve">Ct.</w:t>
      </w:r>
      <w:r>
        <w:t xml:space="preserve"> </w:t>
      </w:r>
      <w:r>
        <w:t xml:space="preserve">1203,</w:t>
      </w:r>
      <w:r>
        <w:t xml:space="preserve"> </w:t>
      </w:r>
      <w:r>
        <w:t xml:space="preserve">170</w:t>
      </w:r>
      <w:r>
        <w:t xml:space="preserve"> </w:t>
      </w:r>
      <w:r>
        <w:t xml:space="preserve">L.</w:t>
      </w:r>
      <w:r>
        <w:t xml:space="preserve"> </w:t>
      </w:r>
      <w:r>
        <w:t xml:space="preserve">Ed.</w:t>
      </w:r>
      <w:r>
        <w:t xml:space="preserve"> </w:t>
      </w:r>
      <w:r>
        <w:t xml:space="preserve">2d</w:t>
      </w:r>
      <w:r>
        <w:t xml:space="preserve"> </w:t>
      </w:r>
      <w:r>
        <w:t xml:space="preserve">175</w:t>
      </w:r>
      <w:r>
        <w:t xml:space="preserve"> </w:t>
      </w:r>
      <w:r>
        <w:t xml:space="preserve">(2008)</w:t>
      </w:r>
      <w:r>
        <w:t xml:space="preserve">   </w:t>
      </w:r>
      <w:r>
        <w:tab/>
      </w:r>
      <w:r>
        <w:t xml:space="preserve">24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Banks</w:t>
      </w:r>
      <w:r>
        <w:t xml:space="preserve">,</w:t>
      </w:r>
      <w:r>
        <w:t xml:space="preserve"> </w:t>
      </w:r>
      <w:r>
        <w:t xml:space="preserve">149</w:t>
      </w:r>
      <w:r>
        <w:t xml:space="preserve"> </w:t>
      </w:r>
      <w:r>
        <w:t xml:space="preserve">Wn.2d</w:t>
      </w:r>
      <w:r>
        <w:t xml:space="preserve"> </w:t>
      </w:r>
      <w:r>
        <w:t xml:space="preserve">38,</w:t>
      </w:r>
      <w:r>
        <w:t xml:space="preserve"> </w:t>
      </w:r>
      <w:r>
        <w:t xml:space="preserve">65</w:t>
      </w:r>
      <w:r>
        <w:t xml:space="preserve"> </w:t>
      </w:r>
      <w:r>
        <w:t xml:space="preserve">P.3d</w:t>
      </w:r>
      <w:r>
        <w:t xml:space="preserve"> </w:t>
      </w:r>
      <w:r>
        <w:t xml:space="preserve">1198</w:t>
      </w:r>
      <w:r>
        <w:t xml:space="preserve"> </w:t>
      </w:r>
      <w:r>
        <w:t xml:space="preserve">(2003)</w:t>
      </w:r>
      <w:r>
        <w:t xml:space="preserve">   </w:t>
      </w:r>
      <w:r>
        <w:tab/>
      </w:r>
      <w:r>
        <w:t xml:space="preserve">13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Booth</w:t>
      </w:r>
      <w:r>
        <w:t xml:space="preserve">,</w:t>
      </w:r>
      <w:r>
        <w:t xml:space="preserve"> </w:t>
      </w:r>
      <w:r>
        <w:t xml:space="preserve">22</w:t>
      </w:r>
      <w:r>
        <w:t xml:space="preserve"> </w:t>
      </w:r>
      <w:r>
        <w:t xml:space="preserve">Wn.</w:t>
      </w:r>
      <w:r>
        <w:t xml:space="preserve"> </w:t>
      </w:r>
      <w:r>
        <w:t xml:space="preserve">App.</w:t>
      </w:r>
      <w:r>
        <w:t xml:space="preserve"> </w:t>
      </w:r>
      <w:r>
        <w:t xml:space="preserve">2d</w:t>
      </w:r>
      <w:r>
        <w:t xml:space="preserve"> </w:t>
      </w:r>
      <w:r>
        <w:t xml:space="preserve">565,</w:t>
      </w:r>
      <w:r>
        <w:t xml:space="preserve"> </w:t>
      </w:r>
      <w:r>
        <w:t xml:space="preserve">510</w:t>
      </w:r>
      <w:r>
        <w:t xml:space="preserve"> </w:t>
      </w:r>
      <w:r>
        <w:t xml:space="preserve">P.3d</w:t>
      </w:r>
      <w:r>
        <w:t xml:space="preserve"> </w:t>
      </w:r>
      <w:r>
        <w:t xml:space="preserve">1025</w:t>
      </w:r>
      <w:r>
        <w:t xml:space="preserve"> </w:t>
      </w:r>
      <w:r>
        <w:t xml:space="preserve">(2022)</w:t>
      </w:r>
      <w:r>
        <w:t xml:space="preserve">   </w:t>
      </w:r>
      <w:r>
        <w:tab/>
      </w:r>
      <w:r>
        <w:t xml:space="preserve">20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Coristine</w:t>
      </w:r>
      <w:r>
        <w:t xml:space="preserve">,</w:t>
      </w:r>
      <w:r>
        <w:t xml:space="preserve"> </w:t>
      </w:r>
      <w:r>
        <w:t xml:space="preserve">177</w:t>
      </w:r>
      <w:r>
        <w:t xml:space="preserve"> </w:t>
      </w:r>
      <w:r>
        <w:t xml:space="preserve">Wn.2d</w:t>
      </w:r>
      <w:r>
        <w:t xml:space="preserve"> </w:t>
      </w:r>
      <w:r>
        <w:t xml:space="preserve">370,</w:t>
      </w:r>
      <w:r>
        <w:t xml:space="preserve"> </w:t>
      </w:r>
      <w:r>
        <w:t xml:space="preserve">300</w:t>
      </w:r>
      <w:r>
        <w:t xml:space="preserve"> </w:t>
      </w:r>
      <w:r>
        <w:t xml:space="preserve">P.3d</w:t>
      </w:r>
      <w:r>
        <w:t xml:space="preserve"> </w:t>
      </w:r>
      <w:r>
        <w:t xml:space="preserve">400</w:t>
      </w:r>
      <w:r>
        <w:t xml:space="preserve"> </w:t>
      </w:r>
      <w:r>
        <w:t xml:space="preserve">(2013)</w:t>
      </w:r>
      <w:r>
        <w:t xml:space="preserve">   </w:t>
      </w:r>
      <w:r>
        <w:tab/>
      </w:r>
      <w:r>
        <w:t xml:space="preserve">13, 22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Evans</w:t>
      </w:r>
      <w:r>
        <w:t xml:space="preserve">,</w:t>
      </w:r>
      <w:r>
        <w:t xml:space="preserve"> </w:t>
      </w:r>
      <w:r>
        <w:t xml:space="preserve">96</w:t>
      </w:r>
      <w:r>
        <w:t xml:space="preserve"> </w:t>
      </w:r>
      <w:r>
        <w:t xml:space="preserve">Wn.2d</w:t>
      </w:r>
      <w:r>
        <w:t xml:space="preserve"> </w:t>
      </w:r>
      <w:r>
        <w:t xml:space="preserve">1,</w:t>
      </w:r>
      <w:r>
        <w:t xml:space="preserve"> </w:t>
      </w:r>
      <w:r>
        <w:t xml:space="preserve">633</w:t>
      </w:r>
      <w:r>
        <w:t xml:space="preserve"> </w:t>
      </w:r>
      <w:r>
        <w:t xml:space="preserve">P.2d</w:t>
      </w:r>
      <w:r>
        <w:t xml:space="preserve"> </w:t>
      </w:r>
      <w:r>
        <w:t xml:space="preserve">83</w:t>
      </w:r>
      <w:r>
        <w:t xml:space="preserve"> </w:t>
      </w:r>
      <w:r>
        <w:t xml:space="preserve">(1981)</w:t>
      </w:r>
      <w:r>
        <w:t xml:space="preserve">   </w:t>
      </w:r>
      <w:r>
        <w:tab/>
      </w:r>
      <w:r>
        <w:t xml:space="preserve">12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Grenning</w:t>
      </w:r>
      <w:r>
        <w:t xml:space="preserve">,</w:t>
      </w:r>
      <w:r>
        <w:t xml:space="preserve"> </w:t>
      </w:r>
      <w:r>
        <w:t xml:space="preserve">169</w:t>
      </w:r>
      <w:r>
        <w:t xml:space="preserve"> </w:t>
      </w:r>
      <w:r>
        <w:t xml:space="preserve">Wn.2d</w:t>
      </w:r>
      <w:r>
        <w:t xml:space="preserve"> </w:t>
      </w:r>
      <w:r>
        <w:t xml:space="preserve">47,</w:t>
      </w:r>
      <w:r>
        <w:t xml:space="preserve"> </w:t>
      </w:r>
      <w:r>
        <w:t xml:space="preserve">234</w:t>
      </w:r>
      <w:r>
        <w:t xml:space="preserve"> </w:t>
      </w:r>
      <w:r>
        <w:t xml:space="preserve">P.3d</w:t>
      </w:r>
      <w:r>
        <w:t xml:space="preserve"> </w:t>
      </w:r>
      <w:r>
        <w:t xml:space="preserve">169</w:t>
      </w:r>
      <w:r>
        <w:t xml:space="preserve"> </w:t>
      </w:r>
      <w:r>
        <w:t xml:space="preserve">(2010)</w:t>
      </w:r>
      <w:r>
        <w:t xml:space="preserve">   </w:t>
      </w:r>
      <w:r>
        <w:tab/>
      </w:r>
      <w:r>
        <w:t xml:space="preserve">14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Hale</w:t>
      </w:r>
      <w:r>
        <w:t xml:space="preserve">,</w:t>
      </w:r>
      <w:r>
        <w:t xml:space="preserve"> </w:t>
      </w:r>
      <w:r>
        <w:t xml:space="preserve">28</w:t>
      </w:r>
      <w:r>
        <w:t xml:space="preserve"> </w:t>
      </w:r>
      <w:r>
        <w:t xml:space="preserve">Wn.</w:t>
      </w:r>
      <w:r>
        <w:t xml:space="preserve"> </w:t>
      </w:r>
      <w:r>
        <w:t xml:space="preserve">App.</w:t>
      </w:r>
      <w:r>
        <w:t xml:space="preserve"> </w:t>
      </w:r>
      <w:r>
        <w:t xml:space="preserve">2d</w:t>
      </w:r>
      <w:r>
        <w:t xml:space="preserve"> </w:t>
      </w:r>
      <w:r>
        <w:t xml:space="preserve">619,</w:t>
      </w:r>
      <w:r>
        <w:t xml:space="preserve"> </w:t>
      </w:r>
      <w:r>
        <w:t xml:space="preserve">537</w:t>
      </w:r>
      <w:r>
        <w:t xml:space="preserve"> </w:t>
      </w:r>
      <w:r>
        <w:t xml:space="preserve">P.3d</w:t>
      </w:r>
      <w:r>
        <w:t xml:space="preserve"> </w:t>
      </w:r>
      <w:r>
        <w:t xml:space="preserve">707</w:t>
      </w:r>
      <w:r>
        <w:t xml:space="preserve"> </w:t>
      </w:r>
      <w:r>
        <w:t xml:space="preserve">(2023),</w:t>
      </w:r>
      <w:r>
        <w:t xml:space="preserve"> </w:t>
      </w:r>
      <w:r>
        <w:rPr>
          <w:i/>
          <w:iCs/>
        </w:rPr>
        <w:t xml:space="preserve">review</w:t>
      </w:r>
      <w:r>
        <w:rPr>
          <w:i/>
          <w:iCs/>
        </w:rPr>
        <w:t xml:space="preserve"> </w:t>
      </w:r>
      <w:r>
        <w:rPr>
          <w:i/>
          <w:iCs/>
        </w:rPr>
        <w:t xml:space="preserve">denied</w:t>
      </w:r>
      <w:r>
        <w:t xml:space="preserve">,</w:t>
      </w:r>
      <w:r>
        <w:t xml:space="preserve"> </w:t>
      </w:r>
      <w:r>
        <w:t xml:space="preserve">2</w:t>
      </w:r>
      <w:r>
        <w:t xml:space="preserve"> </w:t>
      </w:r>
      <w:r>
        <w:t xml:space="preserve">Wn.3d</w:t>
      </w:r>
      <w:r>
        <w:t xml:space="preserve"> </w:t>
      </w:r>
      <w:r>
        <w:t xml:space="preserve">1026</w:t>
      </w:r>
      <w:r>
        <w:t xml:space="preserve"> </w:t>
      </w:r>
      <w:r>
        <w:t xml:space="preserve">(2024)</w:t>
      </w:r>
      <w:r>
        <w:t xml:space="preserve">   </w:t>
      </w:r>
      <w:r>
        <w:tab/>
      </w:r>
      <w:r>
        <w:t xml:space="preserve">20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Jefferson</w:t>
      </w:r>
      <w:r>
        <w:t xml:space="preserve">,</w:t>
      </w:r>
      <w:r>
        <w:t xml:space="preserve"> </w:t>
      </w:r>
      <w:r>
        <w:t xml:space="preserve">192</w:t>
      </w:r>
      <w:r>
        <w:t xml:space="preserve"> </w:t>
      </w:r>
      <w:r>
        <w:t xml:space="preserve">Wn.2d</w:t>
      </w:r>
      <w:r>
        <w:t xml:space="preserve"> </w:t>
      </w:r>
      <w:r>
        <w:t xml:space="preserve">225,</w:t>
      </w:r>
      <w:r>
        <w:t xml:space="preserve"> </w:t>
      </w:r>
      <w:r>
        <w:t xml:space="preserve">429</w:t>
      </w:r>
      <w:r>
        <w:t xml:space="preserve"> </w:t>
      </w:r>
      <w:r>
        <w:t xml:space="preserve">P.3d</w:t>
      </w:r>
      <w:r>
        <w:t xml:space="preserve"> </w:t>
      </w:r>
      <w:r>
        <w:t xml:space="preserve">467</w:t>
      </w:r>
      <w:r>
        <w:t xml:space="preserve"> </w:t>
      </w:r>
      <w:r>
        <w:t xml:space="preserve">(2018)</w:t>
      </w:r>
      <w:r>
        <w:t xml:space="preserve">   </w:t>
      </w:r>
      <w:r>
        <w:tab/>
      </w:r>
      <w:r>
        <w:t xml:space="preserve">16, 23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Lahman</w:t>
      </w:r>
      <w:r>
        <w:t xml:space="preserve">,</w:t>
      </w:r>
      <w:r>
        <w:t xml:space="preserve"> </w:t>
      </w:r>
      <w:r>
        <w:t xml:space="preserve">17</w:t>
      </w:r>
      <w:r>
        <w:t xml:space="preserve"> </w:t>
      </w:r>
      <w:r>
        <w:t xml:space="preserve">Wn.</w:t>
      </w:r>
      <w:r>
        <w:t xml:space="preserve"> </w:t>
      </w:r>
      <w:r>
        <w:t xml:space="preserve">App.</w:t>
      </w:r>
      <w:r>
        <w:t xml:space="preserve"> </w:t>
      </w:r>
      <w:r>
        <w:t xml:space="preserve">2d</w:t>
      </w:r>
      <w:r>
        <w:t xml:space="preserve"> </w:t>
      </w:r>
      <w:r>
        <w:t xml:space="preserve">925,</w:t>
      </w:r>
      <w:r>
        <w:t xml:space="preserve"> </w:t>
      </w:r>
      <w:r>
        <w:t xml:space="preserve">488</w:t>
      </w:r>
      <w:r>
        <w:t xml:space="preserve"> </w:t>
      </w:r>
      <w:r>
        <w:t xml:space="preserve">P.3d</w:t>
      </w:r>
      <w:r>
        <w:t xml:space="preserve"> </w:t>
      </w:r>
      <w:r>
        <w:t xml:space="preserve">881</w:t>
      </w:r>
      <w:r>
        <w:t xml:space="preserve"> </w:t>
      </w:r>
      <w:r>
        <w:t xml:space="preserve">(2021)</w:t>
      </w:r>
      <w:r>
        <w:t xml:space="preserve">   </w:t>
      </w:r>
      <w:r>
        <w:tab/>
      </w:r>
      <w:r>
        <w:t xml:space="preserve">20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Lupastean</w:t>
      </w:r>
      <w:r>
        <w:t xml:space="preserve">,</w:t>
      </w:r>
      <w:r>
        <w:t xml:space="preserve"> </w:t>
      </w:r>
      <w:r>
        <w:t xml:space="preserve">200</w:t>
      </w:r>
      <w:r>
        <w:t xml:space="preserve"> </w:t>
      </w:r>
      <w:r>
        <w:t xml:space="preserve">Wn.2d</w:t>
      </w:r>
      <w:r>
        <w:t xml:space="preserve"> </w:t>
      </w:r>
      <w:r>
        <w:t xml:space="preserve">26,</w:t>
      </w:r>
      <w:r>
        <w:t xml:space="preserve"> </w:t>
      </w:r>
      <w:r>
        <w:t xml:space="preserve">513</w:t>
      </w:r>
      <w:r>
        <w:t xml:space="preserve"> </w:t>
      </w:r>
      <w:r>
        <w:t xml:space="preserve">P.3d</w:t>
      </w:r>
      <w:r>
        <w:t xml:space="preserve"> </w:t>
      </w:r>
      <w:r>
        <w:t xml:space="preserve">781</w:t>
      </w:r>
      <w:r>
        <w:t xml:space="preserve"> </w:t>
      </w:r>
      <w:r>
        <w:t xml:space="preserve">(2022)</w:t>
      </w:r>
      <w:r>
        <w:t xml:space="preserve">   </w:t>
      </w:r>
      <w:r>
        <w:tab/>
      </w:r>
      <w:r>
        <w:t xml:space="preserve">14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Robinson</w:t>
      </w:r>
      <w:r>
        <w:t xml:space="preserve">,</w:t>
      </w:r>
      <w:r>
        <w:t xml:space="preserve"> </w:t>
      </w:r>
      <w:r>
        <w:t xml:space="preserve">153</w:t>
      </w:r>
      <w:r>
        <w:t xml:space="preserve"> </w:t>
      </w:r>
      <w:r>
        <w:t xml:space="preserve">Wn.2d</w:t>
      </w:r>
      <w:r>
        <w:t xml:space="preserve"> </w:t>
      </w:r>
      <w:r>
        <w:t xml:space="preserve">689,</w:t>
      </w:r>
      <w:r>
        <w:t xml:space="preserve"> </w:t>
      </w:r>
      <w:r>
        <w:t xml:space="preserve">107</w:t>
      </w:r>
      <w:r>
        <w:t xml:space="preserve"> </w:t>
      </w:r>
      <w:r>
        <w:t xml:space="preserve">P.3d</w:t>
      </w:r>
      <w:r>
        <w:t xml:space="preserve"> </w:t>
      </w:r>
      <w:r>
        <w:t xml:space="preserve">90</w:t>
      </w:r>
      <w:r>
        <w:t xml:space="preserve"> </w:t>
      </w:r>
      <w:r>
        <w:t xml:space="preserve">(2005)</w:t>
      </w:r>
      <w:r>
        <w:t xml:space="preserve">   </w:t>
      </w:r>
      <w:r>
        <w:tab/>
      </w:r>
      <w:r>
        <w:t xml:space="preserve">14, 15, 20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Scherf</w:t>
      </w:r>
      <w:r>
        <w:t xml:space="preserve">,</w:t>
      </w:r>
      <w:r>
        <w:t xml:space="preserve"> </w:t>
      </w:r>
      <w:r>
        <w:t xml:space="preserve">192</w:t>
      </w:r>
      <w:r>
        <w:t xml:space="preserve"> </w:t>
      </w:r>
      <w:r>
        <w:t xml:space="preserve">Wn.2d</w:t>
      </w:r>
      <w:r>
        <w:t xml:space="preserve"> </w:t>
      </w:r>
      <w:r>
        <w:t xml:space="preserve">350,</w:t>
      </w:r>
      <w:r>
        <w:t xml:space="preserve"> </w:t>
      </w:r>
      <w:r>
        <w:t xml:space="preserve">429</w:t>
      </w:r>
      <w:r>
        <w:t xml:space="preserve"> </w:t>
      </w:r>
      <w:r>
        <w:t xml:space="preserve">P.3d</w:t>
      </w:r>
      <w:r>
        <w:t xml:space="preserve"> </w:t>
      </w:r>
      <w:r>
        <w:t xml:space="preserve">776</w:t>
      </w:r>
      <w:r>
        <w:t xml:space="preserve"> </w:t>
      </w:r>
      <w:r>
        <w:t xml:space="preserve">(2018)</w:t>
      </w:r>
      <w:r>
        <w:t xml:space="preserve">   </w:t>
      </w:r>
      <w:r>
        <w:tab/>
      </w:r>
      <w:r>
        <w:t xml:space="preserve">14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Templeton</w:t>
      </w:r>
      <w:r>
        <w:t xml:space="preserve">,</w:t>
      </w:r>
      <w:r>
        <w:t xml:space="preserve"> </w:t>
      </w:r>
      <w:r>
        <w:t xml:space="preserve">148</w:t>
      </w:r>
      <w:r>
        <w:t xml:space="preserve"> </w:t>
      </w:r>
      <w:r>
        <w:t xml:space="preserve">Wn.2d</w:t>
      </w:r>
      <w:r>
        <w:t xml:space="preserve"> </w:t>
      </w:r>
      <w:r>
        <w:t xml:space="preserve">193,</w:t>
      </w:r>
      <w:r>
        <w:t xml:space="preserve"> </w:t>
      </w:r>
      <w:r>
        <w:t xml:space="preserve">59</w:t>
      </w:r>
      <w:r>
        <w:t xml:space="preserve"> </w:t>
      </w:r>
      <w:r>
        <w:t xml:space="preserve">P.3d</w:t>
      </w:r>
      <w:r>
        <w:t xml:space="preserve"> </w:t>
      </w:r>
      <w:r>
        <w:t xml:space="preserve">632</w:t>
      </w:r>
      <w:r>
        <w:t xml:space="preserve"> </w:t>
      </w:r>
      <w:r>
        <w:t xml:space="preserve">(2002)</w:t>
      </w:r>
      <w:r>
        <w:t xml:space="preserve">   </w:t>
      </w:r>
      <w:r>
        <w:tab/>
      </w:r>
      <w:r>
        <w:t xml:space="preserve">14, 15, 20</w:t>
      </w:r>
    </w:p>
    <w:p>
      <w:pPr>
        <w:keepLines/>
        <w:tabs>
          <w:tab w:val="right" w:leader="dot" w:pos="7200"/>
        </w:tabs>
        <w:spacing w:before="252" w:after="0" w:line="322" w:lineRule="exact"/>
        <w:ind w:left="420" w:right="1540" w:hanging="420"/>
      </w:pPr>
      <w:r>
        <w:rPr>
          <w:i/>
          <w:iCs/>
        </w:rPr>
        <w:t xml:space="preserve">State</w:t>
      </w:r>
      <w:r>
        <w:rPr>
          <w:i/>
          <w:iCs/>
        </w:rPr>
        <w:t xml:space="preserve"> </w:t>
      </w:r>
      <w:r>
        <w:rPr>
          <w:i/>
          <w:iCs/>
        </w:rPr>
        <w:t xml:space="preserve">v.</w:t>
      </w:r>
      <w:r>
        <w:rPr>
          <w:i/>
          <w:iCs/>
        </w:rPr>
        <w:t xml:space="preserve"> </w:t>
      </w:r>
      <w:r>
        <w:rPr>
          <w:i/>
          <w:iCs/>
        </w:rPr>
        <w:t xml:space="preserve">Tesfasilasye</w:t>
      </w:r>
      <w:r>
        <w:t xml:space="preserve">,</w:t>
      </w:r>
      <w:r>
        <w:t xml:space="preserve"> </w:t>
      </w:r>
      <w:r>
        <w:t xml:space="preserve">200</w:t>
      </w:r>
      <w:r>
        <w:t xml:space="preserve"> </w:t>
      </w:r>
      <w:r>
        <w:t xml:space="preserve">Wn.2d</w:t>
      </w:r>
      <w:r>
        <w:t xml:space="preserve"> </w:t>
      </w:r>
      <w:r>
        <w:t xml:space="preserve">345,</w:t>
      </w:r>
      <w:r>
        <w:t xml:space="preserve"> </w:t>
      </w:r>
      <w:r>
        <w:t xml:space="preserve">518</w:t>
      </w:r>
      <w:r>
        <w:t xml:space="preserve"> </w:t>
      </w:r>
      <w:r>
        <w:t xml:space="preserve">P.3d</w:t>
      </w:r>
      <w:r>
        <w:t xml:space="preserve"> </w:t>
      </w:r>
      <w:r>
        <w:t xml:space="preserve">193</w:t>
      </w:r>
      <w:r>
        <w:t xml:space="preserve"> </w:t>
      </w:r>
      <w:r>
        <w:t xml:space="preserve">(2022)</w:t>
      </w:r>
      <w:r>
        <w:t xml:space="preserve">   </w:t>
      </w:r>
      <w:r>
        <w:tab/>
      </w:r>
      <w:r>
        <w:t xml:space="preserve">20, 21, 22, 23</w:t>
      </w:r>
    </w:p>
    <w:p>
      <w:pPr>
        <w:keepLines/>
        <w:tabs>
          <w:tab w:val="right" w:leader="dot" w:pos="7200"/>
        </w:tabs>
        <w:spacing w:before="252" w:after="0" w:line="322" w:lineRule="exact"/>
        <w:ind w:left="420" w:right="1120" w:hanging="420"/>
      </w:pPr>
      <w:r>
        <w:rPr>
          <w:i/>
          <w:iCs/>
        </w:rPr>
        <w:t xml:space="preserve">Thaler</w:t>
      </w:r>
      <w:r>
        <w:rPr>
          <w:i/>
          <w:iCs/>
        </w:rPr>
        <w:t xml:space="preserve"> </w:t>
      </w:r>
      <w:r>
        <w:rPr>
          <w:i/>
          <w:iCs/>
        </w:rPr>
        <w:t xml:space="preserve">v.</w:t>
      </w:r>
      <w:r>
        <w:rPr>
          <w:i/>
          <w:iCs/>
        </w:rPr>
        <w:t xml:space="preserve"> </w:t>
      </w:r>
      <w:r>
        <w:rPr>
          <w:i/>
          <w:iCs/>
        </w:rPr>
        <w:t xml:space="preserve">Haynes</w:t>
      </w:r>
      <w:r>
        <w:t xml:space="preserve">,</w:t>
      </w:r>
      <w:r>
        <w:t xml:space="preserve"> </w:t>
      </w:r>
      <w:r>
        <w:t xml:space="preserve">559</w:t>
      </w:r>
      <w:r>
        <w:t xml:space="preserve"> </w:t>
      </w:r>
      <w:r>
        <w:t xml:space="preserve">U.S.</w:t>
      </w:r>
      <w:r>
        <w:t xml:space="preserve"> </w:t>
      </w:r>
      <w:r>
        <w:t xml:space="preserve">43,</w:t>
      </w:r>
      <w:r>
        <w:t xml:space="preserve"> </w:t>
      </w:r>
      <w:r>
        <w:t xml:space="preserve">130</w:t>
      </w:r>
      <w:r>
        <w:t xml:space="preserve"> </w:t>
      </w:r>
      <w:r>
        <w:t xml:space="preserve">S.</w:t>
      </w:r>
      <w:r>
        <w:t xml:space="preserve"> </w:t>
      </w:r>
      <w:r>
        <w:t xml:space="preserve">Ct.</w:t>
      </w:r>
      <w:r>
        <w:t xml:space="preserve"> </w:t>
      </w:r>
      <w:r>
        <w:t xml:space="preserve">1171,</w:t>
      </w:r>
      <w:r>
        <w:t xml:space="preserve"> </w:t>
      </w:r>
      <w:r>
        <w:t xml:space="preserve">175</w:t>
      </w:r>
      <w:r>
        <w:t xml:space="preserve"> </w:t>
      </w:r>
      <w:r>
        <w:t xml:space="preserve">L.</w:t>
      </w:r>
      <w:r>
        <w:t xml:space="preserve"> </w:t>
      </w:r>
      <w:r>
        <w:t xml:space="preserve">Ed.</w:t>
      </w:r>
      <w:r>
        <w:t xml:space="preserve"> </w:t>
      </w:r>
      <w:r>
        <w:t xml:space="preserve">2d</w:t>
      </w:r>
      <w:r>
        <w:t xml:space="preserve"> </w:t>
      </w:r>
      <w:r>
        <w:t xml:space="preserve">1003</w:t>
      </w:r>
      <w:r>
        <w:t xml:space="preserve"> </w:t>
      </w:r>
      <w:r>
        <w:t xml:space="preserve">(2010)</w:t>
      </w:r>
      <w:r>
        <w:t xml:space="preserve">   </w:t>
      </w:r>
      <w:r>
        <w:tab/>
      </w:r>
      <w:r>
        <w:t xml:space="preserve">24</w:t>
      </w:r>
    </w:p>
    <w:p>
      <w:pPr>
        <w:keepLines/>
        <w:tabs>
          <w:tab w:val="right" w:leader="dot" w:pos="720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Hasting</w:t>
      </w:r>
      <w:r>
        <w:t xml:space="preserve">,</w:t>
      </w:r>
      <w:r>
        <w:t xml:space="preserve"> </w:t>
      </w:r>
      <w:r>
        <w:t xml:space="preserve">461</w:t>
      </w:r>
      <w:r>
        <w:t xml:space="preserve"> </w:t>
      </w:r>
      <w:r>
        <w:t xml:space="preserve">U.S.</w:t>
      </w:r>
      <w:r>
        <w:t xml:space="preserve"> </w:t>
      </w:r>
      <w:r>
        <w:t xml:space="preserve">499,</w:t>
      </w:r>
      <w:r>
        <w:t xml:space="preserve"> </w:t>
      </w:r>
      <w:r>
        <w:t xml:space="preserve">103</w:t>
      </w:r>
      <w:r>
        <w:t xml:space="preserve"> </w:t>
      </w:r>
      <w:r>
        <w:t xml:space="preserve">S.</w:t>
      </w:r>
      <w:r>
        <w:t xml:space="preserve"> </w:t>
      </w:r>
      <w:r>
        <w:t xml:space="preserve">Ct.</w:t>
      </w:r>
      <w:r>
        <w:t xml:space="preserve"> </w:t>
      </w:r>
      <w:r>
        <w:t xml:space="preserve">1974,</w:t>
      </w:r>
      <w:r>
        <w:t xml:space="preserve"> </w:t>
      </w:r>
      <w:r>
        <w:t xml:space="preserve">76</w:t>
      </w:r>
      <w:r>
        <w:t xml:space="preserve"> </w:t>
      </w:r>
      <w:r>
        <w:t xml:space="preserve">L.</w:t>
      </w:r>
      <w:r>
        <w:t xml:space="preserve"> </w:t>
      </w:r>
      <w:r>
        <w:t xml:space="preserve">Ed.</w:t>
      </w:r>
      <w:r>
        <w:t xml:space="preserve"> </w:t>
      </w:r>
      <w:r>
        <w:t xml:space="preserve">2d</w:t>
      </w:r>
      <w:r>
        <w:t xml:space="preserve"> </w:t>
      </w:r>
      <w:r>
        <w:t xml:space="preserve">96</w:t>
      </w:r>
      <w:r>
        <w:t xml:space="preserve"> </w:t>
      </w:r>
      <w:r>
        <w:t xml:space="preserve">(1983)</w:t>
      </w:r>
      <w:r>
        <w:t xml:space="preserve">   </w:t>
      </w:r>
      <w:r>
        <w:tab/>
      </w:r>
      <w:r>
        <w:t xml:space="preserve">13</w:t>
      </w:r>
    </w:p>
    <w:p>
      <w:pPr>
        <w:keepNext/>
        <w:keepLines/>
        <w:spacing w:before="336" w:after="224" w:line="322" w:lineRule="exact"/>
        <w:ind w:left="0" w:firstLine="0"/>
        <w:jc w:val="left"/>
      </w:pPr>
      <w:r>
        <w:rPr>
          <w:b/>
          <w:bCs/>
        </w:rPr>
        <w:t xml:space="preserve">Rules</w:t>
      </w:r>
    </w:p>
    <w:p>
      <w:pPr>
        <w:keepLines/>
        <w:tabs>
          <w:tab w:val="right" w:leader="dot" w:pos="7200"/>
        </w:tabs>
        <w:spacing w:before="252" w:after="0" w:line="322" w:lineRule="exact"/>
        <w:ind w:left="420" w:right="1120" w:hanging="420"/>
      </w:pPr>
      <w:r>
        <w:t xml:space="preserve">GR</w:t>
      </w:r>
      <w:r>
        <w:t xml:space="preserve"> </w:t>
      </w:r>
      <w:r>
        <w:t xml:space="preserve">37</w:t>
      </w:r>
      <w:r>
        <w:t xml:space="preserve">   </w:t>
      </w:r>
      <w:r>
        <w:tab/>
      </w:r>
      <w:r>
        <w:rPr>
          <w:i/>
          <w:iCs/>
        </w:rPr>
        <w:t xml:space="preserve">passim</w:t>
      </w:r>
    </w:p>
    <w:p>
      <w:pPr>
        <w:keepLines/>
        <w:tabs>
          <w:tab w:val="right" w:leader="dot" w:pos="7200"/>
        </w:tabs>
        <w:spacing w:before="252" w:after="0" w:line="322" w:lineRule="exact"/>
        <w:ind w:left="420" w:right="1120" w:hanging="420"/>
      </w:pPr>
      <w:r>
        <w:t xml:space="preserve">GR</w:t>
      </w:r>
      <w:r>
        <w:t xml:space="preserve"> </w:t>
      </w:r>
      <w:r>
        <w:t xml:space="preserve">37(i)</w:t>
      </w:r>
      <w:r>
        <w:t xml:space="preserve">   </w:t>
      </w:r>
      <w:r>
        <w:tab/>
      </w:r>
      <w:r>
        <w:rPr>
          <w:i/>
          <w:iCs/>
        </w:rPr>
        <w:t xml:space="preserve">passim</w:t>
      </w:r>
    </w:p>
    <w:p>
      <w:pPr>
        <w:keepLines/>
        <w:tabs>
          <w:tab w:val="right" w:leader="dot" w:pos="7200"/>
        </w:tabs>
        <w:spacing w:before="252" w:after="0" w:line="322" w:lineRule="exact"/>
        <w:ind w:left="420" w:right="1680" w:hanging="420"/>
      </w:pPr>
      <w:r>
        <w:t xml:space="preserve">RAP</w:t>
      </w:r>
      <w:r>
        <w:t xml:space="preserve"> </w:t>
      </w:r>
      <w:r>
        <w:t xml:space="preserve">13.4(b)⁠(1)</w:t>
      </w:r>
      <w:r>
        <w:t xml:space="preserve">   </w:t>
      </w:r>
      <w:r>
        <w:tab/>
      </w:r>
      <w:r>
        <w:t xml:space="preserve">2, 4, 12, 16, 26</w:t>
      </w:r>
    </w:p>
    <w:p>
      <w:pPr>
        <w:keepLines/>
        <w:tabs>
          <w:tab w:val="right" w:leader="dot" w:pos="7200"/>
        </w:tabs>
        <w:spacing w:before="252" w:after="0" w:line="322" w:lineRule="exact"/>
        <w:ind w:left="420" w:right="1540" w:hanging="420"/>
      </w:pPr>
      <w:r>
        <w:t xml:space="preserve">RAP</w:t>
      </w:r>
      <w:r>
        <w:t xml:space="preserve"> </w:t>
      </w:r>
      <w:r>
        <w:t xml:space="preserve">13.4(b)⁠(4)</w:t>
      </w:r>
      <w:r>
        <w:t xml:space="preserve">   </w:t>
      </w:r>
      <w:r>
        <w:tab/>
      </w:r>
      <w:r>
        <w:t xml:space="preserve">3, 4, 5, 22, 25</w:t>
      </w:r>
    </w:p>
    <w:p>
      <w:pPr>
        <w:spacing w:before="0" w:after="0" w:line="1" w:lineRule="exact"/>
        <w:sectPr>
          <w:footerReference w:type="default" r:id="rIdXdPage"/>
          <w:pgSz w:w="12240" w:h="15840"/>
          <w:pgMar w:top="2160" w:right="2160" w:bottom="2304" w:left="2880" w:header="720" w:footer="1291"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Shawn Bell attacked the employees of two adult stores. He barged into the first store wearing a Halloween mask, grabbed a terrified worker by the throat, and stole cash and sex toys. Just days later, he raped an employee of the second store while wearing the same mask. A jury convicted Bell of rape, robbery, assault, and burglary.</w:t>
      </w:r>
    </w:p>
    <w:p>
      <w:pPr>
        <w:pStyle w:val="BodyText"/>
      </w:pPr>
      <w:r>
        <w:t xml:space="preserve">The Court of Appeals reversed those convictions for the sole reason that the prosecutor did not give formal notice of an intent to exercise a peremptory challenge based on a juror’s inattention. But the juror admitted his inattention during voir dire, and the trial judge verified the behavior. Any error in failing to strictly adhere to the procedure of GR</w:t>
      </w:r>
      <w:r>
        <w:t xml:space="preserve"> </w:t>
      </w:r>
      <w:r>
        <w:t xml:space="preserve">37(i)-​where the challenged juror had already provided notice of his inattention was harmless.</w:t>
      </w:r>
    </w:p>
    <w:p>
      <w:pPr>
        <w:pStyle w:val="BodyText"/>
      </w:pPr>
      <w:r>
        <w:t xml:space="preserve">Under this Court’s precedent, harmless error analysis applies when an alleged error involves violation of a court rule. The Court of Appeals, however, declined to engage in harmless error analysis and instead applied automatic reversal-which is reserved for the most egregious constitutional violations-to the alleged procedural error in this case. Automatic reversal is unwarranted when (1) a juror admits his inattention prior to the exercise of a peremptory challenge, (2) the trial court confirms this fact, and (3) an objective observer could not view race as a factor in the exercise of the strike. The Court of Appeals’ expansion of automatic reversal to this rule-based harmless error warrants review. RAP 13.4(b)⁠(1)</w:t>
      </w:r>
      <w:r>
        <w:t xml:space="preserve">.</w:t>
      </w:r>
    </w:p>
    <w:p>
      <w:pPr>
        <w:pStyle w:val="BodyText"/>
      </w:pPr>
      <w:r>
        <w:t xml:space="preserve">At a minimum, clarification is needed from this Court regarding whether an alleged procedural violation involving GR 3 7 requires automatic reversal where there is no substantive violation, i.e., an objective observer could not view race as a factor in the use of a peremptory challenge. A defendant’s otherwise valid convictions should not be set aside, requiring rape and assault victims to relive their trauma and testify at yet another trial, when the defendant received a fair trial and any procedural misstep during jury selection was harmless. Leaving this important issue unresolved will lead to inconsistent outcomes and the unnecessary reversal of criminal convictions in the lower courts. RAP 13.4(b)⁠(4)</w:t>
      </w:r>
      <w:r>
        <w:t xml:space="preserve">.</w:t>
      </w:r>
    </w:p>
    <w:p>
      <w:pPr>
        <w:pStyle w:val="BodyText"/>
      </w:pPr>
      <w:r>
        <w:t xml:space="preserve">The Court of Appeals’ opinion also shows no deference to the trial court’s factual findings. This Court should clarify the standard of review for challenges under GR 3 7. RAP 13.4(b)⁠(4)</w:t>
      </w:r>
      <w:r>
        <w:t xml:space="preserve">.</w:t>
      </w:r>
    </w:p>
    <w:p>
      <w:pPr>
        <w:keepNext/>
        <w:keepLines/>
        <w:spacing w:before="448" w:after="336" w:line="322" w:lineRule="exact"/>
        <w:ind w:left="0" w:firstLine="0"/>
        <w:jc w:val="center"/>
      </w:pPr>
      <w:r>
        <w:rPr>
          <w:b/>
          <w:bCs/>
        </w:rPr>
        <w:t xml:space="preserve">II.</w:t>
      </w:r>
      <w:r>
        <w:rPr>
          <w:b/>
          <w:bCs/>
        </w:rPr>
        <w:t xml:space="preserve"> </w:t>
      </w:r>
      <w:r>
        <w:rPr>
          <w:b/>
          <w:bCs/>
        </w:rPr>
        <w:t xml:space="preserve">IDENTITY</w:t>
      </w:r>
      <w:r>
        <w:rPr>
          <w:b/>
          <w:bCs/>
        </w:rPr>
        <w:t xml:space="preserve"> </w:t>
      </w:r>
      <w:r>
        <w:rPr>
          <w:b/>
          <w:bCs/>
        </w:rPr>
        <w:t xml:space="preserve">OF</w:t>
      </w:r>
      <w:r>
        <w:rPr>
          <w:b/>
          <w:bCs/>
        </w:rPr>
        <w:t xml:space="preserve"> </w:t>
      </w:r>
      <w:r>
        <w:rPr>
          <w:b/>
          <w:bCs/>
        </w:rPr>
        <w:t xml:space="preserve">PETITIONER</w:t>
      </w:r>
    </w:p>
    <w:p>
      <w:pPr>
        <w:pStyle w:val="BodyText"/>
      </w:pPr>
      <w:r>
        <w:t xml:space="preserve">Petitioner, the State of Washington, respondent below, asks this Court to accept review of the Court of Appeals’ decision reversing Bell’s convictions and remanding for a new trial.</w:t>
      </w:r>
    </w:p>
    <w:p>
      <w:pPr>
        <w:keepNext/>
        <w:keepLines/>
        <w:spacing w:before="448" w:after="336" w:line="322" w:lineRule="exact"/>
        <w:ind w:left="0" w:firstLine="0"/>
        <w:jc w:val="center"/>
      </w:pPr>
      <w:r>
        <w:rPr>
          <w:b/>
          <w:bCs/>
        </w:rPr>
        <w:t xml:space="preserve">III.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DECISION</w:t>
      </w:r>
    </w:p>
    <w:p>
      <w:pPr>
        <w:pStyle w:val="BodyText"/>
      </w:pPr>
      <w:r>
        <w:t xml:space="preserve">The State asks this Court to grant review of the unpublished Court of Appeals decision filed on April 15, 2024,</w:t>
      </w:r>
      <w:r>
        <w:t xml:space="preserve"> </w:t>
      </w:r>
      <w:r>
        <w:rPr>
          <w:i/>
          <w:iCs/>
        </w:rPr>
        <w:t xml:space="preserve">inState v. Bell,</w:t>
      </w:r>
      <w:r>
        <w:t xml:space="preserve"> </w:t>
      </w:r>
      <w:r>
        <w:t xml:space="preserve">No. 85684</w:t>
      </w:r>
      <w:r>
        <w:noBreakHyphen/>
      </w:r>
      <w:r>
        <w:t xml:space="preserve">7-I.</w:t>
      </w:r>
      <w:r>
        <w:t xml:space="preserve"> </w:t>
      </w:r>
      <w:r>
        <w:rPr>
          <w:i/>
          <w:iCs/>
        </w:rPr>
        <w:t xml:space="preserve">See</w:t>
      </w:r>
      <w:r>
        <w:t xml:space="preserve"> </w:t>
      </w:r>
      <w:r>
        <w:t xml:space="preserve">Appendix 1</w:t>
      </w:r>
      <w:r>
        <w:noBreakHyphen/>
      </w:r>
      <w:r>
        <w:t xml:space="preserve">16. The Court of Appeals denied the State’s motion for reconsideration of the initial February 5, 2024, opinion but withdrew the opinion and filed a substitute opinion on April 15, 2024. Appx. 17.</w:t>
      </w:r>
    </w:p>
    <w:p>
      <w:pPr>
        <w:keepNext/>
        <w:keepLines/>
        <w:spacing w:before="448" w:after="336" w:line="322" w:lineRule="exact"/>
        <w:ind w:left="0" w:firstLine="0"/>
        <w:jc w:val="center"/>
      </w:pPr>
      <w:r>
        <w:rPr>
          <w:b/>
          <w:bCs/>
        </w:rPr>
        <w:t xml:space="preserve">IV.</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A. Should this Court grant review under RAP 13.4(b)⁠(1)</w:t>
      </w:r>
      <w:r>
        <w:t xml:space="preserve">, where automatic reversal for an alleged procedural violation of GR</w:t>
      </w:r>
      <w:r>
        <w:t xml:space="preserve"> </w:t>
      </w:r>
      <w:r>
        <w:t xml:space="preserve">37(i) involving notice of juror inattention, when the juror admitted inattention, conflicts with this Court’s precedent subjecting alleged rule violations to harmless error analysis?</w:t>
      </w:r>
    </w:p>
    <w:p>
      <w:pPr>
        <w:pStyle w:val="BodyText"/>
      </w:pPr>
      <w:r>
        <w:t xml:space="preserve">B. Should this Court grant review under RAP 13.4(b)⁠(4)</w:t>
      </w:r>
      <w:r>
        <w:t xml:space="preserve"> </w:t>
      </w:r>
      <w:r>
        <w:t xml:space="preserve">to clarify whether an alleged procedural violation involving GR</w:t>
      </w:r>
      <w:r>
        <w:t xml:space="preserve"> </w:t>
      </w:r>
      <w:r>
        <w:t xml:space="preserve">37 requires automatic reversal when there is no substantive violation such that an objective observer could not view race as a factor in the use of a peremptory challenge?</w:t>
      </w:r>
    </w:p>
    <w:p>
      <w:pPr>
        <w:pStyle w:val="BodyText"/>
      </w:pPr>
      <w:r>
        <w:t xml:space="preserve">C. Should this Court grant review under RAP 13.4(b)⁠(4)</w:t>
      </w:r>
      <w:r>
        <w:t xml:space="preserve"> </w:t>
      </w:r>
      <w:r>
        <w:t xml:space="preserve">to clarify the standard of review for a trial court’s factual findings under GR</w:t>
      </w:r>
      <w:r>
        <w:t xml:space="preserve"> </w:t>
      </w:r>
      <w:r>
        <w:t xml:space="preserve">37?</w:t>
      </w:r>
    </w:p>
    <w:p>
      <w:pPr>
        <w:keepNext/>
        <w:keepLines/>
        <w:spacing w:before="448" w:after="336" w:line="322" w:lineRule="exact"/>
        <w:ind w:left="0" w:firstLine="0"/>
        <w:jc w:val="center"/>
      </w:pPr>
      <w:r>
        <w:rPr>
          <w:b/>
          <w:bCs/>
        </w:rPr>
        <w:t xml:space="preserve">V.</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A.</w:t>
      </w:r>
      <w:r>
        <w:rPr>
          <w:b/>
          <w:bCs/>
        </w:rPr>
        <w:t xml:space="preserve"> </w:t>
      </w:r>
      <w:r>
        <w:rPr>
          <w:b/>
          <w:bCs/>
        </w:rPr>
        <w:t xml:space="preserve">Bell</w:t>
      </w:r>
      <w:r>
        <w:rPr>
          <w:b/>
          <w:bCs/>
        </w:rPr>
        <w:t xml:space="preserve"> </w:t>
      </w:r>
      <w:r>
        <w:rPr>
          <w:b/>
          <w:bCs/>
        </w:rPr>
        <w:t xml:space="preserve">Violently</w:t>
      </w:r>
      <w:r>
        <w:rPr>
          <w:b/>
          <w:bCs/>
        </w:rPr>
        <w:t xml:space="preserve"> </w:t>
      </w:r>
      <w:r>
        <w:rPr>
          <w:b/>
          <w:bCs/>
        </w:rPr>
        <w:t xml:space="preserve">Attacked</w:t>
      </w:r>
      <w:r>
        <w:rPr>
          <w:b/>
          <w:bCs/>
        </w:rPr>
        <w:t xml:space="preserve"> </w:t>
      </w:r>
      <w:r>
        <w:rPr>
          <w:b/>
          <w:bCs/>
        </w:rPr>
        <w:t xml:space="preserve">Store</w:t>
      </w:r>
      <w:r>
        <w:rPr>
          <w:b/>
          <w:bCs/>
        </w:rPr>
        <w:t xml:space="preserve"> </w:t>
      </w:r>
      <w:r>
        <w:rPr>
          <w:b/>
          <w:bCs/>
        </w:rPr>
        <w:t xml:space="preserve">Employees</w:t>
      </w:r>
      <w:r>
        <w:rPr>
          <w:b/>
          <w:bCs/>
        </w:rPr>
        <w:t xml:space="preserve"> </w:t>
      </w:r>
      <w:r>
        <w:rPr>
          <w:b/>
          <w:bCs/>
        </w:rPr>
        <w:t xml:space="preserve">Late</w:t>
      </w:r>
      <w:r>
        <w:rPr>
          <w:b/>
          <w:bCs/>
        </w:rPr>
        <w:t xml:space="preserve"> </w:t>
      </w:r>
      <w:r>
        <w:rPr>
          <w:b/>
          <w:bCs/>
        </w:rPr>
        <w:t xml:space="preserve">at</w:t>
      </w:r>
      <w:r>
        <w:rPr>
          <w:b/>
          <w:bCs/>
        </w:rPr>
        <w:t xml:space="preserve"> </w:t>
      </w:r>
      <w:r>
        <w:rPr>
          <w:b/>
          <w:bCs/>
        </w:rPr>
        <w:t xml:space="preserve">Night</w:t>
      </w:r>
      <w:r>
        <w:rPr>
          <w:b/>
          <w:bCs/>
        </w:rPr>
        <w:t xml:space="preserve"> </w:t>
      </w:r>
      <w:r>
        <w:rPr>
          <w:b/>
          <w:bCs/>
        </w:rPr>
        <w:t xml:space="preserve">While</w:t>
      </w:r>
      <w:r>
        <w:rPr>
          <w:b/>
          <w:bCs/>
        </w:rPr>
        <w:t xml:space="preserve"> </w:t>
      </w:r>
      <w:r>
        <w:rPr>
          <w:b/>
          <w:bCs/>
        </w:rPr>
        <w:t xml:space="preserve">Wearing</w:t>
      </w:r>
      <w:r>
        <w:rPr>
          <w:b/>
          <w:bCs/>
        </w:rPr>
        <w:t xml:space="preserve"> </w:t>
      </w:r>
      <w:r>
        <w:rPr>
          <w:b/>
          <w:bCs/>
        </w:rPr>
        <w:t xml:space="preserve">a</w:t>
      </w:r>
      <w:r>
        <w:rPr>
          <w:b/>
          <w:bCs/>
        </w:rPr>
        <w:t xml:space="preserve"> </w:t>
      </w:r>
      <w:r>
        <w:rPr>
          <w:b/>
          <w:bCs/>
        </w:rPr>
        <w:t xml:space="preserve">Halloween</w:t>
      </w:r>
      <w:r>
        <w:rPr>
          <w:b/>
          <w:bCs/>
        </w:rPr>
        <w:t xml:space="preserve"> </w:t>
      </w:r>
      <w:r>
        <w:rPr>
          <w:b/>
          <w:bCs/>
        </w:rPr>
        <w:t xml:space="preserve">Mask.</w:t>
      </w:r>
    </w:p>
    <w:p>
      <w:pPr>
        <w:pStyle w:val="BodyText"/>
      </w:pPr>
      <w:r>
        <w:t xml:space="preserve">A large man in a distinctive Halloween mask targeted two adult stores within days of each other. He entered the first store seconds before it closed, grabbed an employee by the throat, and demanded she empty the cash registers into his bag. RP 822</w:t>
      </w:r>
      <w:r>
        <w:noBreakHyphen/>
      </w:r>
      <w:r>
        <w:t xml:space="preserve">26. He stole cash and an assortment of sex merchandise but was thwarted in his attempt to abduct one of the employees. RP 828- 30, 851</w:t>
      </w:r>
      <w:r>
        <w:noBreakHyphen/>
      </w:r>
      <w:r>
        <w:t xml:space="preserve">52, 856</w:t>
      </w:r>
      <w:r>
        <w:noBreakHyphen/>
      </w:r>
      <w:r>
        <w:t xml:space="preserve">58. He arrived at the second store after closing, was unable to enter, and raped one employee in front of the other. RP 948</w:t>
      </w:r>
      <w:r>
        <w:noBreakHyphen/>
      </w:r>
      <w:r>
        <w:t xml:space="preserve">54, 964</w:t>
      </w:r>
      <w:r>
        <w:noBreakHyphen/>
      </w:r>
      <w:r>
        <w:t xml:space="preserve">70, 1040</w:t>
      </w:r>
      <w:r>
        <w:noBreakHyphen/>
      </w:r>
      <w:r>
        <w:t xml:space="preserve">49. Both incidents were captured on surveillance video. Exhibits 100, 102.</w:t>
      </w:r>
    </w:p>
    <w:p>
      <w:pPr>
        <w:pStyle w:val="BodyText"/>
      </w:pPr>
      <w:r>
        <w:t xml:space="preserve">Police identified Shawn Bell as the masked assailant.</w:t>
      </w:r>
      <w:r>
        <w:t xml:space="preserve"> </w:t>
      </w:r>
      <w:r>
        <w:rPr>
          <w:i/>
          <w:iCs/>
        </w:rPr>
        <w:t xml:space="preserve">See</w:t>
      </w:r>
      <w:r>
        <w:t xml:space="preserve"> </w:t>
      </w:r>
      <w:r>
        <w:t xml:space="preserve">RP 1352</w:t>
      </w:r>
      <w:r>
        <w:noBreakHyphen/>
      </w:r>
      <w:r>
        <w:t xml:space="preserve">56, 1401</w:t>
      </w:r>
      <w:r>
        <w:noBreakHyphen/>
      </w:r>
      <w:r>
        <w:t xml:space="preserve">06. Bell posted pictures of himself wearing the same Halloween mask online, he left his DNA in the rape victim’s mouth, and police located the Halloween mask and stolen sex merchandise in his business/​residence. RP 688</w:t>
      </w:r>
      <w:r>
        <w:noBreakHyphen/>
      </w:r>
      <w:r>
        <w:t xml:space="preserve">89, 783</w:t>
      </w:r>
      <w:r>
        <w:noBreakHyphen/>
      </w:r>
      <w:r>
        <w:t xml:space="preserve">84, 866</w:t>
      </w:r>
      <w:r>
        <w:noBreakHyphen/>
      </w:r>
      <w:r>
        <w:t xml:space="preserve">68, 970</w:t>
      </w:r>
      <w:r>
        <w:noBreakHyphen/>
      </w:r>
      <w:r>
        <w:t xml:space="preserve">72, 1000, 1003, 1325</w:t>
      </w:r>
      <w:r>
        <w:noBreakHyphen/>
      </w:r>
      <w:r>
        <w:t xml:space="preserve">31, 1340</w:t>
      </w:r>
      <w:r>
        <w:noBreakHyphen/>
      </w:r>
      <w:r>
        <w:t xml:space="preserve">44, 1347- 48, 1375, 1401</w:t>
      </w:r>
      <w:r>
        <w:noBreakHyphen/>
      </w:r>
      <w:r>
        <w:t xml:space="preserve">03, 1417</w:t>
      </w:r>
      <w:r>
        <w:noBreakHyphen/>
      </w:r>
      <w:r>
        <w:t xml:space="preserve">19, 1482</w:t>
      </w:r>
      <w:r>
        <w:noBreakHyphen/>
      </w:r>
      <w:r>
        <w:t xml:space="preserve">84, 1489</w:t>
      </w:r>
      <w:r>
        <w:noBreakHyphen/>
      </w:r>
      <w:r>
        <w:t xml:space="preserve">93; Exhibit 247.</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Exercised</w:t>
      </w:r>
      <w:r>
        <w:rPr>
          <w:b/>
          <w:bCs/>
        </w:rPr>
        <w:t xml:space="preserve"> </w:t>
      </w:r>
      <w:r>
        <w:rPr>
          <w:b/>
          <w:bCs/>
        </w:rPr>
        <w:t xml:space="preserve">a</w:t>
      </w:r>
      <w:r>
        <w:rPr>
          <w:b/>
          <w:bCs/>
        </w:rPr>
        <w:t xml:space="preserve"> </w:t>
      </w:r>
      <w:r>
        <w:rPr>
          <w:b/>
          <w:bCs/>
        </w:rPr>
        <w:t xml:space="preserve">Peremptory</w:t>
      </w:r>
      <w:r>
        <w:rPr>
          <w:b/>
          <w:bCs/>
        </w:rPr>
        <w:t xml:space="preserve"> </w:t>
      </w:r>
      <w:r>
        <w:rPr>
          <w:b/>
          <w:bCs/>
        </w:rPr>
        <w:t xml:space="preserve">Challenge</w:t>
      </w:r>
      <w:r>
        <w:rPr>
          <w:b/>
          <w:bCs/>
        </w:rPr>
        <w:t xml:space="preserve"> </w:t>
      </w:r>
      <w:r>
        <w:rPr>
          <w:b/>
          <w:bCs/>
        </w:rPr>
        <w:t xml:space="preserve">Against</w:t>
      </w:r>
      <w:r>
        <w:rPr>
          <w:b/>
          <w:bCs/>
        </w:rPr>
        <w:t xml:space="preserve"> </w:t>
      </w:r>
      <w:r>
        <w:rPr>
          <w:b/>
          <w:bCs/>
        </w:rPr>
        <w:t xml:space="preserve">a</w:t>
      </w:r>
      <w:r>
        <w:rPr>
          <w:b/>
          <w:bCs/>
        </w:rPr>
        <w:t xml:space="preserve"> </w:t>
      </w:r>
      <w:r>
        <w:rPr>
          <w:b/>
          <w:bCs/>
        </w:rPr>
        <w:t xml:space="preserve">Juror</w:t>
      </w:r>
      <w:r>
        <w:rPr>
          <w:b/>
          <w:bCs/>
        </w:rPr>
        <w:t xml:space="preserve"> </w:t>
      </w:r>
      <w:r>
        <w:rPr>
          <w:b/>
          <w:bCs/>
        </w:rPr>
        <w:t xml:space="preserve">Who</w:t>
      </w:r>
      <w:r>
        <w:rPr>
          <w:b/>
          <w:bCs/>
        </w:rPr>
        <w:t xml:space="preserve"> </w:t>
      </w:r>
      <w:r>
        <w:rPr>
          <w:b/>
          <w:bCs/>
        </w:rPr>
        <w:t xml:space="preserve">Admitted</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Paying</w:t>
      </w:r>
      <w:r>
        <w:rPr>
          <w:b/>
          <w:bCs/>
        </w:rPr>
        <w:t xml:space="preserve"> </w:t>
      </w:r>
      <w:r>
        <w:rPr>
          <w:b/>
          <w:bCs/>
        </w:rPr>
        <w:t xml:space="preserve">Attention</w:t>
      </w:r>
      <w:r>
        <w:rPr>
          <w:b/>
          <w:bCs/>
        </w:rPr>
        <w:t xml:space="preserve"> </w:t>
      </w:r>
      <w:r>
        <w:rPr>
          <w:b/>
          <w:bCs/>
        </w:rPr>
        <w:t xml:space="preserve">During</w:t>
      </w:r>
      <w:r>
        <w:rPr>
          <w:b/>
          <w:bCs/>
        </w:rPr>
        <w:t xml:space="preserve"> </w:t>
      </w:r>
      <w:r>
        <w:rPr>
          <w:b/>
          <w:bCs/>
        </w:rPr>
        <w:t xml:space="preserve">Voir</w:t>
      </w:r>
      <w:r>
        <w:rPr>
          <w:b/>
          <w:bCs/>
        </w:rPr>
        <w:t xml:space="preserve"> </w:t>
      </w:r>
      <w:r>
        <w:rPr>
          <w:b/>
          <w:bCs/>
        </w:rPr>
        <w:t xml:space="preserve">Dire.</w:t>
      </w:r>
    </w:p>
    <w:p>
      <w:pPr>
        <w:pStyle w:val="BodyText"/>
      </w:pPr>
      <w:r>
        <w:t xml:space="preserve">The State charged Bell with robbery in the second degree, attempted kidnapping in the first degree, rape in the second degree, assault in the second degree, and burglary in the first degree. CP 1</w:t>
      </w:r>
      <w:r>
        <w:noBreakHyphen/>
      </w:r>
      <w:r>
        <w:t xml:space="preserve">4. His case proceeded to jury trial. CP 212.</w:t>
      </w:r>
    </w:p>
    <w:p>
      <w:pPr>
        <w:pStyle w:val="BodyText"/>
      </w:pPr>
      <w:r>
        <w:t xml:space="preserve">During the last round of general voir dire, defense counsel called on a juror and asked for the juror’s views on the presumption of innocence. RP 616</w:t>
      </w:r>
      <w:r>
        <w:noBreakHyphen/>
      </w:r>
      <w:r>
        <w:t xml:space="preserve">17. After that juror responded, defense counsel asked the juror sitting next to him, Juror 39, for his views. RP 617 (</w:t>
      </w:r>
      <w:r>
        <w:t xml:space="preserve">“Juror 39, what do you think?”</w:t>
      </w:r>
      <w:r>
        <w:t xml:space="preserve">);</w:t>
      </w:r>
      <w:r>
        <w:t xml:space="preserve"> </w:t>
      </w:r>
      <w:r>
        <w:rPr>
          <w:i/>
          <w:iCs/>
        </w:rPr>
        <w:t xml:space="preserve">see also</w:t>
      </w:r>
      <w:r>
        <w:t xml:space="preserve"> </w:t>
      </w:r>
      <w:r>
        <w:t xml:space="preserve">RP 564, 626. Juror 39 responded,</w:t>
      </w:r>
      <w:r>
        <w:t xml:space="preserve"> </w:t>
      </w:r>
      <w:r>
        <w:t xml:space="preserve">“I wasn’t paying attention. I lost track, What was the question?”</w:t>
      </w:r>
      <w:r>
        <w:t xml:space="preserve"> </w:t>
      </w:r>
      <w:r>
        <w:t xml:space="preserve">RP 617. Defense counsel repeated the question for the juror. RP 617.</w:t>
      </w:r>
    </w:p>
    <w:p>
      <w:pPr>
        <w:pStyle w:val="BodyTextNote"/>
      </w:pPr>
      <w:r>
        <w:t xml:space="preserve">Immediately after this round of questioning, the parties began to exercise peremptory challenges. RP 622. The State sought to exercise a peremptory challenge against Juror 39. CP 91. Defense objected under GR</w:t>
      </w:r>
      <w:r>
        <w:t xml:space="preserve"> </w:t>
      </w:r>
      <w:r>
        <w:t xml:space="preserve">37, noting Juror 39 appeared to be a person of color.</w:t>
      </w:r>
      <w:r>
        <w:rPr>
          <w:rStyle w:val="FootnoteReference"/>
        </w:rPr>
        <w:footnoteReference w:id="9"/>
      </w:r>
      <w:r>
        <w:t xml:space="preserve"> </w:t>
      </w:r>
      <w:r>
        <w:t xml:space="preserve">CP 91; RP 625</w:t>
      </w:r>
      <w:r>
        <w:noBreakHyphen/>
      </w:r>
      <w:r>
        <w:t xml:space="preserve">26. The State then explained that the reason for the peremptory challenge was Juror 39’s admitted inattention. RP 626</w:t>
      </w:r>
      <w:r>
        <w:noBreakHyphen/>
      </w:r>
      <w:r>
        <w:t xml:space="preserve">27. The prosecutor explained,</w:t>
      </w:r>
    </w:p>
    <w:p>
      <w:pPr>
        <w:pStyle w:val="XdQuoteOnly"/>
      </w:pPr>
      <w:r>
        <w:t xml:space="preserve">My concern, obviously, is if he is not paying attention during voir dire to the point that – I think Mr. Tolzin was on Juror 41, but whoever it was, it was right next to Juror 39. Mr. Tolzin was inquiring of the juror right next to Juror 39. . . . I understand under GR</w:t>
      </w:r>
      <w:r>
        <w:t xml:space="preserve"> </w:t>
      </w:r>
      <w:r>
        <w:t xml:space="preserve">37 in the past the issues have been, you know, a perception that someone is not paying attention or a perception that someone is disengaged. In this case, this juror overtly said,</w:t>
      </w:r>
      <w:r>
        <w:t xml:space="preserve"> </w:t>
      </w:r>
      <w:r>
        <w:t xml:space="preserve">“I wasn’t paying attention,”</w:t>
      </w:r>
      <w:r>
        <w:t xml:space="preserve"> </w:t>
      </w:r>
      <w:r>
        <w:t xml:space="preserve">so that’s my issue.</w:t>
      </w:r>
    </w:p>
    <w:p>
      <w:pPr>
        <w:pStyle w:val="BodyText"/>
      </w:pPr>
      <w:r>
        <w:t xml:space="preserve">RP 626</w:t>
      </w:r>
      <w:r>
        <w:noBreakHyphen/>
      </w:r>
      <w:r>
        <w:t xml:space="preserve">27.</w:t>
      </w:r>
    </w:p>
    <w:p>
      <w:pPr>
        <w:pStyle w:val="BodyText"/>
      </w:pPr>
      <w:r>
        <w:t xml:space="preserve">Defense counsel acknowledged hearing Juror 39’s comment about not paying attention. RP 627. Counsel did not raise GR</w:t>
      </w:r>
      <w:r>
        <w:t xml:space="preserve"> </w:t>
      </w:r>
      <w:r>
        <w:t xml:space="preserve">37(i) and argue the State failed to give notice of its intent to strike Juror 3 9 for inattention.</w:t>
      </w:r>
    </w:p>
    <w:p>
      <w:pPr>
        <w:pStyle w:val="BodyText"/>
      </w:pPr>
      <w:r>
        <w:t xml:space="preserve">The trial court observed that Juror 39 appeared to be a person of color and also confirmed hearing the juror’s comment about not paying attention. RP 627</w:t>
      </w:r>
      <w:r>
        <w:noBreakHyphen/>
      </w:r>
      <w:r>
        <w:t xml:space="preserve">28. The court further noted that Juror 39’s comments during voir dire generally</w:t>
      </w:r>
      <w:r>
        <w:t xml:space="preserve"> </w:t>
      </w:r>
      <w:r>
        <w:t xml:space="preserve">“seemed to demonstrate either a confusion about the circumstances that he was being questioned about or inattention.”</w:t>
      </w:r>
      <w:r>
        <w:t xml:space="preserve"> </w:t>
      </w:r>
      <w:r>
        <w:t xml:space="preserve">RP 627.</w:t>
      </w:r>
    </w:p>
    <w:p>
      <w:pPr>
        <w:pStyle w:val="BodyText"/>
      </w:pPr>
      <w:r>
        <w:t xml:space="preserve">The court reviewed GR</w:t>
      </w:r>
      <w:r>
        <w:t xml:space="preserve"> </w:t>
      </w:r>
      <w:r>
        <w:t xml:space="preserve">37(i), which provides that if a party intends to offer juror inattention as the justification for a peremptory challenge,</w:t>
      </w:r>
      <w:r>
        <w:t xml:space="preserve"> </w:t>
      </w:r>
      <w:r>
        <w:t xml:space="preserve">“that party must provide reasonable notice to the Court and the other parties so the behavior can be verified and addressed in a timely manner. A lack of corroboration by the judge or opposing counsel verifying the behavior shall invalid[ate] the given reason for the peremptory challenge.”</w:t>
      </w:r>
      <w:r>
        <w:t xml:space="preserve"> </w:t>
      </w:r>
      <w:r>
        <w:t xml:space="preserve">RP 630.</w:t>
      </w:r>
    </w:p>
    <w:p>
      <w:pPr>
        <w:pStyle w:val="BodyText"/>
      </w:pPr>
      <w:r>
        <w:t xml:space="preserve">The trial court found that</w:t>
      </w:r>
      <w:r>
        <w:t xml:space="preserve"> </w:t>
      </w:r>
      <w:r>
        <w:t xml:space="preserve">“Juror 39’s inattention was corroborated by his own acknowledgment, and he even said so. It’s on the record.”</w:t>
      </w:r>
      <w:r>
        <w:t xml:space="preserve"> </w:t>
      </w:r>
      <w:r>
        <w:t xml:space="preserve">The judge further recounted his own observations of the juror during voir dire:</w:t>
      </w:r>
    </w:p>
    <w:p>
      <w:pPr>
        <w:pStyle w:val="XdQuoteOnly"/>
      </w:pPr>
      <w:r>
        <w:t xml:space="preserve">By his own admission, [Juror 39] wasn’t paying attention. My observations of him because he’s sitting right in the front row is his mind was drifting throughout the questioning. I didn’t focus on relentlessly, but, like I said, he is right in front of my field of vision. I did notice that he was potentially staring off and not completely tracking the proceedings.</w:t>
      </w:r>
    </w:p>
    <w:p>
      <w:pPr>
        <w:pStyle w:val="BodyText"/>
      </w:pPr>
      <w:r>
        <w:t xml:space="preserve">RP 632.</w:t>
      </w:r>
    </w:p>
    <w:p>
      <w:pPr>
        <w:pStyle w:val="BodyText"/>
      </w:pPr>
      <w:r>
        <w:t xml:space="preserve">In addition to corroborating the juror’s admitted inattention, the trial court analyzed Bell’s objection under GR</w:t>
      </w:r>
      <w:r>
        <w:t xml:space="preserve"> </w:t>
      </w:r>
      <w:r>
        <w:t xml:space="preserve">37(g). RP 628</w:t>
      </w:r>
      <w:r>
        <w:noBreakHyphen/>
      </w:r>
      <w:r>
        <w:t xml:space="preserve">29, 632. Based on the total circumstances, the trial court denied Bell’s GR</w:t>
      </w:r>
      <w:r>
        <w:t xml:space="preserve"> </w:t>
      </w:r>
      <w:r>
        <w:t xml:space="preserve">37 objection and allowed the State’s peremptory challenge. RP 63 2. Juror 3 9 did not sit on Bell’s jury. CP 106.</w:t>
      </w:r>
    </w:p>
    <w:p>
      <w:pPr>
        <w:pStyle w:val="BodyText"/>
      </w:pPr>
      <w:r>
        <w:t xml:space="preserve">The jury found Bell guilty of second-degree robbery, second-degree rape, second-degree assault, and first-degree burglary. RP 1660</w:t>
      </w:r>
      <w:r>
        <w:noBreakHyphen/>
      </w:r>
      <w:r>
        <w:t xml:space="preserve">61.</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Reversed</w:t>
      </w:r>
      <w:r>
        <w:rPr>
          <w:b/>
          <w:bCs/>
        </w:rPr>
        <w:t xml:space="preserve"> </w:t>
      </w:r>
      <w:r>
        <w:rPr>
          <w:b/>
          <w:bCs/>
        </w:rPr>
        <w:t xml:space="preserve">Bell’s</w:t>
      </w:r>
      <w:r>
        <w:rPr>
          <w:b/>
          <w:bCs/>
        </w:rPr>
        <w:t xml:space="preserve"> </w:t>
      </w:r>
      <w:r>
        <w:rPr>
          <w:b/>
          <w:bCs/>
        </w:rPr>
        <w:t xml:space="preserve">Convictions</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Give</w:t>
      </w:r>
      <w:r>
        <w:rPr>
          <w:b/>
          <w:bCs/>
        </w:rPr>
        <w:t xml:space="preserve"> </w:t>
      </w:r>
      <w:r>
        <w:rPr>
          <w:b/>
          <w:bCs/>
        </w:rPr>
        <w:t xml:space="preserve">Notice</w:t>
      </w:r>
      <w:r>
        <w:rPr>
          <w:b/>
          <w:bCs/>
        </w:rPr>
        <w:t xml:space="preserve"> </w:t>
      </w:r>
      <w:r>
        <w:rPr>
          <w:b/>
          <w:bCs/>
        </w:rPr>
        <w:t xml:space="preserve">Under</w:t>
      </w:r>
      <w:r>
        <w:rPr>
          <w:b/>
          <w:bCs/>
        </w:rPr>
        <w:t xml:space="preserve"> </w:t>
      </w:r>
      <w:r>
        <w:rPr>
          <w:b/>
          <w:bCs/>
        </w:rPr>
        <w:t xml:space="preserve">GR</w:t>
      </w:r>
      <w:r>
        <w:rPr>
          <w:b/>
          <w:bCs/>
        </w:rPr>
        <w:t xml:space="preserve"> </w:t>
      </w:r>
      <w:r>
        <w:rPr>
          <w:b/>
          <w:bCs/>
        </w:rPr>
        <w:t xml:space="preserve">37(i).</w:t>
      </w:r>
    </w:p>
    <w:p>
      <w:pPr>
        <w:pStyle w:val="BodyText"/>
      </w:pPr>
      <w:r>
        <w:t xml:space="preserve">Bell appealed his convictions and sentence. CP 62. Among other claims, he challenged the trial court’s denial of his GR</w:t>
      </w:r>
      <w:r>
        <w:t xml:space="preserve"> </w:t>
      </w:r>
      <w:r>
        <w:t xml:space="preserve">37 objection. Appx. 1. The Court of Appeals reversed Bell’s convictions and remanded for a new trial, because the State did not follow the procedural requirements of GR</w:t>
      </w:r>
      <w:r>
        <w:t xml:space="preserve"> </w:t>
      </w:r>
      <w:r>
        <w:t xml:space="preserve">37(i) and give</w:t>
      </w:r>
      <w:r>
        <w:t xml:space="preserve"> </w:t>
      </w:r>
      <w:r>
        <w:t xml:space="preserve">“reasonable notice”</w:t>
      </w:r>
      <w:r>
        <w:t xml:space="preserve"> </w:t>
      </w:r>
      <w:r>
        <w:t xml:space="preserve">of its intent to strike Juror 3 9 for inattention. Appx. 1, 6</w:t>
      </w:r>
      <w:r>
        <w:noBreakHyphen/>
      </w:r>
      <w:r>
        <w:t xml:space="preserve">7. The court did not find an objective observer could view race as a factor in the exercise of the State’s peremptory challenge.</w:t>
      </w:r>
    </w:p>
    <w:p>
      <w:pPr>
        <w:pStyle w:val="BodyText"/>
      </w:pPr>
      <w:r>
        <w:t xml:space="preserve">The Court of Appeals held,</w:t>
      </w:r>
    </w:p>
    <w:p>
      <w:pPr>
        <w:pStyle w:val="XdQuoteOnly"/>
      </w:pPr>
      <w:r>
        <w:t xml:space="preserve">GR</w:t>
      </w:r>
      <w:r>
        <w:t xml:space="preserve"> </w:t>
      </w:r>
      <w:r>
        <w:t xml:space="preserve">37(i) required the State to provide</w:t>
      </w:r>
      <w:r>
        <w:t xml:space="preserve"> </w:t>
      </w:r>
      <w:r>
        <w:t xml:space="preserve">“reasonable notice”</w:t>
      </w:r>
      <w:r>
        <w:t xml:space="preserve"> </w:t>
      </w:r>
      <w:r>
        <w:t xml:space="preserve">to the trial court and Bell</w:t>
      </w:r>
      <w:r>
        <w:t xml:space="preserve"> </w:t>
      </w:r>
      <w:r>
        <w:t xml:space="preserve">“so [juror 3 9’ s] behavior [could] be verified and addressed in a timely manner.”</w:t>
      </w:r>
      <w:r>
        <w:t xml:space="preserve"> </w:t>
      </w:r>
      <w:r>
        <w:t xml:space="preserve">While juror 39 verified his inattentiveness through his own admission, the State’s failure to bring its concerns to the trial court’s or defense counsel’s attention until after the close of questioning prevented the behavior from being</w:t>
      </w:r>
      <w:r>
        <w:t xml:space="preserve"> </w:t>
      </w:r>
      <w:r>
        <w:t xml:space="preserve">“addressed in a timely manner.”</w:t>
      </w:r>
      <w:r>
        <w:t xml:space="preserve"> </w:t>
      </w:r>
      <w:r>
        <w:t xml:space="preserve">GR</w:t>
      </w:r>
      <w:r>
        <w:t xml:space="preserve"> </w:t>
      </w:r>
      <w:r>
        <w:t xml:space="preserve">37(i). Neither Bell nor the trial court were afforded an opportunity to ask juror 39 about the length, extent, or significance of any inattentiveness. The State failed to follow the requirements of GR</w:t>
      </w:r>
      <w:r>
        <w:t xml:space="preserve"> </w:t>
      </w:r>
      <w:r>
        <w:t xml:space="preserve">37(i), and this error requires a new trial.</w:t>
      </w:r>
    </w:p>
    <w:p>
      <w:pPr>
        <w:pStyle w:val="BodyText"/>
      </w:pPr>
      <w:r>
        <w:t xml:space="preserve">Appx. 6</w:t>
      </w:r>
      <w:r>
        <w:noBreakHyphen/>
      </w:r>
      <w:r>
        <w:t xml:space="preserve">7. Absent from the court’s analysis was any mention of the trial judge’s observations which corroborated Juror 39’s admitted inattention.</w:t>
      </w:r>
      <w:r>
        <w:t xml:space="preserve"> </w:t>
      </w:r>
      <w:r>
        <w:rPr>
          <w:i/>
          <w:iCs/>
        </w:rPr>
        <w:t xml:space="preserve">See</w:t>
      </w:r>
      <w:r>
        <w:t xml:space="preserve"> </w:t>
      </w:r>
      <w:r>
        <w:t xml:space="preserve">RP 632 (trial judge’s observations).</w:t>
      </w:r>
    </w:p>
    <w:p>
      <w:pPr>
        <w:pStyle w:val="BodyText"/>
      </w:pPr>
      <w:r>
        <w:t xml:space="preserve">The State filed a motion for reconsideration urging the Court of Appeals to apply harmless error analysis.</w:t>
      </w:r>
      <w:r>
        <w:t xml:space="preserve"> </w:t>
      </w:r>
      <w:r>
        <w:rPr>
          <w:i/>
          <w:iCs/>
        </w:rPr>
        <w:t xml:space="preserve">See</w:t>
      </w:r>
      <w:r>
        <w:t xml:space="preserve"> </w:t>
      </w:r>
      <w:r>
        <w:t xml:space="preserve">State’s Motion for Reconsideration. The court denied the State’s motion. Appx. 17.</w:t>
      </w:r>
    </w:p>
    <w:p>
      <w:pPr>
        <w:keepNext/>
        <w:keepLines/>
        <w:spacing w:before="448" w:after="336" w:line="322" w:lineRule="exact"/>
        <w:ind w:left="0" w:firstLine="0"/>
        <w:jc w:val="center"/>
      </w:pPr>
      <w:r>
        <w:rPr>
          <w:b/>
          <w:bCs/>
        </w:rPr>
        <w:t xml:space="preserve">VI.</w:t>
      </w:r>
      <w:r>
        <w:rPr>
          <w:b/>
          <w:bCs/>
        </w:rPr>
        <w:t xml:space="preserve"> </w:t>
      </w:r>
      <w:r>
        <w:rPr>
          <w:b/>
          <w:bCs/>
        </w:rPr>
        <w:t xml:space="preserve">REASONS</w:t>
      </w:r>
      <w:r>
        <w:rPr>
          <w:b/>
          <w:bCs/>
        </w:rPr>
        <w:t xml:space="preserve"> </w:t>
      </w:r>
      <w:r>
        <w:rPr>
          <w:b/>
          <w:bCs/>
        </w:rPr>
        <w:t xml:space="preserve">REVIEW</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GRANTED</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Decision</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w:t>
      </w:r>
      <w:r>
        <w:rPr>
          <w:b/>
          <w:bCs/>
        </w:rPr>
        <w:t xml:space="preserve"> </w:t>
      </w:r>
      <w:r>
        <w:rPr>
          <w:b/>
          <w:bCs/>
        </w:rPr>
        <w:t xml:space="preserve">Regarding</w:t>
      </w:r>
      <w:r>
        <w:rPr>
          <w:b/>
          <w:bCs/>
        </w:rPr>
        <w:t xml:space="preserve"> </w:t>
      </w:r>
      <w:r>
        <w:rPr>
          <w:b/>
          <w:bCs/>
        </w:rPr>
        <w:t xml:space="preserve">Harmless</w:t>
      </w:r>
      <w:r>
        <w:rPr>
          <w:b/>
          <w:bCs/>
        </w:rPr>
        <w:t xml:space="preserve"> </w:t>
      </w:r>
      <w:r>
        <w:rPr>
          <w:b/>
          <w:bCs/>
        </w:rPr>
        <w:t xml:space="preserve">Error</w:t>
      </w:r>
      <w:r>
        <w:rPr>
          <w:b/>
          <w:bCs/>
        </w:rPr>
        <w:t xml:space="preserve"> </w:t>
      </w:r>
      <w:r>
        <w:rPr>
          <w:b/>
          <w:bCs/>
        </w:rPr>
        <w:t xml:space="preserve">Review.</w:t>
      </w:r>
    </w:p>
    <w:p>
      <w:pPr>
        <w:pStyle w:val="BodyText"/>
      </w:pPr>
      <w:r>
        <w:t xml:space="preserve">The Court of Appeals’ decision applying automatic reversal to an alleged procedural violation of GR</w:t>
      </w:r>
      <w:r>
        <w:t xml:space="preserve"> </w:t>
      </w:r>
      <w:r>
        <w:t xml:space="preserve">37(i) conflicts with this Court’s precedent subjecting such errors to harmless error review. This Court should grant review. RAP 13.4(b)⁠(1)</w:t>
      </w:r>
      <w:r>
        <w:t xml:space="preserve">.</w:t>
      </w:r>
    </w:p>
    <w:p>
      <w:pPr>
        <w:pStyle w:val="BodyTextNote"/>
      </w:pPr>
      <w:r>
        <w:t xml:space="preserve">As this Court has recognized, a criminal defendant</w:t>
      </w:r>
      <w:r>
        <w:t xml:space="preserve"> </w:t>
      </w:r>
      <w:r>
        <w:t xml:space="preserve">“is entitled to a trial free of prejudicial error, not one that is totally error free.”</w:t>
      </w:r>
      <w:r>
        <w:t xml:space="preserve"> </w:t>
      </w:r>
      <w:r>
        <w:rPr>
          <w:i/>
          <w:iCs/>
        </w:rPr>
        <w:t xml:space="preserve">State v. Evans</w:t>
      </w:r>
      <w:r>
        <w:rPr>
          <w:i/>
          <w:iCs/>
        </w:rPr>
        <w:t xml:space="preserve">,</w:t>
      </w:r>
      <w:r>
        <w:t xml:space="preserve"> </w:t>
      </w:r>
      <w:r>
        <w:t xml:space="preserve">96 Wn.2d 1, 5,633 P.2d 83 (1981);</w:t>
      </w:r>
      <w:r>
        <w:t xml:space="preserve"> </w:t>
      </w:r>
      <w:r>
        <w:rPr>
          <w:i/>
          <w:iCs/>
        </w:rPr>
        <w:t xml:space="preserve">accord Brown</w:t>
      </w:r>
      <w:r>
        <w:rPr>
          <w:i/>
          <w:iCs/>
        </w:rPr>
        <w:t xml:space="preserve"> </w:t>
      </w:r>
      <w:r>
        <w:rPr>
          <w:i/>
          <w:iCs/>
        </w:rPr>
        <w:t xml:space="preserve">v. United States,</w:t>
      </w:r>
      <w:r>
        <w:t xml:space="preserve"> </w:t>
      </w:r>
      <w:r>
        <w:t xml:space="preserve">411 U.S. 223, 231</w:t>
      </w:r>
      <w:r>
        <w:noBreakHyphen/>
      </w:r>
      <w:r>
        <w:t xml:space="preserve">32, 93 S. Ct. 1565, 36 L. Ed. 2d 208 (1973) (a defendant is entitled to a fair trial, not a perfect one). For this reason, trial errors requiring automatic reversal are</w:t>
      </w:r>
      <w:r>
        <w:t xml:space="preserve"> </w:t>
      </w:r>
      <w:r>
        <w:t xml:space="preserve">“rare and encompass only the most egregious constitutional violations,”</w:t>
      </w:r>
      <w:r>
        <w:t xml:space="preserve"> </w:t>
      </w:r>
      <w:r>
        <w:rPr>
          <w:i/>
          <w:iCs/>
        </w:rPr>
        <w:t xml:space="preserve">i.e.,</w:t>
      </w:r>
      <w:r>
        <w:t xml:space="preserve"> </w:t>
      </w:r>
      <w:r>
        <w:t xml:space="preserve">those which</w:t>
      </w:r>
      <w:r>
        <w:t xml:space="preserve"> </w:t>
      </w:r>
      <w:r>
        <w:t xml:space="preserve">“deprive defendants of basic protections by which a trial cannot reliably function as a fair determination of guilt or innocence.”</w:t>
      </w:r>
      <w:r>
        <w:rPr>
          <w:rStyle w:val="FootnoteReference"/>
        </w:rPr>
        <w:footnoteReference w:id="10"/>
      </w:r>
      <w:r>
        <w:t xml:space="preserve"> </w:t>
      </w:r>
      <w:r>
        <w:rPr>
          <w:i/>
          <w:iCs/>
        </w:rPr>
        <w:t xml:space="preserve">In re</w:t>
      </w:r>
      <w:r>
        <w:t xml:space="preserve"> </w:t>
      </w:r>
      <w:r>
        <w:rPr>
          <w:i/>
          <w:iCs/>
        </w:rPr>
        <w:t xml:space="preserve">Pers. Restraint of Lewis</w:t>
      </w:r>
      <w:r>
        <w:rPr>
          <w:i/>
          <w:iCs/>
        </w:rPr>
        <w:t xml:space="preserve">,</w:t>
      </w:r>
      <w:r>
        <w:t xml:space="preserve"> </w:t>
      </w:r>
      <w:r>
        <w:t xml:space="preserve">200 Wn.2d 848, 857</w:t>
      </w:r>
      <w:r>
        <w:noBreakHyphen/>
      </w:r>
      <w:r>
        <w:t xml:space="preserve">58, 523 P.3d 760 (2023) (citations and quotation marks omitted). But</w:t>
      </w:r>
      <w:r>
        <w:t xml:space="preserve"> </w:t>
      </w:r>
      <w:r>
        <w:t xml:space="preserve">“most constitutional errors are presumed to be subject to harmless error analysis,”</w:t>
      </w:r>
      <w:r>
        <w:t xml:space="preserve"> </w:t>
      </w:r>
      <w:r>
        <w:rPr>
          <w:i/>
          <w:iCs/>
        </w:rPr>
        <w:t xml:space="preserve">State v. Banks</w:t>
      </w:r>
      <w:r>
        <w:rPr>
          <w:i/>
          <w:iCs/>
        </w:rPr>
        <w:t xml:space="preserve">,</w:t>
      </w:r>
      <w:r>
        <w:t xml:space="preserve"> </w:t>
      </w:r>
      <w:r>
        <w:t xml:space="preserve">149 Wn.2d 38, 43, 65 P.3d 1198 (2003), and</w:t>
      </w:r>
      <w:r>
        <w:t xml:space="preserve"> </w:t>
      </w:r>
      <w:r>
        <w:t xml:space="preserve">“most such errors are indeed harmless.”</w:t>
      </w:r>
      <w:r>
        <w:t xml:space="preserve"> </w:t>
      </w:r>
      <w:r>
        <w:rPr>
          <w:i/>
          <w:iCs/>
        </w:rPr>
        <w:t xml:space="preserve">State v.</w:t>
      </w:r>
      <w:r>
        <w:t xml:space="preserve"> </w:t>
      </w:r>
      <w:r>
        <w:rPr>
          <w:i/>
          <w:iCs/>
        </w:rPr>
        <w:t xml:space="preserve">Coristine</w:t>
      </w:r>
      <w:r>
        <w:rPr>
          <w:i/>
          <w:iCs/>
        </w:rPr>
        <w:t xml:space="preserve">,</w:t>
      </w:r>
      <w:r>
        <w:t xml:space="preserve"> </w:t>
      </w:r>
      <w:r>
        <w:t xml:space="preserve">177 Wn.2d 370, 389, 300 P.3d 400 (2013) (Gonzalez, J., dissenting) (citing</w:t>
      </w:r>
      <w:r>
        <w:t xml:space="preserve"> </w:t>
      </w:r>
      <w:r>
        <w:rPr>
          <w:i/>
          <w:iCs/>
        </w:rPr>
        <w:t xml:space="preserve">United States v. Hasting</w:t>
      </w:r>
      <w:r>
        <w:rPr>
          <w:i/>
          <w:iCs/>
        </w:rPr>
        <w:t xml:space="preserve">,</w:t>
      </w:r>
      <w:r>
        <w:t xml:space="preserve"> </w:t>
      </w:r>
      <w:r>
        <w:t xml:space="preserve">461 U.S. 499, 509, 103 S. Ct. 1974, 76 L. Ed. 2d 96 (1983)).</w:t>
      </w:r>
    </w:p>
    <w:p>
      <w:pPr>
        <w:pStyle w:val="BodyText"/>
      </w:pPr>
      <w:r>
        <w:t xml:space="preserve">When, as here, an alleged error involves a court rule, then harmless error analysis applies.</w:t>
      </w:r>
      <w:r>
        <w:t xml:space="preserve"> </w:t>
      </w:r>
      <w:r>
        <w:rPr>
          <w:i/>
          <w:iCs/>
        </w:rPr>
        <w:t xml:space="preserve">State v. Robinson</w:t>
      </w:r>
      <w:r>
        <w:rPr>
          <w:i/>
          <w:iCs/>
        </w:rPr>
        <w:t xml:space="preserve">,</w:t>
      </w:r>
      <w:r>
        <w:t xml:space="preserve"> </w:t>
      </w:r>
      <w:r>
        <w:t xml:space="preserve">153 Wn.2d 689, 697, 107 P.3d 90 (2005);</w:t>
      </w:r>
      <w:r>
        <w:t xml:space="preserve"> </w:t>
      </w:r>
      <w:r>
        <w:rPr>
          <w:i/>
          <w:iCs/>
        </w:rPr>
        <w:t xml:space="preserve">State v. Templeton</w:t>
      </w:r>
      <w:r>
        <w:rPr>
          <w:i/>
          <w:iCs/>
        </w:rPr>
        <w:t xml:space="preserve">,</w:t>
      </w:r>
      <w:r>
        <w:t xml:space="preserve"> </w:t>
      </w:r>
      <w:r>
        <w:t xml:space="preserve">148 Wn.2d 193, 220, 59 P.3d 632 (2002);</w:t>
      </w:r>
      <w:r>
        <w:t xml:space="preserve"> </w:t>
      </w:r>
      <w:r>
        <w:rPr>
          <w:i/>
          <w:iCs/>
        </w:rPr>
        <w:t xml:space="preserve">see also State v. Grenning</w:t>
      </w:r>
      <w:r>
        <w:rPr>
          <w:i/>
          <w:iCs/>
        </w:rPr>
        <w:t xml:space="preserve">,</w:t>
      </w:r>
      <w:r>
        <w:t xml:space="preserve"> </w:t>
      </w:r>
      <w:r>
        <w:t xml:space="preserve">169 Wn.2d 47, 58, 234 P.3d 169 (2010) (violation of a court rule is generally not considered constitutional error for purposes of harmless error analysis);</w:t>
      </w:r>
      <w:r>
        <w:t xml:space="preserve"> </w:t>
      </w:r>
      <w:r>
        <w:rPr>
          <w:i/>
          <w:iCs/>
        </w:rPr>
        <w:t xml:space="preserve">State v. Scherf</w:t>
      </w:r>
      <w:r>
        <w:rPr>
          <w:i/>
          <w:iCs/>
        </w:rPr>
        <w:t xml:space="preserve">,</w:t>
      </w:r>
      <w:r>
        <w:t xml:space="preserve"> </w:t>
      </w:r>
      <w:r>
        <w:t xml:space="preserve">192 Wn.2d 350, 375, 429 P.3d 776 (2018) (</w:t>
      </w:r>
      <w:r>
        <w:t xml:space="preserve">“A violation of a court rule is harmless if there is no reasonable probability that the error materially affected the outcome of the trial.”</w:t>
      </w:r>
      <w:r>
        <w:t xml:space="preserve">);</w:t>
      </w:r>
      <w:r>
        <w:t xml:space="preserve"> </w:t>
      </w:r>
      <w:r>
        <w:rPr>
          <w:i/>
          <w:iCs/>
        </w:rPr>
        <w:t xml:space="preserve">State v. Lupastean</w:t>
      </w:r>
      <w:r>
        <w:rPr>
          <w:i/>
          <w:iCs/>
        </w:rPr>
        <w:t xml:space="preserve">,</w:t>
      </w:r>
      <w:r>
        <w:t xml:space="preserve"> </w:t>
      </w:r>
      <w:r>
        <w:t xml:space="preserve">200 Wn.2d 26, 53, 513 P.3d 781 (2022) (</w:t>
      </w:r>
      <w:r>
        <w:t xml:space="preserve">“There is no longer a presumption of prejudice for nonconstitutional errors, and there is no longer any basis to elevate peremptory challenges over other nonconstitutional trial rights.”</w:t>
      </w:r>
      <w:r>
        <w:t xml:space="preserve">).</w:t>
      </w:r>
    </w:p>
    <w:p>
      <w:pPr>
        <w:pStyle w:val="BodyText"/>
      </w:pPr>
      <w:r>
        <w:t xml:space="preserve">Despite this precedent, the Court of Appeals applied the harshest of remedies-automatic reversal-to a procedural violation of a court rule. GR</w:t>
      </w:r>
      <w:r>
        <w:t xml:space="preserve"> </w:t>
      </w:r>
      <w:r>
        <w:t xml:space="preserve">37(i) provides,</w:t>
      </w:r>
      <w:r>
        <w:t xml:space="preserve"> </w:t>
      </w:r>
      <w:r>
        <w:t xml:space="preserve">“If any party intends to offer [juror conduct] as the justification for a peremptory challenge, that party must provide reasonable notice to the court and the other parties so the behavior can be verified and addressed in a timely manner. A lack of corroboration by the judge or opposing counsel verifying the behavior shall invalidate the given reason for the peremptory challenge.”</w:t>
      </w:r>
    </w:p>
    <w:p>
      <w:pPr>
        <w:pStyle w:val="BodyText"/>
      </w:pPr>
      <w:r>
        <w:t xml:space="preserve">The Court of Appeals reversed Bell’s convictions solely because the State did not give formal notice of its intent to strike a juror based on the juror’s admitted inattention. Critically, the Court of Appeals did</w:t>
      </w:r>
      <w:r>
        <w:t xml:space="preserve"> </w:t>
      </w:r>
      <w:r>
        <w:rPr>
          <w:i/>
          <w:iCs/>
        </w:rPr>
        <w:t xml:space="preserve">not</w:t>
      </w:r>
      <w:r>
        <w:t xml:space="preserve"> </w:t>
      </w:r>
      <w:r>
        <w:t xml:space="preserve">find an objective observer could view race as a factor in the exercise of the peremptory challenge. The court did not even find a lack of corroboration. The court</w:t>
      </w:r>
      <w:r>
        <w:t xml:space="preserve"> </w:t>
      </w:r>
      <w:r>
        <w:rPr>
          <w:i/>
          <w:iCs/>
        </w:rPr>
        <w:t xml:space="preserve">only</w:t>
      </w:r>
      <w:r>
        <w:t xml:space="preserve"> </w:t>
      </w:r>
      <w:r>
        <w:t xml:space="preserve">found a violation of the procedural requirement of GR</w:t>
      </w:r>
      <w:r>
        <w:t xml:space="preserve"> </w:t>
      </w:r>
      <w:r>
        <w:t xml:space="preserve">37(i), which requires notice. Under</w:t>
      </w:r>
      <w:r>
        <w:t xml:space="preserve"> </w:t>
      </w:r>
      <w:r>
        <w:rPr>
          <w:i/>
          <w:iCs/>
        </w:rPr>
        <w:t xml:space="preserve">Robinson</w:t>
      </w:r>
      <w:r>
        <w:rPr>
          <w:i/>
          <w:iCs/>
        </w:rPr>
        <w:t xml:space="preserve">, Templeton</w:t>
      </w:r>
      <w:r>
        <w:rPr>
          <w:i/>
          <w:iCs/>
        </w:rPr>
        <w:t xml:space="preserve">,</w:t>
      </w:r>
      <w:r>
        <w:t xml:space="preserve"> </w:t>
      </w:r>
      <w:r>
        <w:t xml:space="preserve">and the other authorities cited above, harmless error analysis applies to this type of alleged error, and any error here was indeed harmless in light of the juror’s admission and the trial court’s corroboration verifying the juror’s inattention. The Court of Appeals’ decision finding otherwise and holding that violation of GR</w:t>
      </w:r>
      <w:r>
        <w:t xml:space="preserve"> </w:t>
      </w:r>
      <w:r>
        <w:t xml:space="preserve">37(i) requires reversal conflicts with this Court’s binding authority and warrants review under RAP 13.4(b)⁠(1)</w:t>
      </w:r>
      <w:r>
        <w:t xml:space="preserve">.</w:t>
      </w:r>
    </w:p>
    <w:p>
      <w:pPr>
        <w:keepNext/>
        <w:keepLines/>
        <w:spacing w:before="336" w:after="224" w:line="322" w:lineRule="exact"/>
        <w:ind w:left="720" w:hanging="720"/>
        <w:jc w:val="left"/>
      </w:pPr>
      <w:r>
        <w:rPr>
          <w:b/>
          <w:bCs/>
        </w:rPr>
        <w:t xml:space="preserve">B.</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Clarify</w:t>
      </w:r>
      <w:r>
        <w:rPr>
          <w:b/>
          <w:bCs/>
        </w:rPr>
        <w:t xml:space="preserve"> </w:t>
      </w:r>
      <w:r>
        <w:rPr>
          <w:b/>
          <w:bCs/>
        </w:rPr>
        <w:t xml:space="preserve">Whether</w:t>
      </w:r>
      <w:r>
        <w:rPr>
          <w:b/>
          <w:bCs/>
        </w:rPr>
        <w:t xml:space="preserve"> </w:t>
      </w:r>
      <w:r>
        <w:rPr>
          <w:b/>
          <w:bCs/>
        </w:rPr>
        <w:t xml:space="preserve">Automatic</w:t>
      </w:r>
      <w:r>
        <w:rPr>
          <w:b/>
          <w:bCs/>
        </w:rPr>
        <w:t xml:space="preserve"> </w:t>
      </w:r>
      <w:r>
        <w:rPr>
          <w:b/>
          <w:bCs/>
        </w:rPr>
        <w:t xml:space="preserve">Reversal</w:t>
      </w:r>
      <w:r>
        <w:rPr>
          <w:b/>
          <w:bCs/>
        </w:rPr>
        <w:t xml:space="preserve"> </w:t>
      </w:r>
      <w:r>
        <w:rPr>
          <w:b/>
          <w:bCs/>
        </w:rPr>
        <w:t xml:space="preserve">is</w:t>
      </w:r>
      <w:r>
        <w:rPr>
          <w:b/>
          <w:bCs/>
        </w:rPr>
        <w:t xml:space="preserve"> </w:t>
      </w:r>
      <w:r>
        <w:rPr>
          <w:b/>
          <w:bCs/>
        </w:rPr>
        <w:t xml:space="preserve">Required</w:t>
      </w:r>
      <w:r>
        <w:rPr>
          <w:b/>
          <w:bCs/>
        </w:rPr>
        <w:t xml:space="preserve"> </w:t>
      </w:r>
      <w:r>
        <w:rPr>
          <w:b/>
          <w:bCs/>
        </w:rPr>
        <w:t xml:space="preserve">When</w:t>
      </w:r>
      <w:r>
        <w:rPr>
          <w:b/>
          <w:bCs/>
        </w:rPr>
        <w:t xml:space="preserve"> </w:t>
      </w:r>
      <w:r>
        <w:rPr>
          <w:b/>
          <w:bCs/>
        </w:rPr>
        <w:t xml:space="preserve">an</w:t>
      </w:r>
      <w:r>
        <w:rPr>
          <w:b/>
          <w:bCs/>
        </w:rPr>
        <w:t xml:space="preserve"> </w:t>
      </w:r>
      <w:r>
        <w:rPr>
          <w:b/>
          <w:bCs/>
        </w:rPr>
        <w:t xml:space="preserve">Alleged</w:t>
      </w:r>
      <w:r>
        <w:rPr>
          <w:b/>
          <w:bCs/>
        </w:rPr>
        <w:t xml:space="preserve"> </w:t>
      </w:r>
      <w:r>
        <w:rPr>
          <w:b/>
          <w:bCs/>
        </w:rPr>
        <w:t xml:space="preserve">Error</w:t>
      </w:r>
      <w:r>
        <w:rPr>
          <w:b/>
          <w:bCs/>
        </w:rPr>
        <w:t xml:space="preserve"> </w:t>
      </w:r>
      <w:r>
        <w:rPr>
          <w:b/>
          <w:bCs/>
        </w:rPr>
        <w:t xml:space="preserve">Implicates</w:t>
      </w:r>
      <w:r>
        <w:rPr>
          <w:b/>
          <w:bCs/>
        </w:rPr>
        <w:t xml:space="preserve"> </w:t>
      </w:r>
      <w:r>
        <w:rPr>
          <w:b/>
          <w:bCs/>
        </w:rPr>
        <w:t xml:space="preserve">GR</w:t>
      </w:r>
      <w:r>
        <w:rPr>
          <w:b/>
          <w:bCs/>
        </w:rPr>
        <w:t xml:space="preserve"> </w:t>
      </w:r>
      <w:r>
        <w:rPr>
          <w:b/>
          <w:bCs/>
        </w:rPr>
        <w:t xml:space="preserve">37</w:t>
      </w:r>
      <w:r>
        <w:rPr>
          <w:b/>
          <w:bCs/>
        </w:rPr>
        <w:t xml:space="preserve"> </w:t>
      </w:r>
      <w:r>
        <w:rPr>
          <w:b/>
          <w:bCs/>
        </w:rPr>
        <w:t xml:space="preserve">but</w:t>
      </w:r>
      <w:r>
        <w:rPr>
          <w:b/>
          <w:bCs/>
        </w:rPr>
        <w:t xml:space="preserve"> </w:t>
      </w:r>
      <w:r>
        <w:rPr>
          <w:b/>
          <w:bCs/>
        </w:rPr>
        <w:t xml:space="preserve">an</w:t>
      </w:r>
      <w:r>
        <w:rPr>
          <w:b/>
          <w:bCs/>
        </w:rPr>
        <w:t xml:space="preserve"> </w:t>
      </w:r>
      <w:r>
        <w:rPr>
          <w:b/>
          <w:bCs/>
        </w:rPr>
        <w:t xml:space="preserve">Objective</w:t>
      </w:r>
      <w:r>
        <w:rPr>
          <w:b/>
          <w:bCs/>
        </w:rPr>
        <w:t xml:space="preserve"> </w:t>
      </w:r>
      <w:r>
        <w:rPr>
          <w:b/>
          <w:bCs/>
        </w:rPr>
        <w:t xml:space="preserve">Observer</w:t>
      </w:r>
      <w:r>
        <w:rPr>
          <w:b/>
          <w:bCs/>
        </w:rPr>
        <w:t xml:space="preserve"> </w:t>
      </w:r>
      <w:r>
        <w:rPr>
          <w:b/>
          <w:bCs/>
        </w:rPr>
        <w:t xml:space="preserve">Could</w:t>
      </w:r>
      <w:r>
        <w:rPr>
          <w:b/>
          <w:bCs/>
        </w:rPr>
        <w:t xml:space="preserve"> </w:t>
      </w:r>
      <w:r>
        <w:rPr>
          <w:b/>
          <w:bCs/>
        </w:rPr>
        <w:t xml:space="preserve">Not</w:t>
      </w:r>
      <w:r>
        <w:rPr>
          <w:b/>
          <w:bCs/>
        </w:rPr>
        <w:t xml:space="preserve"> </w:t>
      </w:r>
      <w:r>
        <w:rPr>
          <w:b/>
          <w:bCs/>
        </w:rPr>
        <w:t xml:space="preserve">View</w:t>
      </w:r>
      <w:r>
        <w:rPr>
          <w:b/>
          <w:bCs/>
        </w:rPr>
        <w:t xml:space="preserve"> </w:t>
      </w:r>
      <w:r>
        <w:rPr>
          <w:b/>
          <w:bCs/>
        </w:rPr>
        <w:t xml:space="preserve">Race</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Factor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Peremptory</w:t>
      </w:r>
      <w:r>
        <w:rPr>
          <w:b/>
          <w:bCs/>
        </w:rPr>
        <w:t xml:space="preserve"> </w:t>
      </w:r>
      <w:r>
        <w:rPr>
          <w:b/>
          <w:bCs/>
        </w:rPr>
        <w:t xml:space="preserve">Challenge.</w:t>
      </w:r>
    </w:p>
    <w:p>
      <w:pPr>
        <w:pStyle w:val="BodyText"/>
      </w:pPr>
      <w:r>
        <w:t xml:space="preserve">The Court of Appeals’ decision in this case demonstrates the confusion among lower courts regarding the effect when an alleged error implicates GR 3 7 but does not violate the substance of the rule. Clarification is needed from this Court. RAP l 3.4(b)⁠(4).</w:t>
      </w:r>
    </w:p>
    <w:p>
      <w:pPr>
        <w:pStyle w:val="BodyText"/>
      </w:pPr>
      <w:r>
        <w:t xml:space="preserve">GR</w:t>
      </w:r>
      <w:r>
        <w:t xml:space="preserve"> </w:t>
      </w:r>
      <w:r>
        <w:t xml:space="preserve">37 is a court rule which</w:t>
      </w:r>
      <w:r>
        <w:t xml:space="preserve"> </w:t>
      </w:r>
      <w:r>
        <w:t xml:space="preserve">“prescribes juror selection procedures”</w:t>
      </w:r>
      <w:r>
        <w:t xml:space="preserve"> </w:t>
      </w:r>
      <w:r>
        <w:t xml:space="preserve">but also</w:t>
      </w:r>
      <w:r>
        <w:t xml:space="preserve"> </w:t>
      </w:r>
      <w:r>
        <w:t xml:space="preserve">“implicates substantial constitutional rights.”</w:t>
      </w:r>
      <w:r>
        <w:t xml:space="preserve"> </w:t>
      </w:r>
      <w:r>
        <w:rPr>
          <w:i/>
          <w:iCs/>
        </w:rPr>
        <w:t xml:space="preserve">State v. Jefferson</w:t>
      </w:r>
      <w:r>
        <w:rPr>
          <w:i/>
          <w:iCs/>
        </w:rPr>
        <w:t xml:space="preserve">,</w:t>
      </w:r>
      <w:r>
        <w:t xml:space="preserve"> </w:t>
      </w:r>
      <w:r>
        <w:t xml:space="preserve">192 Wn.2d 225, 247, 429 P.3d 467 (2018). The purpose of the rule is to</w:t>
      </w:r>
      <w:r>
        <w:t xml:space="preserve"> </w:t>
      </w:r>
      <w:r>
        <w:t xml:space="preserve">“eliminate the unfair exclusion of potential jurors based on race or ethnicity.”</w:t>
      </w:r>
      <w:r>
        <w:t xml:space="preserve"> </w:t>
      </w:r>
      <w:r>
        <w:t xml:space="preserve">GR</w:t>
      </w:r>
      <w:r>
        <w:t xml:space="preserve"> </w:t>
      </w:r>
      <w:r>
        <w:t xml:space="preserve">37(a). Procedurally, a party or the court may object to the use of a peremptory challenge to raise the issue of improper bias. GR</w:t>
      </w:r>
      <w:r>
        <w:t xml:space="preserve"> </w:t>
      </w:r>
      <w:r>
        <w:t xml:space="preserve">37(c). The rule then requires the party exercising the peremptory challenge to</w:t>
      </w:r>
      <w:r>
        <w:t xml:space="preserve"> </w:t>
      </w:r>
      <w:r>
        <w:t xml:space="preserve">“articulate the reasons the peremptory challenge has been exercised.”</w:t>
      </w:r>
      <w:r>
        <w:t xml:space="preserve"> </w:t>
      </w:r>
      <w:r>
        <w:t xml:space="preserve">GR</w:t>
      </w:r>
      <w:r>
        <w:t xml:space="preserve"> </w:t>
      </w:r>
      <w:r>
        <w:t xml:space="preserve">37(d). The trial court must then evaluate the justification for a peremptory challenge</w:t>
      </w:r>
      <w:r>
        <w:t xml:space="preserve"> </w:t>
      </w:r>
      <w:r>
        <w:t xml:space="preserve">“in light of the totality of circumstances.”</w:t>
      </w:r>
      <w:r>
        <w:t xml:space="preserve"> </w:t>
      </w:r>
      <w:r>
        <w:t xml:space="preserve">GR</w:t>
      </w:r>
      <w:r>
        <w:t xml:space="preserve"> </w:t>
      </w:r>
      <w:r>
        <w:t xml:space="preserve">37(e). If, after this evaluation, the court determines that</w:t>
      </w:r>
      <w:r>
        <w:t xml:space="preserve"> </w:t>
      </w:r>
      <w:r>
        <w:t xml:space="preserve">“an objective observer could view race or ethnicity as a factor in the use of the peremptory challenge, then the peremptory challenge should be denied.”</w:t>
      </w:r>
      <w:r>
        <w:t xml:space="preserve"> </w:t>
      </w:r>
      <w:r>
        <w:rPr>
          <w:i/>
          <w:iCs/>
        </w:rPr>
        <w:t xml:space="preserve">Id.</w:t>
      </w:r>
    </w:p>
    <w:p>
      <w:pPr>
        <w:pStyle w:val="BodyText"/>
      </w:pPr>
      <w:r>
        <w:t xml:space="preserve">The totality of the circumstances analysis applies to GR</w:t>
      </w:r>
      <w:r>
        <w:t xml:space="preserve"> </w:t>
      </w:r>
      <w:r>
        <w:t xml:space="preserve">37(i), which concerns peremptory challenges based on juror demeanor or conduct. Again, if a party intends to offer juror conduct or demeanor, such as inattention, as the justification for a peremptory challenge, then that party</w:t>
      </w:r>
      <w:r>
        <w:t xml:space="preserve"> </w:t>
      </w:r>
      <w:r>
        <w:t xml:space="preserve">“must provide reasonable notice to the court and the other parties so the behavior can be verified and addressed.”</w:t>
      </w:r>
      <w:r>
        <w:t xml:space="preserve"> </w:t>
      </w:r>
      <w:r>
        <w:t xml:space="preserve">GR</w:t>
      </w:r>
      <w:r>
        <w:t xml:space="preserve"> </w:t>
      </w:r>
      <w:r>
        <w:t xml:space="preserve">37(i).</w:t>
      </w:r>
      <w:r>
        <w:t xml:space="preserve"> </w:t>
      </w:r>
      <w:r>
        <w:t xml:space="preserve">“A lack of corroboration by the judge or the opposing counsel verifying the behavior”</w:t>
      </w:r>
      <w:r>
        <w:t xml:space="preserve"> </w:t>
      </w:r>
      <w:r>
        <w:t xml:space="preserve">invalidates the reason given for the peremptory challenge.</w:t>
      </w:r>
      <w:r>
        <w:t xml:space="preserve"> </w:t>
      </w:r>
      <w:r>
        <w:rPr>
          <w:i/>
          <w:iCs/>
        </w:rPr>
        <w:t xml:space="preserve">Id.</w:t>
      </w:r>
    </w:p>
    <w:p>
      <w:pPr>
        <w:pStyle w:val="BodyText"/>
      </w:pPr>
      <w:r>
        <w:t xml:space="preserve">While GR</w:t>
      </w:r>
      <w:r>
        <w:t xml:space="preserve"> </w:t>
      </w:r>
      <w:r>
        <w:t xml:space="preserve">37(i) requires the party exercising the peremptory challenge to give reasonable notice, the notice requirement is simply the procedure by which the trial court can ensure the juror’s alleged behavior is verified. Notice provides the court and opposing counsel the opportunity to observe the juror, verify the alleged conduct, and address it as needed.</w:t>
      </w:r>
    </w:p>
    <w:p>
      <w:pPr>
        <w:pStyle w:val="BodyTextNote"/>
      </w:pPr>
      <w:r>
        <w:t xml:space="preserve">The overall purpose of GR</w:t>
      </w:r>
      <w:r>
        <w:t xml:space="preserve"> </w:t>
      </w:r>
      <w:r>
        <w:t xml:space="preserve">37(i) is to address instances whereby a party may use juror conduct as a pretext for racial or ethnic discrimination.</w:t>
      </w:r>
      <w:r>
        <w:t xml:space="preserve"> </w:t>
      </w:r>
      <w:r>
        <w:rPr>
          <w:i/>
          <w:iCs/>
        </w:rPr>
        <w:t xml:space="preserve">See</w:t>
      </w:r>
      <w:r>
        <w:t xml:space="preserve"> </w:t>
      </w:r>
      <w:r>
        <w:t xml:space="preserve">GR</w:t>
      </w:r>
      <w:r>
        <w:t xml:space="preserve"> </w:t>
      </w:r>
      <w:r>
        <w:t xml:space="preserve">37(i) (listing examples of juror conduct that have</w:t>
      </w:r>
      <w:r>
        <w:t xml:space="preserve"> </w:t>
      </w:r>
      <w:r>
        <w:t xml:space="preserve">“historically been associated with improper discrimination in jury selection”</w:t>
      </w:r>
      <w:r>
        <w:t xml:space="preserve">). To serve this purpose, corroboration of the juror’s alleged demeanor or conduct is required. The rule’s intent-corroboration-is apparent from the last sentence of GR 3 7 (i), which specifies that the validity of the reason given for the peremptory challenge hinges on corroboration.</w:t>
      </w:r>
      <w:r>
        <w:rPr>
          <w:rStyle w:val="FootnoteReference"/>
        </w:rPr>
        <w:footnoteReference w:id="11"/>
      </w:r>
    </w:p>
    <w:p>
      <w:pPr>
        <w:pStyle w:val="BodyText"/>
      </w:pPr>
      <w:r>
        <w:t xml:space="preserve">There is a difference between a substantive violation of GR 3 7, where a trial court erroneously allows a peremptory challenge such that an objective observer could view race as a factor in the exercise of the challenge,</w:t>
      </w:r>
      <w:r>
        <w:t xml:space="preserve"> </w:t>
      </w:r>
      <w:r>
        <w:rPr>
          <w:i/>
          <w:iCs/>
        </w:rPr>
        <w:t xml:space="preserve">see</w:t>
      </w:r>
      <w:r>
        <w:t xml:space="preserve"> </w:t>
      </w:r>
      <w:r>
        <w:t xml:space="preserve">GR</w:t>
      </w:r>
      <w:r>
        <w:t xml:space="preserve"> </w:t>
      </w:r>
      <w:r>
        <w:t xml:space="preserve">37(e), and a procedural violation of the rule, which does not implicate the same equal protection and constitutional fairness concerns,</w:t>
      </w:r>
      <w:r>
        <w:t xml:space="preserve"> </w:t>
      </w:r>
      <w:r>
        <w:rPr>
          <w:i/>
          <w:iCs/>
        </w:rPr>
        <w:t xml:space="preserve">e.g.,</w:t>
      </w:r>
      <w:r>
        <w:t xml:space="preserve"> </w:t>
      </w:r>
      <w:r>
        <w:t xml:space="preserve">notice under GR</w:t>
      </w:r>
      <w:r>
        <w:t xml:space="preserve"> </w:t>
      </w:r>
      <w:r>
        <w:t xml:space="preserve">37(i). The former is violative of the spirit and purpose of GR</w:t>
      </w:r>
      <w:r>
        <w:t xml:space="preserve"> </w:t>
      </w:r>
      <w:r>
        <w:t xml:space="preserve">37, which provides that if the public perceives discrimination in the jury selection process, then reversal is required.</w:t>
      </w:r>
      <w:r>
        <w:t xml:space="preserve"> </w:t>
      </w:r>
      <w:r>
        <w:rPr>
          <w:i/>
          <w:iCs/>
        </w:rPr>
        <w:t xml:space="preserve">See State v. Tesfasilasye</w:t>
      </w:r>
      <w:r>
        <w:rPr>
          <w:i/>
          <w:iCs/>
        </w:rPr>
        <w:t xml:space="preserve">,</w:t>
      </w:r>
      <w:r>
        <w:t xml:space="preserve"> </w:t>
      </w:r>
      <w:r>
        <w:t xml:space="preserve">200 Wn.2d 345, 361</w:t>
      </w:r>
      <w:r>
        <w:noBreakHyphen/>
      </w:r>
      <w:r>
        <w:t xml:space="preserve">62, 518 P.3d 193 (2022);</w:t>
      </w:r>
      <w:r>
        <w:t xml:space="preserve"> </w:t>
      </w:r>
      <w:r>
        <w:rPr>
          <w:i/>
          <w:iCs/>
        </w:rPr>
        <w:t xml:space="preserve">State v. Lahman</w:t>
      </w:r>
      <w:r>
        <w:rPr>
          <w:i/>
          <w:iCs/>
        </w:rPr>
        <w:t xml:space="preserve">,</w:t>
      </w:r>
      <w:r>
        <w:t xml:space="preserve"> </w:t>
      </w:r>
      <w:r>
        <w:t xml:space="preserve">17 Wn. App. 2d 925,932,488 P.3d 881 (2021);</w:t>
      </w:r>
      <w:r>
        <w:t xml:space="preserve"> </w:t>
      </w:r>
      <w:r>
        <w:rPr>
          <w:i/>
          <w:iCs/>
        </w:rPr>
        <w:t xml:space="preserve">accord Rivera</w:t>
      </w:r>
      <w:r>
        <w:rPr>
          <w:i/>
          <w:iCs/>
        </w:rPr>
        <w:t xml:space="preserve"> </w:t>
      </w:r>
      <w:r>
        <w:rPr>
          <w:i/>
          <w:iCs/>
        </w:rPr>
        <w:t xml:space="preserve">v. Illinois,</w:t>
      </w:r>
      <w:r>
        <w:t xml:space="preserve"> </w:t>
      </w:r>
      <w:r>
        <w:t xml:space="preserve">556 U.S. 148, 161, 129 S. Ct. 1446, 173 L. Ed. 2d 320 (2009) (citing</w:t>
      </w:r>
      <w:r>
        <w:t xml:space="preserve"> </w:t>
      </w:r>
      <w:r>
        <w:rPr>
          <w:i/>
          <w:iCs/>
        </w:rPr>
        <w:t xml:space="preserve">Batson</w:t>
      </w:r>
      <w:r>
        <w:rPr>
          <w:i/>
          <w:iCs/>
        </w:rPr>
        <w:t xml:space="preserve"> </w:t>
      </w:r>
      <w:r>
        <w:rPr>
          <w:i/>
          <w:iCs/>
        </w:rPr>
        <w:t xml:space="preserve">v.</w:t>
      </w:r>
      <w:r>
        <w:t xml:space="preserve"> </w:t>
      </w:r>
      <w:r>
        <w:rPr>
          <w:i/>
          <w:iCs/>
        </w:rPr>
        <w:t xml:space="preserve">Kentucky,</w:t>
      </w:r>
      <w:r>
        <w:t xml:space="preserve"> </w:t>
      </w:r>
      <w:r>
        <w:t xml:space="preserve">476 U.S. 79, 86</w:t>
      </w:r>
      <w:r>
        <w:noBreakHyphen/>
      </w:r>
      <w:r>
        <w:t xml:space="preserve">87, 106 S. Ct. 1712, 90 L. Ed. 2d 69 (1986)).</w:t>
      </w:r>
    </w:p>
    <w:p>
      <w:pPr>
        <w:pStyle w:val="BodyTextNote"/>
      </w:pPr>
      <w:r>
        <w:t xml:space="preserve">The latter, however, does not fit within the</w:t>
      </w:r>
      <w:r>
        <w:t xml:space="preserve"> </w:t>
      </w:r>
      <w:r>
        <w:t xml:space="preserve">“narrow”</w:t>
      </w:r>
      <w:r>
        <w:t xml:space="preserve"> </w:t>
      </w:r>
      <w:r>
        <w:t xml:space="preserve">class of per se reversible errors requiring a new trial. Washington courts have found that even in the context of GR</w:t>
      </w:r>
      <w:r>
        <w:t xml:space="preserve"> </w:t>
      </w:r>
      <w:r>
        <w:t xml:space="preserve">37, automatic reversal is not required when a trial court erroneously denies a peremptory challenge and empanels a juror the defendant attempted to strike from the panel.</w:t>
      </w:r>
      <w:r>
        <w:t xml:space="preserve"> </w:t>
      </w:r>
      <w:r>
        <w:rPr>
          <w:i/>
          <w:iCs/>
        </w:rPr>
        <w:t xml:space="preserve">See, e.g., State v. Hale</w:t>
      </w:r>
      <w:r>
        <w:rPr>
          <w:i/>
          <w:iCs/>
        </w:rPr>
        <w:t xml:space="preserve">,</w:t>
      </w:r>
      <w:r>
        <w:t xml:space="preserve"> </w:t>
      </w:r>
      <w:r>
        <w:t xml:space="preserve">28 Wn. App. 2d 619, 622, 641, 537 P.3d 707 (2023),</w:t>
      </w:r>
      <w:r>
        <w:t xml:space="preserve"> </w:t>
      </w:r>
      <w:r>
        <w:rPr>
          <w:i/>
          <w:iCs/>
        </w:rPr>
        <w:t xml:space="preserve">review denied,</w:t>
      </w:r>
      <w:r>
        <w:t xml:space="preserve"> </w:t>
      </w:r>
      <w:r>
        <w:t xml:space="preserve">2 Wn.3d 1026 (2024);</w:t>
      </w:r>
      <w:r>
        <w:t xml:space="preserve"> </w:t>
      </w:r>
      <w:r>
        <w:rPr>
          <w:i/>
          <w:iCs/>
        </w:rPr>
        <w:t xml:space="preserve">State v. Booth</w:t>
      </w:r>
      <w:r>
        <w:rPr>
          <w:i/>
          <w:iCs/>
        </w:rPr>
        <w:t xml:space="preserve">,</w:t>
      </w:r>
      <w:r>
        <w:t xml:space="preserve"> </w:t>
      </w:r>
      <w:r>
        <w:t xml:space="preserve">22 Wn. App. 2d 565, 580- 85, 510 P.3d 1025 (2022). This is consistent with</w:t>
      </w:r>
      <w:r>
        <w:t xml:space="preserve"> </w:t>
      </w:r>
      <w:r>
        <w:rPr>
          <w:i/>
          <w:iCs/>
        </w:rPr>
        <w:t xml:space="preserve">Robinson</w:t>
      </w:r>
      <w:r>
        <w:t xml:space="preserve"> </w:t>
      </w:r>
      <w:r>
        <w:t xml:space="preserve">and</w:t>
      </w:r>
      <w:r>
        <w:t xml:space="preserve"> </w:t>
      </w:r>
      <w:r>
        <w:rPr>
          <w:i/>
          <w:iCs/>
        </w:rPr>
        <w:t xml:space="preserve">Templeton</w:t>
      </w:r>
      <w:r>
        <w:t xml:space="preserve"> </w:t>
      </w:r>
      <w:r>
        <w:t xml:space="preserve">that alleged violations of court rules are subject to harmless error analysis, and with this Court’s decision in</w:t>
      </w:r>
      <w:r>
        <w:t xml:space="preserve"> </w:t>
      </w:r>
      <w:r>
        <w:rPr>
          <w:i/>
          <w:iCs/>
        </w:rPr>
        <w:t xml:space="preserve">Meredith</w:t>
      </w:r>
      <w:r>
        <w:t xml:space="preserve"> </w:t>
      </w:r>
      <w:r>
        <w:t xml:space="preserve">that a court rule violation involving peremptory challenges does not amount to</w:t>
      </w:r>
      <w:r>
        <w:t xml:space="preserve"> </w:t>
      </w:r>
      <w:r>
        <w:t xml:space="preserve">“structural”</w:t>
      </w:r>
      <w:r>
        <w:t xml:space="preserve"> </w:t>
      </w:r>
      <w:r>
        <w:t xml:space="preserve">error.</w:t>
      </w:r>
      <w:r>
        <w:rPr>
          <w:rStyle w:val="FootnoteReference"/>
        </w:rPr>
        <w:footnoteReference w:id="12"/>
      </w:r>
      <w:r>
        <w:t xml:space="preserve"> </w:t>
      </w:r>
      <w:r>
        <w:rPr>
          <w:i/>
          <w:iCs/>
        </w:rPr>
        <w:t xml:space="preserve">In re Meredith</w:t>
      </w:r>
      <w:r>
        <w:rPr>
          <w:i/>
          <w:iCs/>
        </w:rPr>
        <w:t xml:space="preserve">,</w:t>
      </w:r>
      <w:r>
        <w:t xml:space="preserve"> </w:t>
      </w:r>
      <w:r>
        <w:t xml:space="preserve">191 Wn.2d at 311</w:t>
      </w:r>
      <w:r>
        <w:noBreakHyphen/>
      </w:r>
      <w:r>
        <w:t xml:space="preserve">12. An alleged violation of a procedural component of GR</w:t>
      </w:r>
      <w:r>
        <w:t xml:space="preserve"> </w:t>
      </w:r>
      <w:r>
        <w:t xml:space="preserve">37, such as the notice requirement of GR</w:t>
      </w:r>
      <w:r>
        <w:t xml:space="preserve"> </w:t>
      </w:r>
      <w:r>
        <w:t xml:space="preserve">37(i), should also be subject to harmless error review.</w:t>
      </w:r>
    </w:p>
    <w:p>
      <w:pPr>
        <w:pStyle w:val="BodyText"/>
      </w:pPr>
      <w:r>
        <w:t xml:space="preserve">Here, the Court of Appeals improperly reversed all of Bell’s convictions by applying the wrong remedy of automatic reversal. The Court of Appeals appeared to interpret this Court’s opinion in</w:t>
      </w:r>
      <w:r>
        <w:t xml:space="preserve"> </w:t>
      </w:r>
      <w:r>
        <w:rPr>
          <w:i/>
          <w:iCs/>
        </w:rPr>
        <w:t xml:space="preserve">Tesfasilasye</w:t>
      </w:r>
      <w:r>
        <w:t xml:space="preserve"> </w:t>
      </w:r>
      <w:r>
        <w:t xml:space="preserve">as requiring reversal</w:t>
      </w:r>
      <w:r>
        <w:t xml:space="preserve"> </w:t>
      </w:r>
      <w:r>
        <w:rPr>
          <w:i/>
          <w:iCs/>
        </w:rPr>
        <w:t xml:space="preserve">whenever</w:t>
      </w:r>
      <w:r>
        <w:t xml:space="preserve"> </w:t>
      </w:r>
      <w:r>
        <w:t xml:space="preserve">there is a GR</w:t>
      </w:r>
      <w:r>
        <w:t xml:space="preserve"> </w:t>
      </w:r>
      <w:r>
        <w:t xml:space="preserve">37 violation. Appx. at 5, 7. Such a broad interpretation is inconsistent with this Court’s precedent, demonstrates the confusion among lower courts regarding how to apply GR</w:t>
      </w:r>
      <w:r>
        <w:t xml:space="preserve"> </w:t>
      </w:r>
      <w:r>
        <w:t xml:space="preserve">37, and will lead to further unnecessary conviction reversals on appeal.</w:t>
      </w:r>
    </w:p>
    <w:p>
      <w:pPr>
        <w:pStyle w:val="BodyText"/>
      </w:pPr>
      <w:r>
        <w:t xml:space="preserve">“Upholding fair criminal convictions</w:t>
      </w:r>
      <w:r>
        <w:t xml:space="preserve"> </w:t>
      </w:r>
      <w:r>
        <w:t xml:space="preserve">‘promotes public respect for the criminal process by focusing on the underlying fairness of the trial rather than on the virtually inevitable presence of immaterial error.”’</w:t>
      </w:r>
      <w:r>
        <w:t xml:space="preserve"> </w:t>
      </w:r>
      <w:r>
        <w:rPr>
          <w:i/>
          <w:iCs/>
        </w:rPr>
        <w:t xml:space="preserve">Coristine</w:t>
      </w:r>
      <w:r>
        <w:rPr>
          <w:i/>
          <w:iCs/>
        </w:rPr>
        <w:t xml:space="preserve">,</w:t>
      </w:r>
      <w:r>
        <w:t xml:space="preserve"> </w:t>
      </w:r>
      <w:r>
        <w:t xml:space="preserve">177 Wn.2d at 388 (Gonzalez, J., dissenting) (quoting</w:t>
      </w:r>
      <w:r>
        <w:t xml:space="preserve"> </w:t>
      </w:r>
      <w:r>
        <w:rPr>
          <w:i/>
          <w:iCs/>
        </w:rPr>
        <w:t xml:space="preserve">Delaware v. VanArsdall</w:t>
      </w:r>
      <w:r>
        <w:rPr>
          <w:i/>
          <w:iCs/>
        </w:rPr>
        <w:t xml:space="preserve">,</w:t>
      </w:r>
      <w:r>
        <w:t xml:space="preserve"> </w:t>
      </w:r>
      <w:r>
        <w:t xml:space="preserve">475 U.S. 673, 681, 106 S. Ct. 1431, 89 L.Ed.2d 674 (1986)). Clarifying whether an alleged procedural violation of GR</w:t>
      </w:r>
      <w:r>
        <w:t xml:space="preserve"> </w:t>
      </w:r>
      <w:r>
        <w:t xml:space="preserve">37 requires automatic reversal is a matter of substantial public interest that warrants review under RAP 13.4(b)⁠(4)</w:t>
      </w:r>
      <w:r>
        <w:t xml:space="preserve">.</w:t>
      </w:r>
    </w:p>
    <w:p>
      <w:pPr>
        <w:keepNext/>
        <w:keepLines/>
        <w:spacing w:before="336" w:after="224" w:line="322" w:lineRule="exact"/>
        <w:ind w:left="720" w:hanging="720"/>
        <w:jc w:val="left"/>
      </w:pPr>
      <w:r>
        <w:rPr>
          <w:b/>
          <w:bCs/>
        </w:rPr>
        <w:t xml:space="preserve">C.</w:t>
      </w:r>
      <w:r>
        <w:rPr>
          <w:b/>
          <w:bCs/>
        </w:rPr>
        <w:t xml:space="preserve"> </w:t>
      </w:r>
      <w:r>
        <w:rPr>
          <w:b/>
          <w:bCs/>
        </w:rPr>
        <w:t xml:space="preserve">Lower</w:t>
      </w:r>
      <w:r>
        <w:rPr>
          <w:b/>
          <w:bCs/>
        </w:rPr>
        <w:t xml:space="preserve"> </w:t>
      </w:r>
      <w:r>
        <w:rPr>
          <w:b/>
          <w:bCs/>
        </w:rPr>
        <w:t xml:space="preserve">Courts</w:t>
      </w:r>
      <w:r>
        <w:rPr>
          <w:b/>
          <w:bCs/>
        </w:rPr>
        <w:t xml:space="preserve"> </w:t>
      </w:r>
      <w:r>
        <w:rPr>
          <w:b/>
          <w:bCs/>
        </w:rPr>
        <w:t xml:space="preserve">Need</w:t>
      </w:r>
      <w:r>
        <w:rPr>
          <w:b/>
          <w:bCs/>
        </w:rPr>
        <w:t xml:space="preserve"> </w:t>
      </w:r>
      <w:r>
        <w:rPr>
          <w:b/>
          <w:bCs/>
        </w:rPr>
        <w:t xml:space="preserve">Guidance</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Appellate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for</w:t>
      </w:r>
      <w:r>
        <w:rPr>
          <w:b/>
          <w:bCs/>
        </w:rPr>
        <w:t xml:space="preserve"> </w:t>
      </w:r>
      <w:r>
        <w:rPr>
          <w:b/>
          <w:bCs/>
        </w:rPr>
        <w:t xml:space="preserve">Claims</w:t>
      </w:r>
      <w:r>
        <w:rPr>
          <w:b/>
          <w:bCs/>
        </w:rPr>
        <w:t xml:space="preserve"> </w:t>
      </w:r>
      <w:r>
        <w:rPr>
          <w:b/>
          <w:bCs/>
        </w:rPr>
        <w:t xml:space="preserve">Involving</w:t>
      </w:r>
      <w:r>
        <w:rPr>
          <w:b/>
          <w:bCs/>
        </w:rPr>
        <w:t xml:space="preserve"> </w:t>
      </w:r>
      <w:r>
        <w:rPr>
          <w:b/>
          <w:bCs/>
        </w:rPr>
        <w:t xml:space="preserve">GR</w:t>
      </w:r>
      <w:r>
        <w:rPr>
          <w:b/>
          <w:bCs/>
        </w:rPr>
        <w:t xml:space="preserve"> </w:t>
      </w:r>
      <w:r>
        <w:rPr>
          <w:b/>
          <w:bCs/>
        </w:rPr>
        <w:t xml:space="preserve">37.</w:t>
      </w:r>
    </w:p>
    <w:p>
      <w:pPr>
        <w:pStyle w:val="BodyText"/>
      </w:pPr>
      <w:r>
        <w:t xml:space="preserve">GR</w:t>
      </w:r>
      <w:r>
        <w:t xml:space="preserve"> </w:t>
      </w:r>
      <w:r>
        <w:t xml:space="preserve">37 does not address the proper standard of review on appeal. In</w:t>
      </w:r>
      <w:r>
        <w:t xml:space="preserve"> </w:t>
      </w:r>
      <w:r>
        <w:rPr>
          <w:i/>
          <w:iCs/>
        </w:rPr>
        <w:t xml:space="preserve">Tesfasilasye</w:t>
      </w:r>
      <w:r>
        <w:rPr>
          <w:i/>
          <w:iCs/>
        </w:rPr>
        <w:t xml:space="preserve">,</w:t>
      </w:r>
      <w:r>
        <w:t xml:space="preserve"> </w:t>
      </w:r>
      <w:r>
        <w:t xml:space="preserve">this Court applied de novo review to a GR</w:t>
      </w:r>
      <w:r>
        <w:t xml:space="preserve"> </w:t>
      </w:r>
      <w:r>
        <w:t xml:space="preserve">37 claim and observed that</w:t>
      </w:r>
      <w:r>
        <w:t xml:space="preserve"> </w:t>
      </w:r>
      <w:r>
        <w:t xml:space="preserve">“most courts have effectively applied de novo review because the appellate court</w:t>
      </w:r>
      <w:r>
        <w:t xml:space="preserve"> </w:t>
      </w:r>
      <w:r>
        <w:t xml:space="preserve">‘stand[s] in the same position as does the trial court’</w:t>
      </w:r>
      <w:r>
        <w:t xml:space="preserve"> </w:t>
      </w:r>
      <w:r>
        <w:t xml:space="preserve">in determining whether an objective observer could conclude that race was a factor in the peremptory strike.”</w:t>
      </w:r>
      <w:r>
        <w:t xml:space="preserve"> </w:t>
      </w:r>
      <w:r>
        <w:rPr>
          <w:i/>
          <w:iCs/>
        </w:rPr>
        <w:t xml:space="preserve">Tesfasilasye</w:t>
      </w:r>
      <w:r>
        <w:rPr>
          <w:i/>
          <w:iCs/>
        </w:rPr>
        <w:t xml:space="preserve">,</w:t>
      </w:r>
      <w:r>
        <w:t xml:space="preserve"> </w:t>
      </w:r>
      <w:r>
        <w:t xml:space="preserve">200 Wn.2d at 355</w:t>
      </w:r>
      <w:r>
        <w:noBreakHyphen/>
      </w:r>
      <w:r>
        <w:t xml:space="preserve">56 (quoting</w:t>
      </w:r>
      <w:r>
        <w:t xml:space="preserve"> </w:t>
      </w:r>
      <w:r>
        <w:rPr>
          <w:i/>
          <w:iCs/>
        </w:rPr>
        <w:t xml:space="preserve">Jefferson</w:t>
      </w:r>
      <w:r>
        <w:rPr>
          <w:i/>
          <w:iCs/>
        </w:rPr>
        <w:t xml:space="preserve">,</w:t>
      </w:r>
      <w:r>
        <w:t xml:space="preserve"> </w:t>
      </w:r>
      <w:r>
        <w:t xml:space="preserve">192 Wn.2d at 250). In that case,</w:t>
      </w:r>
      <w:r>
        <w:t xml:space="preserve"> </w:t>
      </w:r>
      <w:r>
        <w:t xml:space="preserve">“there were no actual findings of fact and none of the trial court’s determinations apparently depended on an assessment of credibility.”</w:t>
      </w:r>
      <w:r>
        <w:t xml:space="preserve"> </w:t>
      </w:r>
      <w:r>
        <w:rPr>
          <w:i/>
          <w:iCs/>
        </w:rPr>
        <w:t xml:space="preserve">Id.</w:t>
      </w:r>
      <w:r>
        <w:t xml:space="preserve"> </w:t>
      </w:r>
      <w:r>
        <w:t xml:space="preserve">at 356.</w:t>
      </w:r>
    </w:p>
    <w:p>
      <w:pPr>
        <w:pStyle w:val="BodyText"/>
      </w:pPr>
      <w:r>
        <w:t xml:space="preserve">The Court left open the possibility that a trial court’s factual findings under GR</w:t>
      </w:r>
      <w:r>
        <w:t xml:space="preserve"> </w:t>
      </w:r>
      <w:r>
        <w:t xml:space="preserve">37 may be entitled to deference.</w:t>
      </w:r>
      <w:r>
        <w:t xml:space="preserve"> </w:t>
      </w:r>
      <w:r>
        <w:rPr>
          <w:i/>
          <w:iCs/>
        </w:rPr>
        <w:t xml:space="preserve">Id.</w:t>
      </w:r>
      <w:r>
        <w:t xml:space="preserve"> </w:t>
      </w:r>
      <w:r>
        <w:t xml:space="preserve">The Court stated,</w:t>
      </w:r>
      <w:r>
        <w:t xml:space="preserve"> </w:t>
      </w:r>
      <w:r>
        <w:t xml:space="preserve">“[W]e leave further refinement of the standard of review open for a case that squarely presents the question based on a well-developed record.”</w:t>
      </w:r>
      <w:r>
        <w:t xml:space="preserve"> </w:t>
      </w:r>
      <w:r>
        <w:rPr>
          <w:i/>
          <w:iCs/>
        </w:rPr>
        <w:t xml:space="preserve">Id.</w:t>
      </w:r>
      <w:r>
        <w:t xml:space="preserve"> </w:t>
      </w:r>
      <w:r>
        <w:t xml:space="preserve">at 356. This case is an appropriate vehicle for refining the standard of review under GR</w:t>
      </w:r>
      <w:r>
        <w:t xml:space="preserve"> </w:t>
      </w:r>
      <w:r>
        <w:t xml:space="preserve">37.</w:t>
      </w:r>
    </w:p>
    <w:p>
      <w:pPr>
        <w:pStyle w:val="BodyText"/>
      </w:pPr>
      <w:r>
        <w:t xml:space="preserve">GR</w:t>
      </w:r>
      <w:r>
        <w:t xml:space="preserve"> </w:t>
      </w:r>
      <w:r>
        <w:t xml:space="preserve">37(i) invites trial courts to make factual findings regarding juror conduct.</w:t>
      </w:r>
      <w:r>
        <w:t xml:space="preserve"> </w:t>
      </w:r>
      <w:r>
        <w:rPr>
          <w:i/>
          <w:iCs/>
        </w:rPr>
        <w:t xml:space="preserve">See</w:t>
      </w:r>
      <w:r>
        <w:t xml:space="preserve"> </w:t>
      </w:r>
      <w:r>
        <w:t xml:space="preserve">GR</w:t>
      </w:r>
      <w:r>
        <w:t xml:space="preserve"> </w:t>
      </w:r>
      <w:r>
        <w:t xml:space="preserve">37(i) (</w:t>
      </w:r>
      <w:r>
        <w:t xml:space="preserve">“A lack of corroboration by the judge or opposing counsel verifying the uuror’s] behavior shall invalidate the given reason for the peremptory challenge.”</w:t>
      </w:r>
      <w:r>
        <w:t xml:space="preserve">). If a trial judge’s observations can validate or invalidate the given reason for a peremptory challenge, then those observations are entitled to deference. Such deference is consistent with United States Supreme Court precedent which recognizes the importance of trial court corroboration when analyzing a peremptory challenge based on juror demeanor under</w:t>
      </w:r>
      <w:r>
        <w:t xml:space="preserve"> </w:t>
      </w:r>
      <w:r>
        <w:rPr>
          <w:i/>
          <w:iCs/>
        </w:rPr>
        <w:t xml:space="preserve">Batson</w:t>
      </w:r>
      <w:r>
        <w:rPr>
          <w:i/>
          <w:iCs/>
        </w:rPr>
        <w:t xml:space="preserve">.</w:t>
      </w:r>
      <w:r>
        <w:t xml:space="preserve"> </w:t>
      </w:r>
      <w:r>
        <w:rPr>
          <w:i/>
          <w:iCs/>
        </w:rPr>
        <w:t xml:space="preserve">See Thaler</w:t>
      </w:r>
      <w:r>
        <w:rPr>
          <w:i/>
          <w:iCs/>
        </w:rPr>
        <w:t xml:space="preserve"> </w:t>
      </w:r>
      <w:r>
        <w:rPr>
          <w:i/>
          <w:iCs/>
        </w:rPr>
        <w:t xml:space="preserve">v. Haynes,</w:t>
      </w:r>
      <w:r>
        <w:t xml:space="preserve"> </w:t>
      </w:r>
      <w:r>
        <w:t xml:space="preserve">559 U.S. 43, 48, 130 S. Ct. 1171, 175 L. Ed. 2d 1003 (2010) (observing</w:t>
      </w:r>
      <w:r>
        <w:t xml:space="preserve"> </w:t>
      </w:r>
      <w:r>
        <w:t xml:space="preserve">“where the explanation for a peremptory challenge is based on a prospective juror’s demeanor, the judge should take into account, among other things, any observations of the juror that the judge was able to make during the voir dire.”</w:t>
      </w:r>
      <w:r>
        <w:t xml:space="preserve">)</w:t>
      </w:r>
      <w:r>
        <w:t xml:space="preserve"> </w:t>
      </w:r>
      <w:r>
        <w:rPr>
          <w:i/>
          <w:iCs/>
        </w:rPr>
        <w:t xml:space="preserve">Snyder</w:t>
      </w:r>
      <w:r>
        <w:rPr>
          <w:i/>
          <w:iCs/>
        </w:rPr>
        <w:t xml:space="preserve"> </w:t>
      </w:r>
      <w:r>
        <w:rPr>
          <w:i/>
          <w:iCs/>
        </w:rPr>
        <w:t xml:space="preserve">v. Louisiana,</w:t>
      </w:r>
      <w:r>
        <w:t xml:space="preserve"> </w:t>
      </w:r>
      <w:r>
        <w:t xml:space="preserve">552 U.S. 472, 477, 128 S. Ct. 1203, 170 L. Ed. 2d 175 (2008) (noting that a trial court has a</w:t>
      </w:r>
      <w:r>
        <w:t xml:space="preserve"> </w:t>
      </w:r>
      <w:r>
        <w:t xml:space="preserve">“pivotal role in evaluating</w:t>
      </w:r>
      <w:r>
        <w:t xml:space="preserve"> </w:t>
      </w:r>
      <w:r>
        <w:rPr>
          <w:i/>
          <w:iCs/>
        </w:rPr>
        <w:t xml:space="preserve">Batson</w:t>
      </w:r>
      <w:r>
        <w:t xml:space="preserve"> </w:t>
      </w:r>
      <w:r>
        <w:t xml:space="preserve">claims,”</w:t>
      </w:r>
      <w:r>
        <w:t xml:space="preserve"> </w:t>
      </w:r>
      <w:r>
        <w:t xml:space="preserve">and when the explanation for a peremptory challenge</w:t>
      </w:r>
      <w:r>
        <w:t xml:space="preserve"> </w:t>
      </w:r>
      <w:r>
        <w:t xml:space="preserve">“invoke[s] a juror’s demeanor,”</w:t>
      </w:r>
      <w:r>
        <w:t xml:space="preserve"> </w:t>
      </w:r>
      <w:r>
        <w:t xml:space="preserve">the trial judge’s</w:t>
      </w:r>
      <w:r>
        <w:t xml:space="preserve"> </w:t>
      </w:r>
      <w:r>
        <w:t xml:space="preserve">“firsthand observations”</w:t>
      </w:r>
      <w:r>
        <w:t xml:space="preserve"> </w:t>
      </w:r>
      <w:r>
        <w:t xml:space="preserve">are of great importance).</w:t>
      </w:r>
    </w:p>
    <w:p>
      <w:pPr>
        <w:pStyle w:val="BodyText"/>
      </w:pPr>
      <w:r>
        <w:t xml:space="preserve">The Court of Appeals here applied strict de novo review and gave no deference to the trial court’s factual findings which corroborated the juror’s inattention. The trial judge observed Juror 39’s behavior during voir dire and found the juror’s behavior matched his admitted inattention.</w:t>
      </w:r>
      <w:r>
        <w:t xml:space="preserve"> </w:t>
      </w:r>
      <w:r>
        <w:rPr>
          <w:i/>
          <w:iCs/>
        </w:rPr>
        <w:t xml:space="preserve">See, e.g.,</w:t>
      </w:r>
      <w:r>
        <w:t xml:space="preserve"> </w:t>
      </w:r>
      <w:r>
        <w:t xml:space="preserve">RP 632 (</w:t>
      </w:r>
      <w:r>
        <w:t xml:space="preserve">“My observations of [Juror 39] because he’s sitting right in the front row is his mind was drifting throughout the questioning … he is right in front of my field of vision. I did notice that he was potentially staring off and not completely tracking the proceedings.”</w:t>
      </w:r>
      <w:r>
        <w:t xml:space="preserve">). This factual finding is entitled to deference, and such deference validates the State’s race-neutral reason for its peremptory challenge. The Court should grant review to provide much needed guidance regarding the appropriate standard of review on appeal. RAP 13.4(b)⁠(4)</w:t>
      </w:r>
      <w:r>
        <w:t xml:space="preserve">.</w:t>
      </w:r>
    </w:p>
    <w:p>
      <w:pPr>
        <w:keepNext/>
        <w:keepLines/>
        <w:spacing w:before="448" w:after="336" w:line="322" w:lineRule="exact"/>
        <w:ind w:left="0" w:firstLine="0"/>
        <w:jc w:val="center"/>
      </w:pPr>
      <w:r>
        <w:rPr>
          <w:b/>
          <w:bCs/>
        </w:rPr>
        <w:t xml:space="preserve">VII.</w:t>
      </w:r>
      <w:r>
        <w:rPr>
          <w:b/>
          <w:bCs/>
        </w:rPr>
        <w:t xml:space="preserve"> </w:t>
      </w:r>
      <w:r>
        <w:rPr>
          <w:b/>
          <w:bCs/>
        </w:rPr>
        <w:t xml:space="preserve">CONCLUSION</w:t>
      </w:r>
    </w:p>
    <w:p>
      <w:pPr>
        <w:pStyle w:val="BodyText"/>
      </w:pPr>
      <w:r>
        <w:t xml:space="preserve">Review in this matter is warranted under RAP 13.4(b)⁠(1)</w:t>
      </w:r>
      <w:r>
        <w:t xml:space="preserve"> </w:t>
      </w:r>
      <w:r>
        <w:t xml:space="preserve">and (4). For the foregoing reasons, the State respectfully requests this Court grant review of the Court of Appeals’ decision in this case. This document is in 14-point font and contains 4,106 words, excluding the parts of the document exempted from the word count by RAP 18.17.</w:t>
      </w:r>
    </w:p>
    <w:p>
      <w:pPr>
        <w:pStyle w:val="BodyText"/>
      </w:pPr>
      <w:r>
        <w:t xml:space="preserve">Certificate of Service: The undersigned certifies that on this day she delivered by E-file to the attorney of record for the appellant true and correct copies of the document to which this certificate is attached. This statement is certified to be true and correct under penalty of perjury of the laws of the State of Washington. Signed at Tacoma, Washington on the date below. 5</w:t>
      </w:r>
      <w:r>
        <w:noBreakHyphen/>
      </w:r>
      <w:r>
        <w:t xml:space="preserve">15</w:t>
      </w:r>
      <w:r>
        <w:noBreakHyphen/>
      </w:r>
      <w:r>
        <w:t xml:space="preserve">24</w:t>
      </w:r>
      <w:r>
        <w:t xml:space="preserve"> </w:t>
      </w:r>
      <w:r>
        <w:rPr>
          <w:i/>
          <w:iCs/>
        </w:rPr>
        <w:t xml:space="preserve">s/​Therese Nicholson</w:t>
      </w:r>
      <w:r>
        <w:t xml:space="preserve"> </w:t>
      </w:r>
      <w:r>
        <w:t xml:space="preserve">Date Signature</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4248</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18.17(b).</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15th</w:t>
            </w:r>
            <w:r>
              <w:t xml:space="preserve"> </w:t>
            </w:r>
            <w:r>
              <w:t xml:space="preserve">day</w:t>
            </w:r>
            <w:r>
              <w:t xml:space="preserve"> </w:t>
            </w:r>
            <w:r>
              <w:t xml:space="preserve">of</w:t>
            </w:r>
            <w:r>
              <w:t xml:space="preserve"> </w:t>
            </w:r>
            <w:r>
              <w:t xml:space="preserve">May,</w:t>
            </w:r>
            <w:r>
              <w:t xml:space="preserve"> </w:t>
            </w:r>
            <w:r>
              <w:t xml:space="preserve">2024.</w:t>
            </w:r>
          </w:p>
          <w:p>
            <w:pPr>
              <w:spacing w:before="112" w:after="224" w:line="322" w:lineRule="exact"/>
              <w:ind w:left="1440" w:firstLine="0"/>
              <w:jc w:val="left"/>
            </w:pPr>
            <w:r>
              <w:rPr>
                <w:b/>
                <w:bCs/>
              </w:rPr>
              <w:t xml:space="preserve">MARY</w:t>
            </w:r>
            <w:r>
              <w:rPr>
                <w:b/>
                <w:bCs/>
              </w:rPr>
              <w:t xml:space="preserve"> </w:t>
            </w:r>
            <w:r>
              <w:rPr>
                <w:b/>
                <w:bCs/>
              </w:rPr>
              <w:t xml:space="preserve">E.</w:t>
            </w:r>
            <w:r>
              <w:rPr>
                <w:b/>
                <w:bCs/>
              </w:rPr>
              <w:t xml:space="preserve"> </w:t>
            </w:r>
            <w:r>
              <w:rPr>
                <w:b/>
                <w:bCs/>
              </w:rPr>
              <w:t xml:space="preserve">ROBNETT,</w:t>
            </w:r>
            <w:r>
              <w:rPr>
                <w:b/>
                <w:bCs/>
              </w:rPr>
              <w:t xml:space="preserve"> </w:t>
            </w:r>
            <w:r>
              <w:rPr>
                <w:b/>
                <w:bCs/>
              </w:rPr>
              <w:t xml:space="preserve">Pierce</w:t>
            </w:r>
            <w:r>
              <w:rPr>
                <w:b/>
                <w:bCs/>
              </w:rPr>
              <w:t xml:space="preserve"> </w:t>
            </w:r>
            <w:r>
              <w:rPr>
                <w:b/>
                <w:bCs/>
              </w:rPr>
              <w:t xml:space="preserve">County</w:t>
            </w:r>
            <w:r>
              <w:rPr>
                <w:b/>
                <w:bCs/>
              </w:rPr>
              <w:t xml:space="preserve"> </w:t>
            </w:r>
            <w:r>
              <w:rPr>
                <w:b/>
                <w:bCs/>
              </w:rPr>
              <w:t xml:space="preserve">Prosecuting</w:t>
            </w:r>
            <w:r>
              <w:rPr>
                <w:b/>
                <w:bCs/>
              </w:rPr>
              <w:t xml:space="preserve"> </w:t>
            </w:r>
            <w:r>
              <w:rPr>
                <w:b/>
                <w:bCs/>
              </w:rPr>
              <w:t xml:space="preserve">Attorney</w:t>
            </w:r>
          </w:p>
          <w:p>
            <w:pPr>
              <w:spacing w:before="112" w:after="0" w:line="322" w:lineRule="exact"/>
              <w:ind w:left="1440" w:firstLine="0"/>
              <w:jc w:val="left"/>
            </w:pPr>
            <w:r>
              <w:rPr>
                <w:u w:val="single"/>
              </w:rPr>
              <w:t xml:space="preserve">/s/</w:t>
            </w:r>
            <w:r>
              <w:rPr>
                <w:u w:val="single"/>
              </w:rPr>
              <w:t xml:space="preserve"> </w:t>
            </w:r>
            <w:r>
              <w:rPr>
                <w:i/>
                <w:iCs/>
                <w:u w:val="single"/>
              </w:rPr>
              <w:t xml:space="preserve">Britta</w:t>
            </w:r>
            <w:r>
              <w:rPr>
                <w:i/>
                <w:iCs/>
                <w:u w:val="single"/>
              </w:rPr>
              <w:t xml:space="preserve"> </w:t>
            </w:r>
            <w:r>
              <w:rPr>
                <w:i/>
                <w:iCs/>
                <w:u w:val="single"/>
              </w:rPr>
              <w:t xml:space="preserve">Ann</w:t>
            </w:r>
            <w:r>
              <w:rPr>
                <w:i/>
                <w:iCs/>
                <w:u w:val="single"/>
              </w:rPr>
              <w:t xml:space="preserve"> </w:t>
            </w:r>
            <w:r>
              <w:rPr>
                <w:i/>
                <w:iCs/>
                <w:u w:val="single"/>
              </w:rPr>
              <w:t xml:space="preserve">Halverson,</w:t>
            </w:r>
            <w:r>
              <w:rPr>
                <w:i/>
                <w:iCs/>
                <w:u w:val="single"/>
              </w:rPr>
              <w:t xml:space="preserve"> </w:t>
            </w:r>
            <w:r>
              <w:rPr>
                <w:i/>
                <w:iCs/>
                <w:u w:val="single"/>
              </w:rPr>
              <w:t xml:space="preserve">WSB</w:t>
            </w:r>
            <w:r>
              <w:rPr>
                <w:i/>
                <w:iCs/>
                <w:u w:val="single"/>
              </w:rPr>
              <w:t xml:space="preserve"> </w:t>
            </w:r>
            <w:r>
              <w:rPr>
                <w:i/>
                <w:iCs/>
                <w:u w:val="single"/>
              </w:rPr>
              <w:t xml:space="preserve">#</w:t>
            </w:r>
            <w:r>
              <w:rPr>
                <w:i/>
                <w:iCs/>
                <w:u w:val="single"/>
              </w:rPr>
              <w:t xml:space="preserve"> </w:t>
            </w:r>
            <w:r>
              <w:rPr>
                <w:i/>
                <w:iCs/>
                <w:u w:val="single"/>
              </w:rPr>
              <w:t xml:space="preserve">44108</w:t>
            </w:r>
          </w:p>
          <w:p>
            <w:pPr>
              <w:spacing w:before="0" w:after="0" w:line="322" w:lineRule="exact"/>
              <w:ind w:left="1440" w:firstLine="0"/>
              <w:jc w:val="left"/>
            </w:pPr>
            <w:r>
              <w:t xml:space="preserve">Britta</w:t>
            </w:r>
            <w:r>
              <w:t xml:space="preserve"> </w:t>
            </w:r>
            <w:r>
              <w:t xml:space="preserve">Ann</w:t>
            </w:r>
            <w:r>
              <w:t xml:space="preserve"> </w:t>
            </w:r>
            <w:r>
              <w:t xml:space="preserve">Halverson,</w:t>
            </w:r>
            <w:r>
              <w:t xml:space="preserve"> </w:t>
            </w:r>
            <w:r>
              <w:t xml:space="preserve">WSB</w:t>
            </w:r>
            <w:r>
              <w:t xml:space="preserve"> </w:t>
            </w:r>
            <w:r>
              <w:t xml:space="preserve">#</w:t>
            </w:r>
            <w:r>
              <w:t xml:space="preserve"> </w:t>
            </w:r>
            <w:r>
              <w:t xml:space="preserve">44108</w:t>
            </w:r>
          </w:p>
          <w:p>
            <w:pPr>
              <w:spacing w:before="168" w:after="0" w:line="322" w:lineRule="exact"/>
              <w:ind w:left="1440" w:firstLine="0"/>
              <w:jc w:val="left"/>
            </w:pPr>
            <w:r>
              <w:t xml:space="preserve">Deputy</w:t>
            </w:r>
            <w:r>
              <w:t xml:space="preserve"> </w:t>
            </w:r>
            <w:r>
              <w:t xml:space="preserve">Prosecuting</w:t>
            </w:r>
            <w:r>
              <w:t xml:space="preserve"> </w:t>
            </w:r>
            <w:r>
              <w:t xml:space="preserve">Attorney</w:t>
            </w:r>
          </w:p>
          <w:p>
            <w:pPr>
              <w:spacing w:before="0" w:after="0" w:line="322" w:lineRule="exact"/>
              <w:ind w:left="1440" w:firstLine="0"/>
              <w:jc w:val="left"/>
            </w:pPr>
            <w:r>
              <w:t xml:space="preserve">Pierce</w:t>
            </w:r>
            <w:r>
              <w:t xml:space="preserve"> </w:t>
            </w:r>
            <w:r>
              <w:t xml:space="preserve">County</w:t>
            </w:r>
            <w:r>
              <w:t xml:space="preserve"> </w:t>
            </w:r>
            <w:r>
              <w:t xml:space="preserve">Prosecutor’s</w:t>
            </w:r>
            <w:r>
              <w:t xml:space="preserve"> </w:t>
            </w:r>
            <w:r>
              <w:t xml:space="preserve">Office</w:t>
            </w:r>
          </w:p>
          <w:p>
            <w:pPr>
              <w:spacing w:before="0" w:after="0" w:line="322" w:lineRule="exact"/>
              <w:ind w:left="1440" w:firstLine="0"/>
              <w:jc w:val="left"/>
            </w:pPr>
            <w:r>
              <w:t xml:space="preserve">930</w:t>
            </w:r>
            <w:r>
              <w:t xml:space="preserve"> </w:t>
            </w:r>
            <w:r>
              <w:t xml:space="preserve">Tacoma</w:t>
            </w:r>
            <w:r>
              <w:t xml:space="preserve"> </w:t>
            </w:r>
            <w:r>
              <w:t xml:space="preserve">Ave.</w:t>
            </w:r>
            <w:r>
              <w:t xml:space="preserve"> </w:t>
            </w:r>
            <w:r>
              <w:t xml:space="preserve">S,</w:t>
            </w:r>
            <w:r>
              <w:t xml:space="preserve"> </w:t>
            </w:r>
            <w:r>
              <w:t xml:space="preserve">Rm</w:t>
            </w:r>
            <w:r>
              <w:t xml:space="preserve"> </w:t>
            </w:r>
            <w:r>
              <w:t xml:space="preserve">946,</w:t>
            </w:r>
            <w:r>
              <w:t xml:space="preserve"> </w:t>
            </w:r>
            <w:r>
              <w:t xml:space="preserve">Tacoma,</w:t>
            </w:r>
            <w:r>
              <w:t xml:space="preserve"> </w:t>
            </w:r>
            <w:r>
              <w:t xml:space="preserve">WA</w:t>
            </w:r>
            <w:r>
              <w:t xml:space="preserve"> </w:t>
            </w:r>
            <w:r>
              <w:t xml:space="preserve">98402</w:t>
            </w:r>
          </w:p>
          <w:p>
            <w:pPr>
              <w:spacing w:before="0" w:after="0" w:line="322" w:lineRule="exact"/>
              <w:ind w:left="1440" w:firstLine="0"/>
              <w:jc w:val="left"/>
            </w:pPr>
            <w:r>
              <w:t xml:space="preserve">(253)</w:t>
            </w:r>
            <w:r>
              <w:t xml:space="preserve"> </w:t>
            </w:r>
            <w:r>
              <w:t xml:space="preserve">798</w:t>
              <w:noBreakHyphen/>
              <w:t xml:space="preserve">2912</w:t>
            </w:r>
          </w:p>
        </w:tc>
      </w:tr>
    </w:tbl>
    <w:sectPr>
      <w:footerReference w:type="default" r:id="rIdXdPage"/>
      <w:pgSz w:w="12240" w:h="15840"/>
      <w:pgMar w:top="2160" w:right="2160" w:bottom="2304" w:left="2880" w:header="720" w:footer="1291"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Defense counsel stated,</w:t>
      </w:r>
      <w:r>
        <w:t xml:space="preserve"> </w:t>
      </w:r>
      <w:r>
        <w:t xml:space="preserve">“[Juror 39] is the only person of color who was a male who is actually going to make it onto this panel who is not numerically prohibited from making this jury other than Juror No. 1, who, I believe, is also of Asian descent.”</w:t>
      </w:r>
      <w:r>
        <w:t xml:space="preserve"> </w:t>
      </w:r>
      <w:r>
        <w:t xml:space="preserve">RP 631</w:t>
      </w:r>
      <w:r>
        <w:noBreakHyphen/>
      </w:r>
      <w:r>
        <w:t xml:space="preserve">32. Counsel was likely referring to Juror No. 2, who was</w:t>
      </w:r>
      <w:r>
        <w:t xml:space="preserve"> </w:t>
      </w:r>
      <w:r>
        <w:t xml:space="preserve">“first”</w:t>
      </w:r>
      <w:r>
        <w:t xml:space="preserve"> </w:t>
      </w:r>
      <w:r>
        <w:t xml:space="preserve">on the panel during general voir dire, as Juror No. 1 had already been excused for cause.</w:t>
      </w:r>
      <w:r>
        <w:t xml:space="preserve"> </w:t>
      </w:r>
      <w:r>
        <w:rPr>
          <w:i/>
          <w:iCs/>
        </w:rPr>
        <w:t xml:space="preserve">See</w:t>
      </w:r>
      <w:r>
        <w:t xml:space="preserve"> </w:t>
      </w:r>
      <w:r>
        <w:t xml:space="preserve">RP 199</w:t>
      </w:r>
      <w:r>
        <w:noBreakHyphen/>
      </w:r>
      <w:r>
        <w:t xml:space="preserve">200, 355, 564. Juror No. 2 was seated as a juror in Bell’s case. CP 104, 109.</w:t>
      </w:r>
    </w:p>
  </w:footnote>
  <w:footnote w:id="10">
    <w:p>
      <w:pPr>
        <w:pStyle w:val="FootnoteText"/>
      </w:pPr>
      <w:r>
        <w:rPr>
          <w:rStyle w:val="FootnoteReference"/>
        </w:rPr>
        <w:footnoteRef/>
      </w:r>
      <w:r>
        <w:t xml:space="preserve"> </w:t>
      </w:r>
      <w:r>
        <w:t xml:space="preserve">Examples of errors reqmrmg automatic reversal include</w:t>
      </w:r>
      <w:r>
        <w:t xml:space="preserve"> </w:t>
      </w:r>
      <w:r>
        <w:t xml:space="preserve">“improper courtroom closure, complete lack of counsel, and racial discrimination in grand jury selection,”</w:t>
      </w:r>
      <w:r>
        <w:t xml:space="preserve"> </w:t>
      </w:r>
      <w:r>
        <w:t xml:space="preserve">as well as</w:t>
      </w:r>
      <w:r>
        <w:t xml:space="preserve"> </w:t>
      </w:r>
      <w:r>
        <w:t xml:space="preserve">“double jeopardy violations,”</w:t>
      </w:r>
      <w:r>
        <w:t xml:space="preserve"> </w:t>
      </w:r>
      <w:r>
        <w:t xml:space="preserve">“failure to require the State to prove its case beyond a reasonable doubt,”</w:t>
      </w:r>
      <w:r>
        <w:t xml:space="preserve"> </w:t>
      </w:r>
      <w:r>
        <w:t xml:space="preserve">and</w:t>
      </w:r>
      <w:r>
        <w:t xml:space="preserve"> </w:t>
      </w:r>
      <w:r>
        <w:t xml:space="preserve">“conflict of interest resulting in deprivation of counsel.”</w:t>
      </w:r>
      <w:r>
        <w:t xml:space="preserve"> </w:t>
      </w:r>
      <w:r>
        <w:rPr>
          <w:i/>
          <w:iCs/>
        </w:rPr>
        <w:t xml:space="preserve">In re Pers. Restraint of Meredith</w:t>
      </w:r>
      <w:r>
        <w:rPr>
          <w:i/>
          <w:iCs/>
        </w:rPr>
        <w:t xml:space="preserve">,</w:t>
      </w:r>
      <w:r>
        <w:t xml:space="preserve"> </w:t>
      </w:r>
      <w:r>
        <w:t xml:space="preserve">191 Wn.2d 300, 309</w:t>
      </w:r>
      <w:r>
        <w:noBreakHyphen/>
      </w:r>
      <w:r>
        <w:t xml:space="preserve">10 422 P.3d 458 (2018).</w:t>
      </w:r>
    </w:p>
  </w:footnote>
  <w:footnote w:id="11">
    <w:p>
      <w:pPr>
        <w:pStyle w:val="FootnoteText"/>
      </w:pPr>
      <w:r>
        <w:rPr>
          <w:rStyle w:val="FootnoteReference"/>
        </w:rPr>
        <w:footnoteRef/>
      </w:r>
      <w:r>
        <w:t xml:space="preserve"> </w:t>
      </w:r>
      <w:r>
        <w:t xml:space="preserve">GR</w:t>
      </w:r>
      <w:r>
        <w:t xml:space="preserve"> </w:t>
      </w:r>
      <w:r>
        <w:t xml:space="preserve">37(i) does</w:t>
      </w:r>
      <w:r>
        <w:t xml:space="preserve"> </w:t>
      </w:r>
      <w:r>
        <w:rPr>
          <w:i/>
          <w:iCs/>
        </w:rPr>
        <w:t xml:space="preserve">not</w:t>
      </w:r>
      <w:r>
        <w:t xml:space="preserve"> </w:t>
      </w:r>
      <w:r>
        <w:t xml:space="preserve">say that lack of notice invalidates the reason for the peremptory challenge. This Court presumably could have included such language in the rule but chose not to do so. Based on the plain language of the rule, it is only lack of corroboration which invalidates the given reason for the peremptory challenge.</w:t>
      </w:r>
    </w:p>
  </w:footnote>
  <w:footnote w:id="12">
    <w:p>
      <w:pPr>
        <w:pStyle w:val="FootnoteText"/>
      </w:pPr>
      <w:r>
        <w:rPr>
          <w:rStyle w:val="FootnoteReference"/>
        </w:rPr>
        <w:footnoteRef/>
      </w:r>
      <w:r>
        <w:t xml:space="preserve"> </w:t>
      </w:r>
      <w:r>
        <w:t xml:space="preserve">It is also consistent with United States Supreme Court precedent.</w:t>
      </w:r>
      <w:r>
        <w:t xml:space="preserve"> </w:t>
      </w:r>
      <w:r>
        <w:rPr>
          <w:i/>
          <w:iCs/>
        </w:rPr>
        <w:t xml:space="preserve">See Rivera</w:t>
      </w:r>
      <w:r>
        <w:rPr>
          <w:i/>
          <w:iCs/>
        </w:rPr>
        <w:t xml:space="preserve"> </w:t>
      </w:r>
      <w:r>
        <w:rPr>
          <w:i/>
          <w:iCs/>
        </w:rPr>
        <w:t xml:space="preserve">v. Illinois,</w:t>
      </w:r>
      <w:r>
        <w:t xml:space="preserve"> </w:t>
      </w:r>
      <w:r>
        <w:t xml:space="preserve">556 U.S. 148, 151</w:t>
      </w:r>
      <w:r>
        <w:noBreakHyphen/>
      </w:r>
      <w:r>
        <w:t xml:space="preserve">52, 160</w:t>
      </w:r>
      <w:r>
        <w:noBreakHyphen/>
      </w:r>
      <w:r>
        <w:t xml:space="preserve">62, 129 S. Ct. 1446, 173 L. Ed. 2d 320 (2009) (the erroneous denial of a peremptory challenge is not per se reversible error);</w:t>
      </w:r>
      <w:r>
        <w:t xml:space="preserve"> </w:t>
      </w:r>
      <w:r>
        <w:rPr>
          <w:i/>
          <w:iCs/>
        </w:rPr>
        <w:t xml:space="preserve">Davis v.</w:t>
      </w:r>
      <w:r>
        <w:t xml:space="preserve"> </w:t>
      </w:r>
      <w:r>
        <w:rPr>
          <w:i/>
          <w:iCs/>
        </w:rPr>
        <w:t xml:space="preserve">Ayala</w:t>
      </w:r>
      <w:r>
        <w:rPr>
          <w:i/>
          <w:iCs/>
        </w:rPr>
        <w:t xml:space="preserve">,</w:t>
      </w:r>
      <w:r>
        <w:t xml:space="preserve"> </w:t>
      </w:r>
      <w:r>
        <w:t xml:space="preserve">576 U.S. 257, 285</w:t>
      </w:r>
      <w:r>
        <w:noBreakHyphen/>
      </w:r>
      <w:r>
        <w:t xml:space="preserve">86, 135 S. Ct. 2187, 192 L. Ed. 2d 323 (2015) (holding any constitutional error in excluding defense counsel from part of</w:t>
      </w:r>
      <w:r>
        <w:t xml:space="preserve"> </w:t>
      </w:r>
      <w:r>
        <w:rPr>
          <w:i/>
          <w:iCs/>
        </w:rPr>
        <w:t xml:space="preserve">Batson</w:t>
      </w:r>
      <w:r>
        <w:t xml:space="preserve"> </w:t>
      </w:r>
      <w:r>
        <w:t xml:space="preserve">hearing was harmless).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