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pPr>
      <w:r>
        <w:rPr>
          <w:b/>
        </w:rPr>
        <w:t xml:space="preserve">No. </w:t>
      </w:r>
      <w:r>
        <w:rPr>
          <w:b/>
        </w:rPr>
        <w:t xml:space="preserve">25</w:t>
      </w:r>
      <w:r>
        <w:noBreakHyphen/>
      </w:r>
      <w:r>
        <w:rPr>
          <w:b/>
        </w:rPr>
        <w:t xml:space="preserve">10979</w:t>
      </w:r>
    </w:p>
    <w:p>
      <w:pPr>
        <w:pStyle w:val="CADoubleRule"/>
      </w:pPr>
    </w:p>
    <w:p>
      <w:pPr>
        <w:pStyle w:val="CACoverCourt"/>
      </w:pPr>
      <w:r>
        <w:t xml:space="preserve">IN THE UNITED STATES COURT OF APPEALS FOR THE FIFTH CIRCUIT</w:t>
      </w:r>
    </w:p>
    <w:p>
      <w:pPr>
        <w:pStyle w:val="CARule"/>
      </w:pPr>
    </w:p>
    <w:p>
      <w:pPr>
        <w:pStyle w:val="CACentered"/>
      </w:pPr>
      <w:r>
        <w:t xml:space="preserve">Mary</w:t>
      </w:r>
      <w:r>
        <w:t xml:space="preserve"> </w:t>
      </w:r>
      <w:r>
        <w:t xml:space="preserve">Dawes,</w:t>
      </w:r>
      <w:r>
        <w:t xml:space="preserve"> </w:t>
      </w:r>
      <w:r>
        <w:t xml:space="preserve">Individually</w:t>
      </w:r>
      <w:r>
        <w:t xml:space="preserve"> </w:t>
      </w:r>
      <w:r>
        <w:t xml:space="preserve">and</w:t>
      </w:r>
      <w:r>
        <w:t xml:space="preserve"> </w:t>
      </w:r>
      <w:r>
        <w:t xml:space="preserve">the</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Decedent</w:t>
      </w:r>
      <w:r>
        <w:t xml:space="preserve"> </w:t>
      </w:r>
      <w:r>
        <w:t xml:space="preserve">Genevive</w:t>
      </w:r>
      <w:r>
        <w:t xml:space="preserve"> </w:t>
      </w:r>
      <w:r>
        <w:t xml:space="preserve">A.</w:t>
      </w:r>
      <w:r>
        <w:t xml:space="preserve"> </w:t>
      </w:r>
      <w:r>
        <w:t xml:space="preserve">Dawes;</w:t>
      </w:r>
      <w:r>
        <w:t xml:space="preserve"> </w:t>
      </w:r>
      <w:r>
        <w:t xml:space="preserve">Alfredo</w:t>
      </w:r>
      <w:r>
        <w:t xml:space="preserve"> </w:t>
      </w:r>
      <w:r>
        <w:t xml:space="preserve">Saucedo;</w:t>
      </w:r>
      <w:r>
        <w:t xml:space="preserve"> </w:t>
      </w:r>
      <w:r>
        <w:t xml:space="preserve">Virgilio</w:t>
      </w:r>
      <w:r>
        <w:t xml:space="preserve"> </w:t>
      </w:r>
      <w:r>
        <w:t xml:space="preserve">Rosales,</w:t>
      </w:r>
    </w:p>
    <w:p>
      <w:pPr>
        <w:pStyle w:val="CACaption"/>
      </w:pPr>
      <w:r>
        <w:t xml:space="preserve">Plaintiffs</w:t>
      </w:r>
      <w:r>
        <w:t xml:space="preserve"> </w:t>
      </w:r>
      <w:r>
        <w:t xml:space="preserve">–</w:t>
      </w:r>
      <w:r>
        <w:t xml:space="preserve"> </w:t>
      </w:r>
      <w:r>
        <w:t xml:space="preserve">Appellants</w:t>
      </w:r>
    </w:p>
    <w:p>
      <w:pPr>
        <w:pStyle w:val="CACentered"/>
      </w:pPr>
      <w:r>
        <w:t xml:space="preserve">v.</w:t>
      </w:r>
    </w:p>
    <w:p>
      <w:pPr>
        <w:pStyle w:val="CACentered"/>
      </w:pPr>
      <w:r>
        <w:t xml:space="preserve">City</w:t>
      </w:r>
      <w:r>
        <w:t xml:space="preserve"> </w:t>
      </w:r>
      <w:r>
        <w:t xml:space="preserve">of</w:t>
      </w:r>
      <w:r>
        <w:t xml:space="preserve"> </w:t>
      </w:r>
      <w:r>
        <w:t xml:space="preserve">Dallas;</w:t>
      </w:r>
      <w:r>
        <w:t xml:space="preserve"> </w:t>
      </w:r>
      <w:r>
        <w:t xml:space="preserve">Christopher</w:t>
      </w:r>
      <w:r>
        <w:t xml:space="preserve"> </w:t>
      </w:r>
      <w:r>
        <w:t xml:space="preserve">Hess;</w:t>
      </w:r>
      <w:r>
        <w:t xml:space="preserve"> </w:t>
      </w:r>
      <w:r>
        <w:t xml:space="preserve">Jason</w:t>
      </w:r>
      <w:r>
        <w:t xml:space="preserve"> </w:t>
      </w:r>
      <w:r>
        <w:t xml:space="preserve">Kimpel,</w:t>
      </w:r>
    </w:p>
    <w:p>
      <w:pPr>
        <w:pStyle w:val="CACaption"/>
      </w:pPr>
      <w:r>
        <w:t xml:space="preserve">Defendants</w:t>
      </w:r>
      <w:r>
        <w:t xml:space="preserve"> </w:t>
      </w:r>
      <w:r>
        <w:t xml:space="preserve">–</w:t>
      </w:r>
      <w:r>
        <w:t xml:space="preserve"> </w:t>
      </w:r>
      <w:r>
        <w:t xml:space="preserve">Appellees</w:t>
      </w:r>
    </w:p>
    <w:p>
      <w:pPr>
        <w:pStyle w:val="CARule"/>
      </w:pPr>
    </w:p>
    <w:p>
      <w:pPr>
        <w:pStyle w:val="CACentered"/>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Texas,</w:t>
      </w:r>
      <w:r>
        <w:t xml:space="preserve"> </w:t>
      </w:r>
      <w:r>
        <w:t xml:space="preserve">Dallas</w:t>
      </w:r>
      <w:r>
        <w:t xml:space="preserve"> </w:t>
      </w:r>
      <w:r>
        <w:t xml:space="preserve">Division</w:t>
      </w:r>
    </w:p>
    <w:p>
      <w:pPr>
        <w:pStyle w:val="CARule"/>
      </w:pPr>
    </w:p>
    <w:p>
      <w:pPr>
        <w:pStyle w:val="CACentered"/>
      </w:pPr>
      <w:r>
        <w:rPr>
          <w:b/>
        </w:rPr>
        <w:t xml:space="preserve">BRIEF</w:t>
      </w:r>
      <w:r>
        <w:rPr>
          <w:b/>
        </w:rPr>
        <w:t xml:space="preserve"> </w:t>
      </w:r>
      <w:r>
        <w:rPr>
          <w:b/>
        </w:rPr>
        <w:t xml:space="preserve">OF</w:t>
      </w:r>
      <w:r>
        <w:rPr>
          <w:b/>
        </w:rPr>
        <w:t xml:space="preserve"> </w:t>
      </w:r>
      <w:r>
        <w:rPr>
          <w:b/>
        </w:rPr>
        <w:t xml:space="preserve">APPELLEE</w:t>
      </w:r>
      <w:r>
        <w:rPr>
          <w:b/>
        </w:rPr>
        <w:t xml:space="preserve"> </w:t>
      </w:r>
      <w:r>
        <w:rPr>
          <w:b/>
        </w:rPr>
        <w:t xml:space="preserve">CITY</w:t>
      </w:r>
      <w:r>
        <w:rPr>
          <w:b/>
        </w:rPr>
        <w:t xml:space="preserve"> </w:t>
      </w:r>
      <w:r>
        <w:rPr>
          <w:b/>
        </w:rPr>
        <w:t xml:space="preserve">OF</w:t>
      </w:r>
      <w:r>
        <w:rPr>
          <w:b/>
        </w:rPr>
        <w:t xml:space="preserve"> </w:t>
      </w:r>
      <w:r>
        <w:rPr>
          <w:b/>
        </w:rPr>
        <w:t xml:space="preserve">DALLAS</w:t>
      </w:r>
    </w:p>
    <w:p>
      <w:pPr>
        <w:pStyle w:val="CARule"/>
      </w:pPr>
    </w:p>
    <w:p>
      <w:pPr>
        <w:pStyle w:val="CACaption"/>
        <w:keepNext/>
      </w:pPr>
      <w:r>
        <w:t xml:space="preserve">TAMMY</w:t>
      </w:r>
      <w:r>
        <w:t xml:space="preserve"> </w:t>
      </w:r>
      <w:r>
        <w:t xml:space="preserve">L.</w:t>
      </w:r>
      <w:r>
        <w:t xml:space="preserve"> </w:t>
      </w:r>
      <w:r>
        <w:t xml:space="preserve">PALOMINO</w:t>
      </w:r>
    </w:p>
    <w:p>
      <w:pPr>
        <w:pStyle w:val="CACaption"/>
        <w:keepNext/>
        <w:ind w:left="4820" w:firstLine="0"/>
      </w:pPr>
      <w:r>
        <w:rPr>
          <w:i/>
        </w:rPr>
        <w:t xml:space="preserve">City</w:t>
      </w:r>
      <w:r>
        <w:rPr>
          <w:i/>
        </w:rPr>
        <w:t xml:space="preserve"> </w:t>
      </w:r>
      <w:r>
        <w:rPr>
          <w:i/>
        </w:rPr>
        <w:t xml:space="preserve">Attorney</w:t>
      </w:r>
    </w:p>
    <w:p>
      <w:pPr>
        <w:pStyle w:val="CACaption"/>
        <w:keepNext/>
        <w:spacing w:before="140" w:after="0" w:line="400" w:lineRule="exact"/>
      </w:pPr>
      <w:r>
        <w:t xml:space="preserve">JENNIFER</w:t>
      </w:r>
      <w:r>
        <w:t xml:space="preserve"> </w:t>
      </w:r>
      <w:r>
        <w:t xml:space="preserve">C.</w:t>
      </w:r>
      <w:r>
        <w:t xml:space="preserve"> </w:t>
      </w:r>
      <w:r>
        <w:t xml:space="preserve">HUGGARD</w:t>
      </w:r>
    </w:p>
    <w:p>
      <w:pPr>
        <w:pStyle w:val="CACaption"/>
        <w:keepNext/>
        <w:ind w:left="4820" w:firstLine="0"/>
      </w:pPr>
      <w:r>
        <w:rPr>
          <w:i/>
        </w:rPr>
        <w:t xml:space="preserve">Chief</w:t>
      </w:r>
      <w:r>
        <w:rPr>
          <w:i/>
        </w:rPr>
        <w:t xml:space="preserve"> </w:t>
      </w:r>
      <w:r>
        <w:rPr>
          <w:i/>
        </w:rPr>
        <w:t xml:space="preserve">of</w:t>
      </w:r>
      <w:r>
        <w:rPr>
          <w:i/>
        </w:rPr>
        <w:t xml:space="preserve"> </w:t>
      </w:r>
      <w:r>
        <w:rPr>
          <w:i/>
        </w:rPr>
        <w:t xml:space="preserve">Litigation</w:t>
      </w:r>
    </w:p>
    <w:p>
      <w:pPr>
        <w:pStyle w:val="CACaption"/>
        <w:keepNext/>
        <w:spacing w:before="140" w:after="0" w:line="400" w:lineRule="exact"/>
      </w:pPr>
      <w:r>
        <w:t xml:space="preserve">NICHOLAS</w:t>
      </w:r>
      <w:r>
        <w:t xml:space="preserve"> </w:t>
      </w:r>
      <w:r>
        <w:t xml:space="preserve">D.</w:t>
      </w:r>
      <w:r>
        <w:t xml:space="preserve"> </w:t>
      </w:r>
      <w:r>
        <w:t xml:space="preserve">PALMER</w:t>
      </w:r>
    </w:p>
    <w:p>
      <w:pPr>
        <w:pStyle w:val="CACaption"/>
        <w:keepNext/>
        <w:ind w:left="4820" w:firstLine="0"/>
      </w:pPr>
      <w:r>
        <w:rPr>
          <w:i/>
        </w:rPr>
        <w:t xml:space="preserve">Chief</w:t>
      </w:r>
      <w:r>
        <w:rPr>
          <w:i/>
        </w:rPr>
        <w:t xml:space="preserve"> </w:t>
      </w:r>
      <w:r>
        <w:rPr>
          <w:i/>
        </w:rPr>
        <w:t xml:space="preserve">of</w:t>
      </w:r>
      <w:r>
        <w:rPr>
          <w:i/>
        </w:rPr>
        <w:t xml:space="preserve"> </w:t>
      </w:r>
      <w:r>
        <w:rPr>
          <w:i/>
        </w:rPr>
        <w:t xml:space="preserve">Appellate</w:t>
      </w:r>
      <w:r>
        <w:rPr>
          <w:i/>
        </w:rPr>
        <w:t xml:space="preserve"> </w:t>
      </w:r>
      <w:r>
        <w:rPr>
          <w:i/>
        </w:rPr>
        <w:t xml:space="preserve">Section</w:t>
      </w:r>
    </w:p>
    <w:p>
      <w:pPr>
        <w:pStyle w:val="CACaption"/>
        <w:keepNext/>
        <w:spacing w:before="140" w:after="0" w:line="400" w:lineRule="exact"/>
      </w:pPr>
      <w:r>
        <w:t xml:space="preserve">J.</w:t>
      </w:r>
      <w:r>
        <w:t xml:space="preserve"> </w:t>
      </w:r>
      <w:r>
        <w:t xml:space="preserve">CHEVES</w:t>
      </w:r>
      <w:r>
        <w:t xml:space="preserve"> </w:t>
      </w:r>
      <w:r>
        <w:t xml:space="preserve">LIGON</w:t>
      </w:r>
    </w:p>
    <w:p>
      <w:pPr>
        <w:pStyle w:val="CACaption"/>
        <w:keepNext/>
        <w:ind w:left="4820" w:firstLine="0"/>
      </w:pPr>
      <w:r>
        <w:rPr>
          <w:i/>
        </w:rPr>
        <w:t xml:space="preserve">State</w:t>
      </w:r>
      <w:r>
        <w:rPr>
          <w:i/>
        </w:rPr>
        <w:t xml:space="preserve"> </w:t>
      </w:r>
      <w:r>
        <w:rPr>
          <w:i/>
        </w:rPr>
        <w:t xml:space="preserve">Bar</w:t>
      </w:r>
      <w:r>
        <w:rPr>
          <w:i/>
        </w:rPr>
        <w:t xml:space="preserve"> </w:t>
      </w:r>
      <w:r>
        <w:rPr>
          <w:i/>
        </w:rPr>
        <w:t xml:space="preserve">No.</w:t>
      </w:r>
      <w:r>
        <w:rPr>
          <w:i/>
        </w:rPr>
        <w:t xml:space="preserve"> </w:t>
      </w:r>
      <w:r>
        <w:rPr>
          <w:i/>
        </w:rPr>
        <w:t xml:space="preserve">24070147</w:t>
      </w:r>
    </w:p>
    <w:p>
      <w:pPr>
        <w:pStyle w:val="CACaption"/>
        <w:keepNext/>
        <w:ind w:left="4820" w:firstLine="0"/>
      </w:pPr>
      <w:r>
        <w:rPr>
          <w:i/>
        </w:rPr>
        <w:t xml:space="preserve">Assistant</w:t>
      </w:r>
      <w:r>
        <w:rPr>
          <w:i/>
        </w:rPr>
        <w:t xml:space="preserve"> </w:t>
      </w:r>
      <w:r>
        <w:rPr>
          <w:i/>
        </w:rPr>
        <w:t xml:space="preserve">City</w:t>
      </w:r>
      <w:r>
        <w:rPr>
          <w:i/>
        </w:rPr>
        <w:t xml:space="preserve"> </w:t>
      </w:r>
      <w:r>
        <w:rPr>
          <w:i/>
        </w:rPr>
        <w:t xml:space="preserve">Attorney</w:t>
      </w:r>
    </w:p>
    <w:p>
      <w:pPr>
        <w:pStyle w:val="CACaption"/>
        <w:keepNext/>
        <w:ind w:left="4820" w:firstLine="0"/>
      </w:pPr>
      <w:r>
        <w:rPr>
          <w:i/>
        </w:rPr>
        <w:t xml:space="preserve">CITY</w:t>
      </w:r>
      <w:r>
        <w:rPr>
          <w:i/>
        </w:rPr>
        <w:t xml:space="preserve"> </w:t>
      </w:r>
      <w:r>
        <w:rPr>
          <w:i/>
        </w:rPr>
        <w:t xml:space="preserve">ATTORNEY’S</w:t>
      </w:r>
      <w:r>
        <w:rPr>
          <w:i/>
        </w:rPr>
        <w:t xml:space="preserve"> </w:t>
      </w:r>
      <w:r>
        <w:rPr>
          <w:i/>
        </w:rPr>
        <w:t xml:space="preserve">OFFICE</w:t>
      </w:r>
    </w:p>
    <w:p>
      <w:pPr>
        <w:pStyle w:val="CACaption"/>
        <w:keepNext/>
        <w:ind w:left="4820" w:firstLine="0"/>
      </w:pPr>
      <w:r>
        <w:rPr>
          <w:i/>
        </w:rPr>
        <w:t xml:space="preserve">1500</w:t>
      </w:r>
      <w:r>
        <w:rPr>
          <w:i/>
        </w:rPr>
        <w:t xml:space="preserve"> </w:t>
      </w:r>
      <w:r>
        <w:rPr>
          <w:i/>
        </w:rPr>
        <w:t xml:space="preserve">Marilla</w:t>
      </w:r>
      <w:r>
        <w:rPr>
          <w:i/>
        </w:rPr>
        <w:t xml:space="preserve"> </w:t>
      </w:r>
      <w:r>
        <w:rPr>
          <w:i/>
        </w:rPr>
        <w:t xml:space="preserve">Street,</w:t>
      </w:r>
      <w:r>
        <w:rPr>
          <w:i/>
        </w:rPr>
        <w:t xml:space="preserve"> </w:t>
      </w:r>
      <w:r>
        <w:rPr>
          <w:i/>
        </w:rPr>
        <w:t xml:space="preserve">Suite</w:t>
      </w:r>
      <w:r>
        <w:rPr>
          <w:i/>
        </w:rPr>
        <w:t xml:space="preserve"> </w:t>
      </w:r>
      <w:r>
        <w:rPr>
          <w:i/>
        </w:rPr>
        <w:t xml:space="preserve">7DN</w:t>
      </w:r>
    </w:p>
    <w:p>
      <w:pPr>
        <w:pStyle w:val="CACaption"/>
        <w:keepNext/>
        <w:ind w:left="4820" w:firstLine="0"/>
      </w:pPr>
      <w:r>
        <w:rPr>
          <w:i/>
        </w:rPr>
        <w:t xml:space="preserve">Dallas,</w:t>
      </w:r>
      <w:r>
        <w:rPr>
          <w:i/>
        </w:rPr>
        <w:t xml:space="preserve"> </w:t>
      </w:r>
      <w:r>
        <w:rPr>
          <w:i/>
        </w:rPr>
        <w:t xml:space="preserve">Texas</w:t>
      </w:r>
      <w:r>
        <w:rPr>
          <w:i/>
        </w:rPr>
        <w:t xml:space="preserve"> </w:t>
      </w:r>
      <w:r>
        <w:rPr>
          <w:i/>
        </w:rPr>
        <w:t xml:space="preserve">75201</w:t>
      </w:r>
    </w:p>
    <w:p>
      <w:pPr>
        <w:pStyle w:val="CACaption"/>
        <w:keepNext/>
        <w:ind w:left="4820" w:firstLine="0"/>
      </w:pPr>
      <w:r>
        <w:rPr>
          <w:i/>
        </w:rPr>
        <w:t xml:space="preserve">214</w:t>
      </w:r>
      <w:r>
        <w:noBreakHyphen/>
      </w:r>
      <w:r>
        <w:rPr>
          <w:i/>
        </w:rPr>
        <w:t xml:space="preserve">670</w:t>
      </w:r>
      <w:r>
        <w:noBreakHyphen/>
      </w:r>
      <w:r>
        <w:rPr>
          <w:i/>
        </w:rPr>
        <w:t xml:space="preserve">3519</w:t>
      </w:r>
    </w:p>
    <w:p>
      <w:pPr>
        <w:pStyle w:val="CACaption"/>
        <w:spacing w:before="112" w:after="0" w:line="400" w:lineRule="exact"/>
      </w:pPr>
      <w:r>
        <w:rPr>
          <w:b/>
        </w:rPr>
        <w:t xml:space="preserve">ATTORNEYS</w:t>
      </w:r>
      <w:r>
        <w:rPr>
          <w:b/>
        </w:rPr>
        <w:t xml:space="preserve"> </w:t>
      </w:r>
      <w:r>
        <w:rPr>
          <w:b/>
        </w:rPr>
        <w:t xml:space="preserve">FOR</w:t>
      </w:r>
      <w:r>
        <w:rPr>
          <w:b/>
        </w:rPr>
        <w:t xml:space="preserve"> </w:t>
      </w:r>
      <w:r>
        <w:rPr>
          <w:b/>
        </w:rPr>
        <w:t xml:space="preserve">THE</w:t>
      </w:r>
      <w:r>
        <w:rPr>
          <w:b/>
        </w:rPr>
        <w:t xml:space="preserve"> </w:t>
      </w:r>
      <w:r>
        <w:rPr>
          <w:b/>
        </w:rPr>
        <w:t xml:space="preserve">CITY</w:t>
      </w:r>
      <w:r>
        <w:rPr>
          <w:b/>
        </w:rPr>
        <w:t xml:space="preserve"> </w:t>
      </w:r>
      <w:r>
        <w:rPr>
          <w:b/>
        </w:rPr>
        <w:t xml:space="preserve">OF</w:t>
      </w:r>
      <w:r>
        <w:rPr>
          <w:b/>
        </w:rPr>
        <w:t xml:space="preserve"> </w:t>
      </w:r>
      <w:r>
        <w:rPr>
          <w:b/>
        </w:rPr>
        <w:t xml:space="preserve">DALLAS</w:t>
      </w:r>
    </w:p>
    <w:p>
      <w:pPr>
        <w:pStyle w:val="CADoubleRule"/>
      </w:pPr>
    </w:p>
    <w:p>
      <w:pPr>
        <w:spacing w:before="0" w:after="0" w:line="20" w:lineRule="exact"/>
        <w:sectPr>
          <w:pgSz w:w="12240" w:h="15840"/>
          <w:pgMar w:top="1440" w:right="1440" w:bottom="1440" w:left="1440" w:header="720" w:footer="720" w:gutter="0"/>
          <w:pgNumType w:fmt="decimal" w:start="1"/>
        </w:sectPr>
      </w:pPr>
    </w:p>
    <w:p>
      <w:pPr>
        <w:pStyle w:val="CASection"/>
        <w:spacing w:before="0" w:after="308" w:line="400" w:lineRule="exact"/>
      </w:pPr>
      <w:r>
        <w:t xml:space="preserve">Certificate of Interested Persons</w:t>
      </w:r>
    </w:p>
    <w:p>
      <w:pPr>
        <w:pStyle w:val="FirstParagraph"/>
      </w:pPr>
      <w:r>
        <w:t xml:space="preserve">The Appellee-Defendant City of Dallas (the “City”), as a governmental party, is exempt from the requirement to certify interested persons under Local Rule 28.2.1.</w:t>
      </w:r>
    </w:p>
    <w:p>
      <w:pPr>
        <w:pStyle w:val="CAMark"/>
        <w:spacing w:before="392" w:after="0" w:line="400" w:lineRule="exact"/>
      </w:pPr>
      <w:r>
        <w:t xml:space="preserve">s/ J. Cheves Ligon</w:t>
      </w:r>
      <w:r>
        <w:br/>
      </w:r>
      <w:r>
        <w:t xml:space="preserve">Assistant</w:t>
      </w:r>
      <w:r>
        <w:t xml:space="preserve"> </w:t>
      </w:r>
      <w:r>
        <w:t xml:space="preserve">City</w:t>
      </w:r>
      <w:r>
        <w:t xml:space="preserve"> </w:t>
      </w:r>
      <w:r>
        <w:t xml:space="preserve">Attorney</w:t>
      </w:r>
    </w:p>
    <w:p>
      <w:pPr>
        <w:pStyle w:val="CASection"/>
        <w:pageBreakBefore/>
        <w:spacing w:before="0" w:after="308" w:line="400" w:lineRule="exact"/>
      </w:pPr>
      <w:r>
        <w:t xml:space="preserve">Statement Regarding Oral Argument</w:t>
      </w:r>
    </w:p>
    <w:p>
      <w:pPr>
        <w:pStyle w:val="BodyText"/>
      </w:pPr>
      <w:r>
        <w:t xml:space="preserve">The City believes oral argument is not necessary because the factual and legal issues in this appeal involve settled issues of law, so argument will not assist this Court in determining whether the evidence in the record creates a fact issue as to Appellants’</w:t>
      </w:r>
      <w:r>
        <w:t xml:space="preserve"> </w:t>
      </w:r>
      <w:r>
        <w:rPr>
          <w:i/>
          <w:iCs/>
        </w:rPr>
        <w:t xml:space="preserve">Monell</w:t>
      </w:r>
      <w:r>
        <w:t xml:space="preserve"> </w:t>
      </w:r>
      <w:r>
        <w:t xml:space="preserve">claims.</w:t>
      </w:r>
    </w:p>
    <w:p>
      <w:pPr>
        <w:pStyle w:val="CASection"/>
        <w:pageBreakBefore/>
        <w:spacing w:before="0" w:after="308" w:line="400" w:lineRule="exact"/>
      </w:pPr>
      <w:r>
        <w:t xml:space="preserve">Table of Contents</w:t>
      </w:r>
    </w:p>
    <w:p>
      <w:pPr>
        <w:pStyle w:val="CATocPage"/>
      </w:pPr>
      <w:r>
        <w:t xml:space="preserve">Page</w:t>
      </w:r>
    </w:p>
    <w:p>
      <w:pPr>
        <w:pStyle w:val="CATocTop"/>
      </w:pPr>
      <w:r>
        <w:t xml:space="preserve">CERTIFICATE OF INTERESTED PERSONS</w:t>
      </w:r>
      <w:r>
        <w:t xml:space="preserve">   </w:t>
      </w:r>
      <w:r>
        <w:tab/>
      </w:r>
      <w:r>
        <w:t xml:space="preserve">2</w:t>
      </w:r>
    </w:p>
    <w:p>
      <w:pPr>
        <w:pStyle w:val="CATocTop"/>
      </w:pPr>
      <w:r>
        <w:t xml:space="preserve">STATEMENT REGARDING ORAL ARGUMENT</w:t>
      </w:r>
      <w:r>
        <w:t xml:space="preserve">   </w:t>
      </w:r>
      <w:r>
        <w:tab/>
      </w:r>
      <w:r>
        <w:t xml:space="preserve">3</w:t>
      </w:r>
    </w:p>
    <w:p>
      <w:pPr>
        <w:pStyle w:val="CATocTop"/>
      </w:pPr>
      <w:r>
        <w:t xml:space="preserve">TABLE OF AUTHORITIES</w:t>
      </w:r>
      <w:r>
        <w:t xml:space="preserve">   </w:t>
      </w:r>
      <w:r>
        <w:tab/>
      </w:r>
      <w:r>
        <w:t xml:space="preserve">5</w:t>
      </w:r>
    </w:p>
    <w:p>
      <w:pPr>
        <w:pStyle w:val="CATocTop"/>
      </w:pPr>
      <w:r>
        <w:t xml:space="preserve">RESPONSE</w:t>
      </w:r>
      <w:r>
        <w:t xml:space="preserve"> </w:t>
      </w:r>
      <w:r>
        <w:t xml:space="preserve">TO</w:t>
      </w:r>
      <w:r>
        <w:t xml:space="preserve"> </w:t>
      </w:r>
      <w:r>
        <w:t xml:space="preserve">STATEMENT</w:t>
      </w:r>
      <w:r>
        <w:t xml:space="preserve"> </w:t>
      </w:r>
      <w:r>
        <w:t xml:space="preserve">OF</w:t>
      </w:r>
      <w:r>
        <w:t xml:space="preserve"> </w:t>
      </w:r>
      <w:r>
        <w:t xml:space="preserve">ISSUES</w:t>
      </w:r>
      <w:r>
        <w:t xml:space="preserve">   </w:t>
      </w:r>
      <w:r>
        <w:tab/>
      </w:r>
      <w:r>
        <w:t xml:space="preserve">7</w:t>
      </w:r>
    </w:p>
    <w:p>
      <w:pPr>
        <w:pStyle w:val="CATocTop"/>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pStyle w:val="CATocTop"/>
      </w:pPr>
      <w:r>
        <w:t xml:space="preserve">SUMMARY</w:t>
      </w:r>
      <w:r>
        <w:t xml:space="preserve"> </w:t>
      </w:r>
      <w:r>
        <w:t xml:space="preserve">OF</w:t>
      </w:r>
      <w:r>
        <w:t xml:space="preserve"> </w:t>
      </w:r>
      <w:r>
        <w:t xml:space="preserve">ARGUMENT</w:t>
      </w:r>
      <w:r>
        <w:t xml:space="preserve">   </w:t>
      </w:r>
      <w:r>
        <w:tab/>
      </w:r>
      <w:r>
        <w:t xml:space="preserve">9</w:t>
      </w:r>
    </w:p>
    <w:p>
      <w:pPr>
        <w:pStyle w:val="CATocTop"/>
      </w:pPr>
      <w:r>
        <w:t xml:space="preserve">ARGUMENT</w:t>
      </w:r>
      <w:r>
        <w:t xml:space="preserve">   </w:t>
      </w:r>
      <w:r>
        <w:tab/>
      </w:r>
      <w:r>
        <w:t xml:space="preserve">10</w:t>
      </w:r>
    </w:p>
    <w:p>
      <w:pPr>
        <w:pStyle w:val="CATocS0"/>
      </w:pPr>
      <w:r>
        <w:t xml:space="preserve">I.</w:t>
      </w:r>
      <w:r>
        <w:tab/>
      </w:r>
      <w:r>
        <w:t xml:space="preserve">A</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based</w:t>
      </w:r>
      <w:r>
        <w:t xml:space="preserve"> </w:t>
      </w:r>
      <w:r>
        <w:t xml:space="preserve">on</w:t>
      </w:r>
      <w:r>
        <w:t xml:space="preserve"> </w:t>
      </w:r>
      <w:r>
        <w:t xml:space="preserve">use</w:t>
      </w:r>
      <w:r>
        <w:t xml:space="preserve"> </w:t>
      </w:r>
      <w:r>
        <w:t xml:space="preserve">of</w:t>
      </w:r>
      <w:r>
        <w:t xml:space="preserve"> </w:t>
      </w:r>
      <w:r>
        <w:t xml:space="preserve">force</w:t>
      </w:r>
      <w:r>
        <w:t xml:space="preserve"> </w:t>
      </w:r>
      <w:r>
        <w:t xml:space="preserve">is</w:t>
      </w:r>
      <w:r>
        <w:t xml:space="preserve"> </w:t>
      </w:r>
      <w:r>
        <w:t xml:space="preserve">reviewed</w:t>
      </w:r>
      <w:r>
        <w:t xml:space="preserve"> </w:t>
      </w:r>
      <w:r>
        <w:t xml:space="preserve">de</w:t>
      </w:r>
      <w:r>
        <w:t xml:space="preserve"> </w:t>
      </w:r>
      <w:r>
        <w:t xml:space="preserve">novo.</w:t>
      </w:r>
      <w:r>
        <w:t xml:space="preserve">   </w:t>
      </w:r>
      <w:r>
        <w:tab/>
      </w:r>
      <w:r>
        <w:t xml:space="preserve">10</w:t>
      </w:r>
    </w:p>
    <w:p>
      <w:pPr>
        <w:pStyle w:val="CATocS0"/>
      </w:pPr>
      <w:r>
        <w:t xml:space="preserve">II.</w:t>
      </w:r>
      <w:r>
        <w:tab/>
      </w:r>
      <w:r>
        <w:t xml:space="preserve">The</w:t>
      </w:r>
      <w:r>
        <w:t xml:space="preserve"> </w:t>
      </w:r>
      <w:r>
        <w:t xml:space="preserve">district</w:t>
      </w:r>
      <w:r>
        <w:t xml:space="preserve"> </w:t>
      </w:r>
      <w:r>
        <w:t xml:space="preserve">court</w:t>
      </w:r>
      <w:r>
        <w:t xml:space="preserve"> </w:t>
      </w:r>
      <w:r>
        <w:t xml:space="preserve">correctly</w:t>
      </w:r>
      <w:r>
        <w:t xml:space="preserve"> </w:t>
      </w:r>
      <w:r>
        <w:t xml:space="preserve">rendered</w:t>
      </w:r>
      <w:r>
        <w:t xml:space="preserve"> </w:t>
      </w:r>
      <w:r>
        <w:t xml:space="preserve">summary</w:t>
      </w:r>
      <w:r>
        <w:t xml:space="preserve"> </w:t>
      </w:r>
      <w:r>
        <w:t xml:space="preserve">judgment</w:t>
      </w:r>
      <w:r>
        <w:t xml:space="preserve"> </w:t>
      </w:r>
      <w:r>
        <w:t xml:space="preserve">for</w:t>
      </w:r>
      <w:r>
        <w:t xml:space="preserve"> </w:t>
      </w:r>
      <w:r>
        <w:t xml:space="preserve">the</w:t>
      </w:r>
      <w:r>
        <w:t xml:space="preserve"> </w:t>
      </w:r>
      <w:r>
        <w:t xml:space="preserve">City</w:t>
      </w:r>
      <w:r>
        <w:t xml:space="preserve"> </w:t>
      </w:r>
      <w:r>
        <w:t xml:space="preserve">on</w:t>
      </w:r>
      <w:r>
        <w:t xml:space="preserve"> </w:t>
      </w:r>
      <w:r>
        <w:t xml:space="preserve">Appellants’</w:t>
      </w:r>
      <w:r>
        <w:t xml:space="preserve"> </w:t>
      </w:r>
      <w:r>
        <w:rPr>
          <w:i/>
        </w:rPr>
        <w:t xml:space="preserve">Monell</w:t>
      </w:r>
      <w:r>
        <w:t xml:space="preserve"> </w:t>
      </w:r>
      <w:r>
        <w:t xml:space="preserve">claims</w:t>
      </w:r>
      <w:r>
        <w:t xml:space="preserve"> </w:t>
      </w:r>
      <w:r>
        <w:t xml:space="preserve">on</w:t>
      </w:r>
      <w:r>
        <w:t xml:space="preserve"> </w:t>
      </w:r>
      <w:r>
        <w:t xml:space="preserve">the</w:t>
      </w:r>
      <w:r>
        <w:t xml:space="preserve"> </w:t>
      </w:r>
      <w:r>
        <w:t xml:space="preserve">ground</w:t>
      </w:r>
      <w:r>
        <w:t xml:space="preserve"> </w:t>
      </w:r>
      <w:r>
        <w:t xml:space="preserve">that</w:t>
      </w:r>
      <w:r>
        <w:t xml:space="preserve"> </w:t>
      </w:r>
      <w:r>
        <w:t xml:space="preserve">the</w:t>
      </w:r>
      <w:r>
        <w:t xml:space="preserve"> </w:t>
      </w:r>
      <w:r>
        <w:t xml:space="preserve">Officers</w:t>
      </w:r>
      <w:r>
        <w:t xml:space="preserve"> </w:t>
      </w:r>
      <w:r>
        <w:t xml:space="preserve">did</w:t>
      </w:r>
      <w:r>
        <w:t xml:space="preserve"> </w:t>
      </w:r>
      <w:r>
        <w:t xml:space="preserve">not</w:t>
      </w:r>
      <w:r>
        <w:t xml:space="preserve"> </w:t>
      </w:r>
      <w:r>
        <w:t xml:space="preserve">use</w:t>
      </w:r>
      <w:r>
        <w:t xml:space="preserve"> </w:t>
      </w:r>
      <w:r>
        <w:t xml:space="preserve">unreasonable</w:t>
      </w:r>
      <w:r>
        <w:t xml:space="preserve"> </w:t>
      </w:r>
      <w:r>
        <w:t xml:space="preserve">force</w:t>
      </w:r>
      <w:r>
        <w:t xml:space="preserve"> </w:t>
      </w:r>
      <w:r>
        <w:t xml:space="preserve">under</w:t>
      </w:r>
      <w:r>
        <w:t xml:space="preserve"> </w:t>
      </w:r>
      <w:r>
        <w:t xml:space="preserve">the</w:t>
      </w:r>
      <w:r>
        <w:t xml:space="preserve"> </w:t>
      </w:r>
      <w:r>
        <w:t xml:space="preserve">Fourth</w:t>
      </w:r>
      <w:r>
        <w:t xml:space="preserve"> </w:t>
      </w:r>
      <w:r>
        <w:t xml:space="preserve">Amendment.</w:t>
      </w:r>
      <w:r>
        <w:t xml:space="preserve">   </w:t>
      </w:r>
      <w:r>
        <w:tab/>
      </w:r>
      <w:r>
        <w:t xml:space="preserve">11</w:t>
      </w:r>
    </w:p>
    <w:p>
      <w:pPr>
        <w:pStyle w:val="CATocS1"/>
      </w:pPr>
      <w:r>
        <w:t xml:space="preserve">A.</w:t>
      </w:r>
      <w:r>
        <w:tab/>
      </w:r>
      <w:r>
        <w:t xml:space="preserve">The</w:t>
      </w:r>
      <w:r>
        <w:t xml:space="preserve"> </w:t>
      </w:r>
      <w:r>
        <w:t xml:space="preserve">Graham</w:t>
      </w:r>
      <w:r>
        <w:t xml:space="preserve"> </w:t>
      </w:r>
      <w:r>
        <w:t xml:space="preserve">factors</w:t>
      </w:r>
      <w:r>
        <w:t xml:space="preserve"> </w:t>
      </w:r>
      <w:r>
        <w:t xml:space="preserve">show</w:t>
      </w:r>
      <w:r>
        <w:t xml:space="preserve"> </w:t>
      </w:r>
      <w:r>
        <w:t xml:space="preserve">the</w:t>
      </w:r>
      <w:r>
        <w:t xml:space="preserve"> </w:t>
      </w:r>
      <w:r>
        <w:t xml:space="preserve">Officers’</w:t>
      </w:r>
      <w:r>
        <w:t xml:space="preserve"> </w:t>
      </w:r>
      <w:r>
        <w:t xml:space="preserve">use</w:t>
      </w:r>
      <w:r>
        <w:t xml:space="preserve"> </w:t>
      </w:r>
      <w:r>
        <w:t xml:space="preserve">of</w:t>
      </w:r>
      <w:r>
        <w:t xml:space="preserve"> </w:t>
      </w:r>
      <w:r>
        <w:t xml:space="preserve">force</w:t>
      </w:r>
      <w:r>
        <w:t xml:space="preserve"> </w:t>
      </w:r>
      <w:r>
        <w:t xml:space="preserve">was</w:t>
      </w:r>
      <w:r>
        <w:t xml:space="preserve"> </w:t>
      </w:r>
      <w:r>
        <w:t xml:space="preserve">not</w:t>
      </w:r>
      <w:r>
        <w:t xml:space="preserve"> </w:t>
      </w:r>
      <w:r>
        <w:t xml:space="preserve">unreasonable.</w:t>
      </w:r>
      <w:r>
        <w:t xml:space="preserve">   </w:t>
      </w:r>
      <w:r>
        <w:tab/>
      </w:r>
      <w:r>
        <w:t xml:space="preserve">12</w:t>
      </w:r>
    </w:p>
    <w:p>
      <w:pPr>
        <w:pStyle w:val="CATocTop"/>
      </w:pPr>
      <w:r>
        <w:t xml:space="preserve">CONCLUSION</w:t>
      </w:r>
      <w:r>
        <w:t xml:space="preserve">   </w:t>
      </w:r>
      <w:r>
        <w:tab/>
      </w:r>
      <w:r>
        <w:t xml:space="preserve">13</w:t>
      </w:r>
    </w:p>
    <w:p>
      <w:pPr>
        <w:pStyle w:val="CATocTop"/>
      </w:pPr>
      <w:r>
        <w:t xml:space="preserve">CERTIFICATE OF SERVICE</w:t>
      </w:r>
      <w:r>
        <w:t xml:space="preserve">   </w:t>
      </w:r>
      <w:r>
        <w:tab/>
      </w:r>
      <w:r>
        <w:t xml:space="preserve">14</w:t>
      </w:r>
    </w:p>
    <w:p>
      <w:pPr>
        <w:pStyle w:val="CATocTop"/>
      </w:pPr>
      <w:r>
        <w:t xml:space="preserve">CERTIFICATE OF COMPLIANCE</w:t>
      </w:r>
      <w:r>
        <w:t xml:space="preserve">   </w:t>
      </w:r>
      <w:r>
        <w:tab/>
      </w:r>
      <w:r>
        <w:t xml:space="preserve">15</w:t>
      </w:r>
    </w:p>
    <w:p>
      <w:pPr>
        <w:pStyle w:val="CASection"/>
        <w:pageBreakBefore/>
        <w:spacing w:before="0" w:after="308" w:line="400" w:lineRule="exact"/>
      </w:pPr>
      <w:r>
        <w:t xml:space="preserve">Table of Authorities</w:t>
      </w:r>
    </w:p>
    <w:p>
      <w:pPr>
        <w:pStyle w:val="CAToaGroup"/>
        <w:spacing w:before="280" w:after="56" w:line="400" w:lineRule="exact"/>
      </w:pPr>
      <w:r>
        <w:t xml:space="preserve">Cases:</w:t>
      </w:r>
      <w:r>
        <w:tab/>
      </w:r>
      <w:r>
        <w:rPr>
          <w:b/>
          <w:u w:val="single"/>
        </w:rPr>
        <w:t xml:space="preserve">Page(s)</w:t>
      </w:r>
    </w:p>
    <w:p>
      <w:pPr>
        <w:pStyle w:val="CAToaEntry"/>
      </w:pPr>
      <w:r>
        <w:rPr>
          <w:i/>
        </w:rPr>
        <w:t xml:space="preserve">Anderson</w:t>
      </w:r>
      <w:r>
        <w:rPr>
          <w:i/>
        </w:rPr>
        <w:t xml:space="preserve"> </w:t>
      </w:r>
      <w:r>
        <w:rPr>
          <w:i/>
        </w:rPr>
        <w:t xml:space="preserve">v.</w:t>
      </w:r>
      <w:r>
        <w:rPr>
          <w:i/>
        </w:rPr>
        <w:t xml:space="preserve"> </w:t>
      </w:r>
      <w:r>
        <w:rPr>
          <w:i/>
        </w:rPr>
        <w:t xml:space="preserve">Liberty</w:t>
      </w:r>
      <w:r>
        <w:rPr>
          <w:i/>
        </w:rPr>
        <w:t xml:space="preserve"> </w:t>
      </w:r>
      <w:r>
        <w:rPr>
          <w:i/>
        </w:rPr>
        <w:t xml:space="preserve">Lobby,</w:t>
      </w:r>
      <w:r>
        <w:rPr>
          <w:i/>
        </w:rPr>
        <w:t xml:space="preserve"> </w:t>
      </w:r>
      <w:r>
        <w:rPr>
          <w:i/>
        </w:rPr>
        <w:t xml:space="preserve">Inc.</w:t>
      </w:r>
      <w:r>
        <w:t xml:space="preserve">,</w:t>
      </w:r>
      <w:r>
        <w:br/>
      </w:r>
      <w:r>
        <w:t xml:space="preserve">477</w:t>
      </w:r>
      <w:r>
        <w:t xml:space="preserve"> </w:t>
      </w:r>
      <w:r>
        <w:t xml:space="preserve">U.S.</w:t>
      </w:r>
      <w:r>
        <w:t xml:space="preserve"> </w:t>
      </w:r>
      <w:r>
        <w:t xml:space="preserve">242</w:t>
      </w:r>
      <w:r>
        <w:t xml:space="preserve"> </w:t>
      </w:r>
      <w:r>
        <w:t xml:space="preserve">(1986)</w:t>
      </w:r>
      <w:r>
        <w:t xml:space="preserve">   </w:t>
      </w:r>
      <w:r>
        <w:tab/>
      </w:r>
      <w:r>
        <w:t xml:space="preserve">10</w:t>
      </w:r>
    </w:p>
    <w:p>
      <w:pPr>
        <w:pStyle w:val="CAToaEntry"/>
      </w:pPr>
      <w:r>
        <w:rPr>
          <w:i/>
        </w:rPr>
        <w:t xml:space="preserve">Buehler</w:t>
      </w:r>
      <w:r>
        <w:rPr>
          <w:i/>
        </w:rPr>
        <w:t xml:space="preserve"> </w:t>
      </w:r>
      <w:r>
        <w:rPr>
          <w:i/>
        </w:rPr>
        <w:t xml:space="preserve">v.</w:t>
      </w:r>
      <w:r>
        <w:rPr>
          <w:i/>
        </w:rPr>
        <w:t xml:space="preserve"> </w:t>
      </w:r>
      <w:r>
        <w:rPr>
          <w:i/>
        </w:rPr>
        <w:t xml:space="preserve">Dear</w:t>
      </w:r>
      <w:r>
        <w:t xml:space="preserve">,</w:t>
      </w:r>
      <w:r>
        <w:br/>
      </w:r>
      <w:r>
        <w:t xml:space="preserve">27</w:t>
      </w:r>
      <w:r>
        <w:t xml:space="preserve"> </w:t>
      </w:r>
      <w:r>
        <w:t xml:space="preserve">F.4th</w:t>
      </w:r>
      <w:r>
        <w:t xml:space="preserve"> </w:t>
      </w:r>
      <w:r>
        <w:t xml:space="preserve">969</w:t>
      </w:r>
      <w:r>
        <w:t xml:space="preserve"> </w:t>
      </w:r>
      <w:r>
        <w:t xml:space="preserve">(5th</w:t>
      </w:r>
      <w:r>
        <w:t xml:space="preserve"> </w:t>
      </w:r>
      <w:r>
        <w:t xml:space="preserve">Cir.</w:t>
      </w:r>
      <w:r>
        <w:t xml:space="preserve"> </w:t>
      </w:r>
      <w:r>
        <w:t xml:space="preserve">2022)</w:t>
      </w:r>
      <w:r>
        <w:t xml:space="preserve">   </w:t>
      </w:r>
      <w:r>
        <w:tab/>
      </w:r>
      <w:r>
        <w:t xml:space="preserve">11</w:t>
      </w:r>
    </w:p>
    <w:p>
      <w:pPr>
        <w:pStyle w:val="CAToaEntry"/>
      </w:pPr>
      <w:r>
        <w:rPr>
          <w:i/>
        </w:rPr>
        <w:t xml:space="preserve">Cooper</w:t>
      </w:r>
      <w:r>
        <w:rPr>
          <w:i/>
        </w:rPr>
        <w:t xml:space="preserve"> </w:t>
      </w:r>
      <w:r>
        <w:rPr>
          <w:i/>
        </w:rPr>
        <w:t xml:space="preserve">Tire</w:t>
      </w:r>
      <w:r>
        <w:rPr>
          <w:i/>
        </w:rPr>
        <w:t xml:space="preserve"> </w:t>
      </w:r>
      <w:r>
        <w:rPr>
          <w:i/>
        </w:rPr>
        <w:t xml:space="preserve">&amp;</w:t>
      </w:r>
      <w:r>
        <w:rPr>
          <w:i/>
        </w:rPr>
        <w:t xml:space="preserve"> </w:t>
      </w:r>
      <w:r>
        <w:rPr>
          <w:i/>
        </w:rPr>
        <w:t xml:space="preserve">Rubber</w:t>
      </w:r>
      <w:r>
        <w:rPr>
          <w:i/>
        </w:rPr>
        <w:t xml:space="preserve"> </w:t>
      </w:r>
      <w:r>
        <w:rPr>
          <w:i/>
        </w:rPr>
        <w:t xml:space="preserve">Co.</w:t>
      </w:r>
      <w:r>
        <w:rPr>
          <w:i/>
        </w:rPr>
        <w:t xml:space="preserve"> </w:t>
      </w:r>
      <w:r>
        <w:rPr>
          <w:i/>
        </w:rPr>
        <w:t xml:space="preserve">v.</w:t>
      </w:r>
      <w:r>
        <w:rPr>
          <w:i/>
        </w:rPr>
        <w:t xml:space="preserve"> </w:t>
      </w:r>
      <w:r>
        <w:rPr>
          <w:i/>
        </w:rPr>
        <w:t xml:space="preserve">Farese</w:t>
      </w:r>
      <w:r>
        <w:t xml:space="preserve">,</w:t>
      </w:r>
      <w:r>
        <w:br/>
      </w:r>
      <w:r>
        <w:t xml:space="preserve">248</w:t>
      </w:r>
      <w:r>
        <w:t xml:space="preserve"> </w:t>
      </w:r>
      <w:r>
        <w:t xml:space="preserve">F.</w:t>
      </w:r>
      <w:r>
        <w:t xml:space="preserve"> </w:t>
      </w:r>
      <w:r>
        <w:t xml:space="preserve">App’x</w:t>
      </w:r>
      <w:r>
        <w:t xml:space="preserve"> </w:t>
      </w:r>
      <w:r>
        <w:t xml:space="preserve">555</w:t>
      </w:r>
      <w:r>
        <w:t xml:space="preserve"> </w:t>
      </w:r>
      <w:r>
        <w:t xml:space="preserve">(5th</w:t>
      </w:r>
      <w:r>
        <w:t xml:space="preserve"> </w:t>
      </w:r>
      <w:r>
        <w:t xml:space="preserve">Cir.</w:t>
      </w:r>
      <w:r>
        <w:t xml:space="preserve"> </w:t>
      </w:r>
      <w:r>
        <w:t xml:space="preserve">2007)</w:t>
      </w:r>
      <w:r>
        <w:t xml:space="preserve">   </w:t>
      </w:r>
      <w:r>
        <w:tab/>
      </w:r>
      <w:r>
        <w:t xml:space="preserve">8</w:t>
      </w:r>
    </w:p>
    <w:p>
      <w:pPr>
        <w:pStyle w:val="CAToaEntry"/>
      </w:pPr>
      <w:r>
        <w:rPr>
          <w:i/>
        </w:rPr>
        <w:t xml:space="preserve">Darden</w:t>
      </w:r>
      <w:r>
        <w:rPr>
          <w:i/>
        </w:rPr>
        <w:t xml:space="preserve"> </w:t>
      </w:r>
      <w:r>
        <w:rPr>
          <w:i/>
        </w:rPr>
        <w:t xml:space="preserve">v.</w:t>
      </w:r>
      <w:r>
        <w:rPr>
          <w:i/>
        </w:rPr>
        <w:t xml:space="preserve"> </w:t>
      </w:r>
      <w:r>
        <w:rPr>
          <w:i/>
        </w:rPr>
        <w:t xml:space="preserve">City</w:t>
      </w:r>
      <w:r>
        <w:rPr>
          <w:i/>
        </w:rPr>
        <w:t xml:space="preserve"> </w:t>
      </w:r>
      <w:r>
        <w:rPr>
          <w:i/>
        </w:rPr>
        <w:t xml:space="preserve">of</w:t>
      </w:r>
      <w:r>
        <w:rPr>
          <w:i/>
        </w:rPr>
        <w:t xml:space="preserve"> </w:t>
      </w:r>
      <w:r>
        <w:rPr>
          <w:i/>
        </w:rPr>
        <w:t xml:space="preserve">Fort</w:t>
      </w:r>
      <w:r>
        <w:rPr>
          <w:i/>
        </w:rPr>
        <w:t xml:space="preserve"> </w:t>
      </w:r>
      <w:r>
        <w:rPr>
          <w:i/>
        </w:rPr>
        <w:t xml:space="preserve">Worth</w:t>
      </w:r>
      <w:r>
        <w:t xml:space="preserve">,</w:t>
      </w:r>
      <w:r>
        <w:br/>
      </w:r>
      <w:r>
        <w:t xml:space="preserve">880</w:t>
      </w:r>
      <w:r>
        <w:t xml:space="preserve"> </w:t>
      </w:r>
      <w:r>
        <w:t xml:space="preserve">F.3d</w:t>
      </w:r>
      <w:r>
        <w:t xml:space="preserve"> </w:t>
      </w:r>
      <w:r>
        <w:t xml:space="preserve">722</w:t>
      </w:r>
      <w:r>
        <w:t xml:space="preserve"> </w:t>
      </w:r>
      <w:r>
        <w:t xml:space="preserve">(5th</w:t>
      </w:r>
      <w:r>
        <w:t xml:space="preserve"> </w:t>
      </w:r>
      <w:r>
        <w:t xml:space="preserve">Cir.</w:t>
      </w:r>
      <w:r>
        <w:t xml:space="preserve"> </w:t>
      </w:r>
      <w:r>
        <w:t xml:space="preserve">2018)</w:t>
      </w:r>
      <w:r>
        <w:t xml:space="preserve">   </w:t>
      </w:r>
      <w:r>
        <w:tab/>
      </w:r>
      <w:r>
        <w:t xml:space="preserve">11</w:t>
      </w:r>
    </w:p>
    <w:p>
      <w:pPr>
        <w:pStyle w:val="CAToaEntry"/>
      </w:pPr>
      <w:r>
        <w:rPr>
          <w:i/>
        </w:rPr>
        <w:t xml:space="preserve">Dawes</w:t>
      </w:r>
      <w:r>
        <w:rPr>
          <w:i/>
        </w:rPr>
        <w:t xml:space="preserve"> </w:t>
      </w:r>
      <w:r>
        <w:rPr>
          <w:i/>
        </w:rPr>
        <w:t xml:space="preserve">v.</w:t>
      </w:r>
      <w:r>
        <w:rPr>
          <w:i/>
        </w:rPr>
        <w:t xml:space="preserve"> </w:t>
      </w:r>
      <w:r>
        <w:rPr>
          <w:i/>
        </w:rPr>
        <w:t xml:space="preserve">City</w:t>
      </w:r>
      <w:r>
        <w:rPr>
          <w:i/>
        </w:rPr>
        <w:t xml:space="preserve"> </w:t>
      </w:r>
      <w:r>
        <w:rPr>
          <w:i/>
        </w:rPr>
        <w:t xml:space="preserve">of</w:t>
      </w:r>
      <w:r>
        <w:rPr>
          <w:i/>
        </w:rPr>
        <w:t xml:space="preserve"> </w:t>
      </w:r>
      <w:r>
        <w:rPr>
          <w:i/>
        </w:rPr>
        <w:t xml:space="preserve">Dallas</w:t>
      </w:r>
      <w:r>
        <w:t xml:space="preserve">,</w:t>
      </w:r>
      <w:r>
        <w:br/>
      </w:r>
      <w:r>
        <w:t xml:space="preserve">No.</w:t>
      </w:r>
      <w:r>
        <w:t xml:space="preserve"> </w:t>
      </w:r>
      <w:r>
        <w:t xml:space="preserve">22</w:t>
      </w:r>
      <w:r>
        <w:noBreakHyphen/>
      </w:r>
      <w:r>
        <w:t xml:space="preserve">10876,</w:t>
      </w:r>
      <w:r>
        <w:t xml:space="preserve"> </w:t>
      </w:r>
      <w:r>
        <w:t xml:space="preserve">2024</w:t>
      </w:r>
      <w:r>
        <w:t xml:space="preserve"> </w:t>
      </w:r>
      <w:r>
        <w:t xml:space="preserve">WL</w:t>
      </w:r>
      <w:r>
        <w:t xml:space="preserve"> </w:t>
      </w:r>
      <w:r>
        <w:t xml:space="preserve">2268529</w:t>
      </w:r>
      <w:r>
        <w:t xml:space="preserve"> </w:t>
      </w:r>
      <w:r>
        <w:t xml:space="preserve">(5th</w:t>
      </w:r>
      <w:r>
        <w:t xml:space="preserve"> </w:t>
      </w:r>
      <w:r>
        <w:t xml:space="preserve">Cir.</w:t>
      </w:r>
      <w:r>
        <w:t xml:space="preserve"> </w:t>
      </w:r>
      <w:r>
        <w:t xml:space="preserve">May</w:t>
      </w:r>
      <w:r>
        <w:t xml:space="preserve"> </w:t>
      </w:r>
      <w:r>
        <w:t xml:space="preserve">20,</w:t>
      </w:r>
      <w:r>
        <w:t xml:space="preserve"> </w:t>
      </w:r>
      <w:r>
        <w:t xml:space="preserve">2024),</w:t>
      </w:r>
      <w:r>
        <w:t xml:space="preserve"> </w:t>
      </w:r>
      <w:r>
        <w:t xml:space="preserve">cert.</w:t>
      </w:r>
      <w:r>
        <w:t xml:space="preserve"> </w:t>
      </w:r>
      <w:r>
        <w:t xml:space="preserve">denied,</w:t>
      </w:r>
      <w:r>
        <w:t xml:space="preserve"> </w:t>
      </w:r>
      <w:r>
        <w:t xml:space="preserve">145</w:t>
      </w:r>
      <w:r>
        <w:t xml:space="preserve"> </w:t>
      </w:r>
      <w:r>
        <w:t xml:space="preserve">S.</w:t>
      </w:r>
      <w:r>
        <w:t xml:space="preserve"> </w:t>
      </w:r>
      <w:r>
        <w:t xml:space="preserve">Ct.</w:t>
      </w:r>
      <w:r>
        <w:t xml:space="preserve"> </w:t>
      </w:r>
      <w:r>
        <w:t xml:space="preserve">2699</w:t>
      </w:r>
      <w:r>
        <w:t xml:space="preserve"> </w:t>
      </w:r>
      <w:r>
        <w:t xml:space="preserve">(2025)</w:t>
      </w:r>
      <w:r>
        <w:t xml:space="preserve">   </w:t>
      </w:r>
      <w:r>
        <w:tab/>
      </w:r>
      <w:r>
        <w:t xml:space="preserve">7, 8</w:t>
      </w:r>
    </w:p>
    <w:p>
      <w:pPr>
        <w:pStyle w:val="CAToaEntry"/>
      </w:pPr>
      <w:r>
        <w:rPr>
          <w:i/>
        </w:rPr>
        <w:t xml:space="preserve">Graham</w:t>
      </w:r>
      <w:r>
        <w:rPr>
          <w:i/>
        </w:rPr>
        <w:t xml:space="preserve"> </w:t>
      </w:r>
      <w:r>
        <w:rPr>
          <w:i/>
        </w:rPr>
        <w:t xml:space="preserve">v.</w:t>
      </w:r>
      <w:r>
        <w:rPr>
          <w:i/>
        </w:rPr>
        <w:t xml:space="preserve"> </w:t>
      </w:r>
      <w:r>
        <w:rPr>
          <w:i/>
        </w:rPr>
        <w:t xml:space="preserve">Connor</w:t>
      </w:r>
      <w:r>
        <w:t xml:space="preserve">,</w:t>
      </w:r>
      <w:r>
        <w:br/>
      </w:r>
      <w:r>
        <w:t xml:space="preserve">490</w:t>
      </w:r>
      <w:r>
        <w:t xml:space="preserve"> </w:t>
      </w:r>
      <w:r>
        <w:t xml:space="preserve">U.S.</w:t>
      </w:r>
      <w:r>
        <w:t xml:space="preserve"> </w:t>
      </w:r>
      <w:r>
        <w:t xml:space="preserve">386</w:t>
      </w:r>
      <w:r>
        <w:t xml:space="preserve"> </w:t>
      </w:r>
      <w:r>
        <w:t xml:space="preserve">(1989)</w:t>
      </w:r>
      <w:r>
        <w:t xml:space="preserve">   </w:t>
      </w:r>
      <w:r>
        <w:tab/>
      </w:r>
      <w:r>
        <w:t xml:space="preserve">11, 12</w:t>
      </w:r>
    </w:p>
    <w:p>
      <w:pPr>
        <w:pStyle w:val="CAToaEntry"/>
      </w:pPr>
      <w:r>
        <w:rPr>
          <w:i/>
        </w:rPr>
        <w:t xml:space="preserve">Hicks-Fields</w:t>
      </w:r>
      <w:r>
        <w:rPr>
          <w:i/>
        </w:rPr>
        <w:t xml:space="preserve"> </w:t>
      </w:r>
      <w:r>
        <w:rPr>
          <w:i/>
        </w:rPr>
        <w:t xml:space="preserve">v.</w:t>
      </w:r>
      <w:r>
        <w:rPr>
          <w:i/>
        </w:rPr>
        <w:t xml:space="preserve"> </w:t>
      </w:r>
      <w:r>
        <w:rPr>
          <w:i/>
        </w:rPr>
        <w:t xml:space="preserve">Harris</w:t>
      </w:r>
      <w:r>
        <w:rPr>
          <w:i/>
        </w:rPr>
        <w:t xml:space="preserve"> </w:t>
      </w:r>
      <w:r>
        <w:rPr>
          <w:i/>
        </w:rPr>
        <w:t xml:space="preserve">County</w:t>
      </w:r>
      <w:r>
        <w:t xml:space="preserve">,</w:t>
      </w:r>
      <w:r>
        <w:br/>
      </w:r>
      <w:r>
        <w:t xml:space="preserve">860</w:t>
      </w:r>
      <w:r>
        <w:t xml:space="preserve"> </w:t>
      </w:r>
      <w:r>
        <w:t xml:space="preserve">F.3d</w:t>
      </w:r>
      <w:r>
        <w:t xml:space="preserve"> </w:t>
      </w:r>
      <w:r>
        <w:t xml:space="preserve">803</w:t>
      </w:r>
      <w:r>
        <w:t xml:space="preserve"> </w:t>
      </w:r>
      <w:r>
        <w:t xml:space="preserve">(5th</w:t>
      </w:r>
      <w:r>
        <w:t xml:space="preserve"> </w:t>
      </w:r>
      <w:r>
        <w:t xml:space="preserve">Cir.</w:t>
      </w:r>
      <w:r>
        <w:t xml:space="preserve"> </w:t>
      </w:r>
      <w:r>
        <w:t xml:space="preserve">2017)</w:t>
      </w:r>
      <w:r>
        <w:t xml:space="preserve">   </w:t>
      </w:r>
      <w:r>
        <w:tab/>
      </w:r>
      <w:r>
        <w:t xml:space="preserve">11</w:t>
      </w:r>
    </w:p>
    <w:p>
      <w:pPr>
        <w:pStyle w:val="CAToaEntry"/>
      </w:pPr>
      <w:r>
        <w:rPr>
          <w:i/>
        </w:rPr>
        <w:t xml:space="preserve">Hillman</w:t>
      </w:r>
      <w:r>
        <w:rPr>
          <w:i/>
        </w:rPr>
        <w:t xml:space="preserve"> </w:t>
      </w:r>
      <w:r>
        <w:rPr>
          <w:i/>
        </w:rPr>
        <w:t xml:space="preserve">v.</w:t>
      </w:r>
      <w:r>
        <w:rPr>
          <w:i/>
        </w:rPr>
        <w:t xml:space="preserve"> </w:t>
      </w:r>
      <w:r>
        <w:rPr>
          <w:i/>
        </w:rPr>
        <w:t xml:space="preserve">Loga</w:t>
      </w:r>
      <w:r>
        <w:t xml:space="preserve">,</w:t>
      </w:r>
      <w:r>
        <w:br/>
      </w:r>
      <w:r>
        <w:t xml:space="preserve">697</w:t>
      </w:r>
      <w:r>
        <w:t xml:space="preserve"> </w:t>
      </w:r>
      <w:r>
        <w:t xml:space="preserve">F.3d</w:t>
      </w:r>
      <w:r>
        <w:t xml:space="preserve"> </w:t>
      </w:r>
      <w:r>
        <w:t xml:space="preserve">299</w:t>
      </w:r>
      <w:r>
        <w:t xml:space="preserve"> </w:t>
      </w:r>
      <w:r>
        <w:t xml:space="preserve">(5th</w:t>
      </w:r>
      <w:r>
        <w:t xml:space="preserve"> </w:t>
      </w:r>
      <w:r>
        <w:t xml:space="preserve">Cir.</w:t>
      </w:r>
      <w:r>
        <w:t xml:space="preserve"> </w:t>
      </w:r>
      <w:r>
        <w:t xml:space="preserve">2012)</w:t>
      </w:r>
      <w:r>
        <w:t xml:space="preserve">   </w:t>
      </w:r>
      <w:r>
        <w:tab/>
      </w:r>
      <w:r>
        <w:t xml:space="preserve">10</w:t>
      </w:r>
    </w:p>
    <w:p>
      <w:pPr>
        <w:pStyle w:val="CAToaEntry"/>
      </w:pPr>
      <w:r>
        <w:rPr>
          <w:i/>
        </w:rPr>
        <w:t xml:space="preserve">Lindsey</w:t>
      </w:r>
      <w:r>
        <w:rPr>
          <w:i/>
        </w:rPr>
        <w:t xml:space="preserve"> </w:t>
      </w:r>
      <w:r>
        <w:rPr>
          <w:i/>
        </w:rPr>
        <w:t xml:space="preserve">v.</w:t>
      </w:r>
      <w:r>
        <w:rPr>
          <w:i/>
        </w:rPr>
        <w:t xml:space="preserve"> </w:t>
      </w:r>
      <w:r>
        <w:rPr>
          <w:i/>
        </w:rPr>
        <w:t xml:space="preserve">Sears</w:t>
      </w:r>
      <w:r>
        <w:rPr>
          <w:i/>
        </w:rPr>
        <w:t xml:space="preserve"> </w:t>
      </w:r>
      <w:r>
        <w:rPr>
          <w:i/>
        </w:rPr>
        <w:t xml:space="preserve">Roebuck</w:t>
      </w:r>
      <w:r>
        <w:rPr>
          <w:i/>
        </w:rPr>
        <w:t xml:space="preserve"> </w:t>
      </w:r>
      <w:r>
        <w:rPr>
          <w:i/>
        </w:rPr>
        <w:t xml:space="preserve">&amp;</w:t>
      </w:r>
      <w:r>
        <w:rPr>
          <w:i/>
        </w:rPr>
        <w:t xml:space="preserve"> </w:t>
      </w:r>
      <w:r>
        <w:rPr>
          <w:i/>
        </w:rPr>
        <w:t xml:space="preserve">Co.</w:t>
      </w:r>
      <w:r>
        <w:t xml:space="preserve">,</w:t>
      </w:r>
      <w:r>
        <w:br/>
      </w:r>
      <w:r>
        <w:t xml:space="preserve">16</w:t>
      </w:r>
      <w:r>
        <w:t xml:space="preserve"> </w:t>
      </w:r>
      <w:r>
        <w:t xml:space="preserve">F.3d</w:t>
      </w:r>
      <w:r>
        <w:t xml:space="preserve"> </w:t>
      </w:r>
      <w:r>
        <w:t xml:space="preserve">616</w:t>
      </w:r>
      <w:r>
        <w:t xml:space="preserve"> </w:t>
      </w:r>
      <w:r>
        <w:t xml:space="preserve">(5th</w:t>
      </w:r>
      <w:r>
        <w:t xml:space="preserve"> </w:t>
      </w:r>
      <w:r>
        <w:t xml:space="preserve">Cir.</w:t>
      </w:r>
      <w:r>
        <w:t xml:space="preserve"> </w:t>
      </w:r>
      <w:r>
        <w:t xml:space="preserve">1994)</w:t>
      </w:r>
      <w:r>
        <w:t xml:space="preserve">   </w:t>
      </w:r>
      <w:r>
        <w:tab/>
      </w:r>
      <w:r>
        <w:t xml:space="preserve">10</w:t>
      </w:r>
    </w:p>
    <w:p>
      <w:pPr>
        <w:pStyle w:val="CAToaEntry"/>
      </w:pPr>
      <w:r>
        <w:rPr>
          <w:i/>
        </w:rPr>
        <w:t xml:space="preserve">Matsushita</w:t>
      </w:r>
      <w:r>
        <w:rPr>
          <w:i/>
        </w:rPr>
        <w:t xml:space="preserve"> </w:t>
      </w:r>
      <w:r>
        <w:rPr>
          <w:i/>
        </w:rPr>
        <w:t xml:space="preserve">Elec.</w:t>
      </w:r>
      <w:r>
        <w:rPr>
          <w:i/>
        </w:rPr>
        <w:t xml:space="preserve"> </w:t>
      </w:r>
      <w:r>
        <w:rPr>
          <w:i/>
        </w:rPr>
        <w:t xml:space="preserve">Indus.</w:t>
      </w:r>
      <w:r>
        <w:rPr>
          <w:i/>
        </w:rPr>
        <w:t xml:space="preserve"> </w:t>
      </w:r>
      <w:r>
        <w:rPr>
          <w:i/>
        </w:rPr>
        <w:t xml:space="preserve">Co.</w:t>
      </w:r>
      <w:r>
        <w:rPr>
          <w:i/>
        </w:rPr>
        <w:t xml:space="preserve"> </w:t>
      </w:r>
      <w:r>
        <w:rPr>
          <w:i/>
        </w:rPr>
        <w:t xml:space="preserve">v.</w:t>
      </w:r>
      <w:r>
        <w:rPr>
          <w:i/>
        </w:rPr>
        <w:t xml:space="preserve"> </w:t>
      </w:r>
      <w:r>
        <w:rPr>
          <w:i/>
        </w:rPr>
        <w:t xml:space="preserve">Zenith</w:t>
      </w:r>
      <w:r>
        <w:rPr>
          <w:i/>
        </w:rPr>
        <w:t xml:space="preserve"> </w:t>
      </w:r>
      <w:r>
        <w:rPr>
          <w:i/>
        </w:rPr>
        <w:t xml:space="preserve">Radio</w:t>
      </w:r>
      <w:r>
        <w:rPr>
          <w:i/>
        </w:rPr>
        <w:t xml:space="preserve"> </w:t>
      </w:r>
      <w:r>
        <w:rPr>
          <w:i/>
        </w:rPr>
        <w:t xml:space="preserve">Corp.</w:t>
      </w:r>
      <w:r>
        <w:t xml:space="preserve">,</w:t>
      </w:r>
      <w:r>
        <w:br/>
      </w:r>
      <w:r>
        <w:t xml:space="preserve">475</w:t>
      </w:r>
      <w:r>
        <w:t xml:space="preserve"> </w:t>
      </w:r>
      <w:r>
        <w:t xml:space="preserve">U.S.</w:t>
      </w:r>
      <w:r>
        <w:t xml:space="preserve"> </w:t>
      </w:r>
      <w:r>
        <w:t xml:space="preserve">574</w:t>
      </w:r>
      <w:r>
        <w:t xml:space="preserve"> </w:t>
      </w:r>
      <w:r>
        <w:t xml:space="preserve">(1986)</w:t>
      </w:r>
      <w:r>
        <w:t xml:space="preserve">   </w:t>
      </w:r>
      <w:r>
        <w:tab/>
      </w:r>
      <w:r>
        <w:t xml:space="preserve">10</w:t>
      </w:r>
    </w:p>
    <w:p>
      <w:pPr>
        <w:pStyle w:val="CAToaEntry"/>
      </w:pPr>
      <w:r>
        <w:rPr>
          <w:i/>
        </w:rPr>
        <w:t xml:space="preserve">United</w:t>
      </w:r>
      <w:r>
        <w:rPr>
          <w:i/>
        </w:rPr>
        <w:t xml:space="preserve"> </w:t>
      </w:r>
      <w:r>
        <w:rPr>
          <w:i/>
        </w:rPr>
        <w:t xml:space="preserve">States</w:t>
      </w:r>
      <w:r>
        <w:rPr>
          <w:i/>
        </w:rPr>
        <w:t xml:space="preserve"> </w:t>
      </w:r>
      <w:r>
        <w:rPr>
          <w:i/>
        </w:rPr>
        <w:t xml:space="preserve">v.</w:t>
      </w:r>
      <w:r>
        <w:rPr>
          <w:i/>
        </w:rPr>
        <w:t xml:space="preserve"> </w:t>
      </w:r>
      <w:r>
        <w:rPr>
          <w:i/>
        </w:rPr>
        <w:t xml:space="preserve">Smith</w:t>
      </w:r>
      <w:r>
        <w:t xml:space="preserve">,</w:t>
      </w:r>
      <w:r>
        <w:br/>
      </w:r>
      <w:r>
        <w:t xml:space="preserve">814</w:t>
      </w:r>
      <w:r>
        <w:t xml:space="preserve"> </w:t>
      </w:r>
      <w:r>
        <w:t xml:space="preserve">F.3d</w:t>
      </w:r>
      <w:r>
        <w:t xml:space="preserve"> </w:t>
      </w:r>
      <w:r>
        <w:t xml:space="preserve">268</w:t>
      </w:r>
      <w:r>
        <w:t xml:space="preserve"> </w:t>
      </w:r>
      <w:r>
        <w:t xml:space="preserve">(5th</w:t>
      </w:r>
      <w:r>
        <w:t xml:space="preserve"> </w:t>
      </w:r>
      <w:r>
        <w:t xml:space="preserve">Cir.</w:t>
      </w:r>
      <w:r>
        <w:t xml:space="preserve"> </w:t>
      </w:r>
      <w:r>
        <w:t xml:space="preserve">2016)</w:t>
      </w:r>
      <w:r>
        <w:t xml:space="preserve">   </w:t>
      </w:r>
      <w:r>
        <w:tab/>
      </w:r>
      <w:r>
        <w:t xml:space="preserve">8</w:t>
      </w:r>
    </w:p>
    <w:p>
      <w:pPr>
        <w:pStyle w:val="CAToaEntry"/>
      </w:pPr>
      <w:r>
        <w:rPr>
          <w:i/>
        </w:rPr>
        <w:t xml:space="preserve">Winfrey</w:t>
      </w:r>
      <w:r>
        <w:rPr>
          <w:i/>
        </w:rPr>
        <w:t xml:space="preserve"> </w:t>
      </w:r>
      <w:r>
        <w:rPr>
          <w:i/>
        </w:rPr>
        <w:t xml:space="preserve">v.</w:t>
      </w:r>
      <w:r>
        <w:rPr>
          <w:i/>
        </w:rPr>
        <w:t xml:space="preserve"> </w:t>
      </w:r>
      <w:r>
        <w:rPr>
          <w:i/>
        </w:rPr>
        <w:t xml:space="preserve">Rogers</w:t>
      </w:r>
      <w:r>
        <w:t xml:space="preserve">,</w:t>
      </w:r>
      <w:r>
        <w:br/>
      </w:r>
      <w:r>
        <w:t xml:space="preserve">901</w:t>
      </w:r>
      <w:r>
        <w:t xml:space="preserve"> </w:t>
      </w:r>
      <w:r>
        <w:t xml:space="preserve">F.3d</w:t>
      </w:r>
      <w:r>
        <w:t xml:space="preserve"> </w:t>
      </w:r>
      <w:r>
        <w:t xml:space="preserve">483</w:t>
      </w:r>
      <w:r>
        <w:t xml:space="preserve"> </w:t>
      </w:r>
      <w:r>
        <w:t xml:space="preserve">(5th</w:t>
      </w:r>
      <w:r>
        <w:t xml:space="preserve"> </w:t>
      </w:r>
      <w:r>
        <w:t xml:space="preserve">Cir.</w:t>
      </w:r>
      <w:r>
        <w:t xml:space="preserve"> </w:t>
      </w:r>
      <w:r>
        <w:t xml:space="preserve">2018)</w:t>
      </w:r>
      <w:r>
        <w:t xml:space="preserve">   </w:t>
      </w:r>
      <w:r>
        <w:tab/>
      </w:r>
      <w:r>
        <w:t xml:space="preserve">8</w:t>
      </w:r>
    </w:p>
    <w:p>
      <w:pPr>
        <w:pStyle w:val="CAToaGroup"/>
      </w:pPr>
      <w:r>
        <w:t xml:space="preserve">Rules:</w:t>
      </w:r>
    </w:p>
    <w:p>
      <w:pPr>
        <w:pStyle w:val="CAToaEntry"/>
      </w:pPr>
      <w:r>
        <w:t xml:space="preserve">Fed.</w:t>
      </w:r>
      <w:r>
        <w:t xml:space="preserve"> </w:t>
      </w:r>
      <w:r>
        <w:t xml:space="preserve">R.</w:t>
      </w:r>
      <w:r>
        <w:t xml:space="preserve"> </w:t>
      </w:r>
      <w:r>
        <w:t xml:space="preserve">Civ.</w:t>
      </w:r>
      <w:r>
        <w:t xml:space="preserve"> </w:t>
      </w:r>
      <w:r>
        <w:t xml:space="preserve">P.</w:t>
      </w:r>
      <w:r>
        <w:t xml:space="preserve"> </w:t>
      </w:r>
      <w:r>
        <w:t xml:space="preserve">56(a)</w:t>
      </w:r>
      <w:r>
        <w:t xml:space="preserve">   </w:t>
      </w:r>
      <w:r>
        <w:tab/>
      </w:r>
      <w:r>
        <w:t xml:space="preserve">10</w:t>
      </w:r>
    </w:p>
    <w:p>
      <w:pPr>
        <w:pStyle w:val="CASection"/>
        <w:keepNext/>
        <w:pageBreakBefore/>
        <w:spacing w:before="0" w:after="308" w:line="400" w:lineRule="exact"/>
      </w:pPr>
      <w:r>
        <w:t xml:space="preserve">Response</w:t>
      </w:r>
      <w:r>
        <w:t xml:space="preserve"> </w:t>
      </w:r>
      <w:r>
        <w:t xml:space="preserve">to</w:t>
      </w:r>
      <w:r>
        <w:t xml:space="preserve"> </w:t>
      </w:r>
      <w:r>
        <w:t xml:space="preserve">Statement</w:t>
      </w:r>
      <w:r>
        <w:t xml:space="preserve"> </w:t>
      </w:r>
      <w:r>
        <w:t xml:space="preserve">of</w:t>
      </w:r>
      <w:r>
        <w:t xml:space="preserve"> </w:t>
      </w:r>
      <w:r>
        <w:t xml:space="preserve">Issues</w:t>
      </w:r>
    </w:p>
    <w:p>
      <w:pPr>
        <w:pStyle w:val="BodyText"/>
      </w:pPr>
      <w:r>
        <w:t xml:space="preserve">1. The district court correctly entered summary judgment in favor of the City because the evidence does not create a genuine issue of material fact concerning the reasonableness of the Officers’ use of deadly force under the circumstances.</w:t>
      </w:r>
    </w:p>
    <w:p>
      <w:pPr>
        <w:pStyle w:val="BodyText"/>
      </w:pPr>
      <w:r>
        <w:t xml:space="preserve">2. The district court correctly entered summary judgment in favor of the City because this Court’s precedent forecloses</w:t>
      </w:r>
      <w:r>
        <w:t xml:space="preserve"> </w:t>
      </w:r>
      <w:r>
        <w:rPr>
          <w:i/>
          <w:iCs/>
        </w:rPr>
        <w:t xml:space="preserve">Monell</w:t>
      </w:r>
      <w:r>
        <w:t xml:space="preserve"> </w:t>
      </w:r>
      <w:r>
        <w:t xml:space="preserve">liability against the City on Appellants’ failure-to-train claims when this Court has already held that the Officers’ conduct did not violate a clearly established constitutional right.</w:t>
      </w:r>
    </w:p>
    <w:p>
      <w:pPr>
        <w:pStyle w:val="CASection"/>
        <w:keepNext/>
      </w:pPr>
      <w:r>
        <w:t xml:space="preserve">Statement</w:t>
      </w:r>
      <w:r>
        <w:t xml:space="preserve"> </w:t>
      </w:r>
      <w:r>
        <w:t xml:space="preserve">of</w:t>
      </w:r>
      <w:r>
        <w:t xml:space="preserve"> </w:t>
      </w:r>
      <w:r>
        <w:t xml:space="preserve">the</w:t>
      </w:r>
      <w:r>
        <w:t xml:space="preserve"> </w:t>
      </w:r>
      <w:r>
        <w:t xml:space="preserve">Case</w:t>
      </w:r>
    </w:p>
    <w:p>
      <w:pPr>
        <w:pStyle w:val="BodyText"/>
      </w:pPr>
      <w:r>
        <w:t xml:space="preserve">This appeal is the second time this case has been heard by the Court. In its prior examination of this case, the Court examined the undisputed facts of the incident at issue.</w:t>
      </w:r>
      <w:r>
        <w:t xml:space="preserve"> </w:t>
      </w:r>
      <w:r>
        <w:rPr>
          <w:i/>
          <w:iCs/>
        </w:rPr>
        <w:t xml:space="preserve">See generally</w:t>
      </w:r>
      <w:r>
        <w:t xml:space="preserve"> </w:t>
      </w:r>
      <w:r>
        <w:rPr>
          <w:i/>
          <w:iCs/>
        </w:rPr>
        <w:t xml:space="preserve">Dawes v. City of Dallas</w:t>
      </w:r>
      <w:r>
        <w:t xml:space="preserve"> </w:t>
      </w:r>
      <w:r>
        <w:t xml:space="preserve">(“</w:t>
      </w:r>
      <w:r>
        <w:rPr>
          <w:i/>
          <w:iCs/>
        </w:rPr>
        <w:t xml:space="preserve">Dawes I</w:t>
      </w:r>
      <w:r>
        <w:t xml:space="preserve">”), No. 22</w:t>
      </w:r>
      <w:r>
        <w:noBreakHyphen/>
      </w:r>
      <w:r>
        <w:t xml:space="preserve">10876, 2024 WL 2268529 (5th Cir. May 20, 2024), cert. denied, 145 S. Ct. 2699 (2025). As such, in addition to citations to the record on appeal, the City cites to the undisputed facts as described by the Court in</w:t>
      </w:r>
      <w:r>
        <w:t xml:space="preserve"> </w:t>
      </w:r>
      <w:r>
        <w:rPr>
          <w:i/>
          <w:iCs/>
        </w:rPr>
        <w:t xml:space="preserve">Dawes I</w:t>
      </w:r>
      <w:r>
        <w:t xml:space="preserve">.</w:t>
      </w:r>
      <w:r>
        <w:rPr>
          <w:rStyle w:val="FootnoteReference"/>
        </w:rPr>
        <w:footnoteReference w:id="9"/>
      </w:r>
    </w:p>
    <w:p>
      <w:pPr>
        <w:pStyle w:val="BodyText"/>
      </w:pPr>
      <w:r>
        <w:t xml:space="preserve">On January 17, 2017, six officers with the Dallas Police Department (“DPD”)—Officers Christopher Hess, Jason Kimpel, Christopher Alisch, Zachary Hopkins, Erin Evans, and Peter Lickwar (the “Officers”)—were dispatched to investigate a suspicious vehicle parked in the parking lot of a Dallas apartment complex.</w:t>
      </w:r>
      <w:r>
        <w:t xml:space="preserve"> </w:t>
      </w:r>
      <w:r>
        <w:rPr>
          <w:i/>
          <w:iCs/>
        </w:rPr>
        <w:t xml:space="preserve">Dawes I</w:t>
      </w:r>
      <w:r>
        <w:t xml:space="preserve">, 2024 WL 2268529, at *1; ROA.805. Dawes and Rosales (together, “Appellants”) were inside the vehicle, a Dodge Journey, which had been reported stolen.</w:t>
      </w:r>
      <w:r>
        <w:t xml:space="preserve"> </w:t>
      </w:r>
      <w:r>
        <w:rPr>
          <w:i/>
          <w:iCs/>
        </w:rPr>
        <w:t xml:space="preserve">Dawes I</w:t>
      </w:r>
      <w:r>
        <w:t xml:space="preserve">, 2024 WL 2268529, at *1; ROA.810</w:t>
      </w:r>
      <w:r>
        <w:noBreakHyphen/>
      </w:r>
      <w:r>
        <w:t xml:space="preserve">11. Officers Alisch and Hopkins were the first to arrive at the scene.</w:t>
      </w:r>
      <w:r>
        <w:t xml:space="preserve"> </w:t>
      </w:r>
      <w:r>
        <w:rPr>
          <w:i/>
          <w:iCs/>
        </w:rPr>
        <w:t xml:space="preserve">Dawes I</w:t>
      </w:r>
      <w:r>
        <w:t xml:space="preserve">, 2024 WL 2268529, at *1; ROA.1092 [Hopkins Bodycam 2:30</w:t>
      </w:r>
      <w:r>
        <w:noBreakHyphen/>
      </w:r>
      <w:r>
        <w:t xml:space="preserve">3:00]. They located the vehicle, “which was boxed in on three of four sides—by fences to the front and left and by another car to the right.”</w:t>
      </w:r>
      <w:r>
        <w:t xml:space="preserve"> </w:t>
      </w:r>
      <w:r>
        <w:rPr>
          <w:i/>
          <w:iCs/>
        </w:rPr>
        <w:t xml:space="preserve">Dawes I</w:t>
      </w:r>
      <w:r>
        <w:t xml:space="preserve">, 2024 WL 2268529, at *1; ROA.1092 [Hopkins Bodycam 3:15]. Officers Alisch and Hopkins immediately began giving loud verbal commands to Appellants to “put [their] hands out the window.”</w:t>
      </w:r>
      <w:r>
        <w:t xml:space="preserve"> </w:t>
      </w:r>
      <w:r>
        <w:rPr>
          <w:i/>
          <w:iCs/>
        </w:rPr>
        <w:t xml:space="preserve">Dawes I</w:t>
      </w:r>
      <w:r>
        <w:t xml:space="preserve">, 2024 WL 2268529, at *1; ROA.1092 [Hopkins Bodycam 3:15</w:t>
      </w:r>
      <w:r>
        <w:noBreakHyphen/>
      </w:r>
      <w:r>
        <w:t xml:space="preserve">3:30].</w:t>
      </w:r>
    </w:p>
    <w:p>
      <w:pPr>
        <w:pStyle w:val="CASection"/>
        <w:keepNext/>
      </w:pPr>
      <w:r>
        <w:t xml:space="preserve">Summary</w:t>
      </w:r>
      <w:r>
        <w:t xml:space="preserve"> </w:t>
      </w:r>
      <w:r>
        <w:t xml:space="preserve">of</w:t>
      </w:r>
      <w:r>
        <w:t xml:space="preserve"> </w:t>
      </w:r>
      <w:r>
        <w:t xml:space="preserve">Argument</w:t>
      </w:r>
    </w:p>
    <w:p>
      <w:pPr>
        <w:pStyle w:val="BodyText"/>
      </w:pPr>
      <w:r>
        <w:t xml:space="preserve">The Court should affirm the district court’s judgment. The undisputed facts establish that: the Officers were responding to a call of a suspicious vehicle; the vehicle was reported to be stolen; the Officers identified themselves as police and gave repeated verbal commands to the occupants of the vehicle to show their hands; the occupants of the vehicle ignored the commands; the occupants of the vehicle instead started the engine and began trying to back the vehicle out of parking space striking a fence and patrol car in the process; that two officers were in the path of the vehicle within seconds of when officers initiated force; and the officers that fired their weapons still believed fellow officers were in the vehicle’s path and thus in imminent danger. On these facts, the district court correctly held that the Officers’ use of force did not violate the Fourth Amendment.</w:t>
      </w:r>
    </w:p>
    <w:p>
      <w:pPr>
        <w:pStyle w:val="BodyText"/>
      </w:pPr>
      <w:r>
        <w:t xml:space="preserve">Additionally, even assuming the Officers’ force was unreasonable (it was not), the district court correctly entered summary judgment for the City because Appellants failed to demonstrate</w:t>
      </w:r>
      <w:r>
        <w:t xml:space="preserve"> </w:t>
      </w:r>
      <w:r>
        <w:rPr>
          <w:i/>
          <w:iCs/>
        </w:rPr>
        <w:t xml:space="preserve">Monell</w:t>
      </w:r>
      <w:r>
        <w:t xml:space="preserve"> </w:t>
      </w:r>
      <w:r>
        <w:t xml:space="preserve">liability. In holding that Appellants could not establish</w:t>
      </w:r>
      <w:r>
        <w:t xml:space="preserve"> </w:t>
      </w:r>
      <w:r>
        <w:rPr>
          <w:i/>
          <w:iCs/>
        </w:rPr>
        <w:t xml:space="preserve">Monell</w:t>
      </w:r>
      <w:r>
        <w:t xml:space="preserve"> </w:t>
      </w:r>
      <w:r>
        <w:t xml:space="preserve">liability, the district court correctly applied this Court’s controlling precedent holding that where, as here, municipal employees’ conduct does not violate clearly established law, their governmental employer cannot be deemed to have been deliberately indifferent on a failure-to-train theory.</w:t>
      </w:r>
    </w:p>
    <w:p>
      <w:pPr>
        <w:pStyle w:val="CASection"/>
        <w:keepNext/>
      </w:pPr>
      <w:r>
        <w:t xml:space="preserve">Argument</w:t>
      </w:r>
    </w:p>
    <w:p>
      <w:pPr>
        <w:pStyle w:val="CAPoint"/>
        <w:keepNext/>
      </w:pPr>
      <w:r>
        <w:t xml:space="preserve">I.</w:t>
      </w:r>
      <w:r>
        <w:t xml:space="preserve"> </w:t>
      </w:r>
      <w:r>
        <w:t xml:space="preserve">A</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based</w:t>
      </w:r>
      <w:r>
        <w:t xml:space="preserve"> </w:t>
      </w:r>
      <w:r>
        <w:t xml:space="preserve">on</w:t>
      </w:r>
      <w:r>
        <w:t xml:space="preserve"> </w:t>
      </w:r>
      <w:r>
        <w:t xml:space="preserve">use</w:t>
      </w:r>
      <w:r>
        <w:t xml:space="preserve"> </w:t>
      </w:r>
      <w:r>
        <w:t xml:space="preserve">of</w:t>
      </w:r>
      <w:r>
        <w:t xml:space="preserve"> </w:t>
      </w:r>
      <w:r>
        <w:t xml:space="preserve">force</w:t>
      </w:r>
      <w:r>
        <w:t xml:space="preserve"> </w:t>
      </w:r>
      <w:r>
        <w:t xml:space="preserve">is</w:t>
      </w:r>
      <w:r>
        <w:t xml:space="preserve"> </w:t>
      </w:r>
      <w:r>
        <w:t xml:space="preserve">reviewed</w:t>
      </w:r>
      <w:r>
        <w:t xml:space="preserve"> </w:t>
      </w:r>
      <w:r>
        <w:t xml:space="preserve">de</w:t>
      </w:r>
      <w:r>
        <w:t xml:space="preserve"> </w:t>
      </w:r>
      <w:r>
        <w:t xml:space="preserve">novo.</w:t>
      </w:r>
    </w:p>
    <w:p>
      <w:pPr>
        <w:pStyle w:val="BodyText"/>
      </w:pPr>
      <w:r>
        <w:t xml:space="preserve">“The court shall grant summary judgment if the movant shows that there is no genuine dispute as to any material fact and the movant is entitled to judgment as a matter of law.” Fed. R. Civ. P. 56(a).</w:t>
      </w:r>
    </w:p>
    <w:p>
      <w:pPr>
        <w:pStyle w:val="BlockText"/>
      </w:pPr>
      <w:r>
        <w:t xml:space="preserve">[W]here the nonmovant bears the burden of proof at trial, the movant may merely point to an absence of evidence, thus shifting to the non-movant the burden of demonstrating by competent summary judgment proof that there is an issue of material fact warranting trial. Only when “there is sufficient evidence favoring the nonmoving party for a jury to return a verdict for that party” is a full trial on the merits warranted.</w:t>
      </w:r>
    </w:p>
    <w:p>
      <w:pPr>
        <w:pStyle w:val="FirstParagraph"/>
      </w:pPr>
      <w:r>
        <w:rPr>
          <w:i/>
          <w:iCs/>
        </w:rPr>
        <w:t xml:space="preserve">Lindsey v. Sears Roebuck &amp; Co.</w:t>
      </w:r>
      <w:r>
        <w:t xml:space="preserve">, 16 F.3d 616, 618 (5th Cir. 1994) (internal citations omitted) (quoting</w:t>
      </w:r>
      <w:r>
        <w:t xml:space="preserve"> </w:t>
      </w:r>
      <w:r>
        <w:rPr>
          <w:i/>
          <w:iCs/>
        </w:rPr>
        <w:t xml:space="preserve">Anderson v. Liberty Lobby, Inc.</w:t>
      </w:r>
      <w:r>
        <w:t xml:space="preserve">, 477 U.S. 242, 249 (1986)). All reasonable inferences must be viewed in the light most favorable to the party opposing summary judgment, and any doubt must be resolved in favor of the non-moving party.</w:t>
      </w:r>
      <w:r>
        <w:t xml:space="preserve"> </w:t>
      </w:r>
      <w:r>
        <w:rPr>
          <w:i/>
          <w:iCs/>
        </w:rPr>
        <w:t xml:space="preserve">Matsushita Elec. Indus. Co. v. Zenith Radio Corp.</w:t>
      </w:r>
      <w:r>
        <w:t xml:space="preserve">, 475 U.S. 574, 587 (1986);</w:t>
      </w:r>
      <w:r>
        <w:t xml:space="preserve"> </w:t>
      </w:r>
      <w:r>
        <w:rPr>
          <w:i/>
          <w:iCs/>
        </w:rPr>
        <w:t xml:space="preserve">Hillman v. Loga</w:t>
      </w:r>
      <w:r>
        <w:t xml:space="preserve">, 697 F.3d 299, 302 (5th Cir. 2012).</w:t>
      </w:r>
    </w:p>
    <w:p>
      <w:pPr>
        <w:pStyle w:val="BodyText"/>
      </w:pPr>
      <w:r>
        <w:t xml:space="preserve">To prevail on an excessive force claim, a plaintiff must show that the force employed was “objectively unreasonable.”</w:t>
      </w:r>
      <w:r>
        <w:t xml:space="preserve"> </w:t>
      </w:r>
      <w:r>
        <w:rPr>
          <w:i/>
          <w:iCs/>
        </w:rPr>
        <w:t xml:space="preserve">Graham v. Connor</w:t>
      </w:r>
      <w:r>
        <w:t xml:space="preserve">, 490 U.S. 386, 397 (1989). “Excessive force claims are necessarily fact-intensive; whether the force used is excessive or unreasonable depends on the facts and circumstances of each particular case.”</w:t>
      </w:r>
      <w:r>
        <w:t xml:space="preserve"> </w:t>
      </w:r>
      <w:r>
        <w:rPr>
          <w:i/>
          <w:iCs/>
        </w:rPr>
        <w:t xml:space="preserve">Darden v. City of Fort Worth</w:t>
      </w:r>
      <w:r>
        <w:t xml:space="preserve">, 880 F.3d 722, 728 (5th Cir. 2018) (cleaned up). The focus is not best practices or desired outcomes, but instead, “the touchstone of [the Court’s] inquiry is simply the reasonableness of the force employed.”</w:t>
      </w:r>
      <w:r>
        <w:t xml:space="preserve"> </w:t>
      </w:r>
      <w:r>
        <w:rPr>
          <w:i/>
          <w:iCs/>
        </w:rPr>
        <w:t xml:space="preserve">Buehler v. Dear</w:t>
      </w:r>
      <w:r>
        <w:t xml:space="preserve">, 27 F.4th 969, 981 (5th Cir. 2022) (emphasis added).</w:t>
      </w:r>
    </w:p>
    <w:p>
      <w:pPr>
        <w:pStyle w:val="CAPoint"/>
        <w:keepNext/>
      </w:pPr>
      <w:r>
        <w:t xml:space="preserve">II.</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rendered</w:t>
      </w:r>
      <w:r>
        <w:t xml:space="preserve"> </w:t>
      </w:r>
      <w:r>
        <w:t xml:space="preserve">summary</w:t>
      </w:r>
      <w:r>
        <w:t xml:space="preserve"> </w:t>
      </w:r>
      <w:r>
        <w:t xml:space="preserve">judgment</w:t>
      </w:r>
      <w:r>
        <w:t xml:space="preserve"> </w:t>
      </w:r>
      <w:r>
        <w:t xml:space="preserve">for</w:t>
      </w:r>
      <w:r>
        <w:t xml:space="preserve"> </w:t>
      </w:r>
      <w:r>
        <w:t xml:space="preserve">the</w:t>
      </w:r>
      <w:r>
        <w:t xml:space="preserve"> </w:t>
      </w:r>
      <w:r>
        <w:t xml:space="preserve">City</w:t>
      </w:r>
      <w:r>
        <w:t xml:space="preserve"> </w:t>
      </w:r>
      <w:r>
        <w:t xml:space="preserve">on</w:t>
      </w:r>
      <w:r>
        <w:t xml:space="preserve"> </w:t>
      </w:r>
      <w:r>
        <w:t xml:space="preserve">Appellants’</w:t>
      </w:r>
      <w:r>
        <w:t xml:space="preserve"> </w:t>
      </w:r>
      <w:r>
        <w:rPr>
          <w:i/>
        </w:rPr>
        <w:t xml:space="preserve">Monell</w:t>
      </w:r>
      <w:r>
        <w:t xml:space="preserve"> </w:t>
      </w:r>
      <w:r>
        <w:t xml:space="preserve">claims</w:t>
      </w:r>
      <w:r>
        <w:t xml:space="preserve"> </w:t>
      </w:r>
      <w:r>
        <w:t xml:space="preserve">on</w:t>
      </w:r>
      <w:r>
        <w:t xml:space="preserve"> </w:t>
      </w:r>
      <w:r>
        <w:t xml:space="preserve">the</w:t>
      </w:r>
      <w:r>
        <w:t xml:space="preserve"> </w:t>
      </w:r>
      <w:r>
        <w:t xml:space="preserve">ground</w:t>
      </w:r>
      <w:r>
        <w:t xml:space="preserve"> </w:t>
      </w:r>
      <w:r>
        <w:t xml:space="preserve">that</w:t>
      </w:r>
      <w:r>
        <w:t xml:space="preserve"> </w:t>
      </w:r>
      <w:r>
        <w:t xml:space="preserve">the</w:t>
      </w:r>
      <w:r>
        <w:t xml:space="preserve"> </w:t>
      </w:r>
      <w:r>
        <w:t xml:space="preserve">Officers</w:t>
      </w:r>
      <w:r>
        <w:t xml:space="preserve"> </w:t>
      </w:r>
      <w:r>
        <w:t xml:space="preserve">did</w:t>
      </w:r>
      <w:r>
        <w:t xml:space="preserve"> </w:t>
      </w:r>
      <w:r>
        <w:t xml:space="preserve">not</w:t>
      </w:r>
      <w:r>
        <w:t xml:space="preserve"> </w:t>
      </w:r>
      <w:r>
        <w:t xml:space="preserve">use</w:t>
      </w:r>
      <w:r>
        <w:t xml:space="preserve"> </w:t>
      </w:r>
      <w:r>
        <w:t xml:space="preserve">unreasonable</w:t>
      </w:r>
      <w:r>
        <w:t xml:space="preserve"> </w:t>
      </w:r>
      <w:r>
        <w:t xml:space="preserve">force</w:t>
      </w:r>
      <w:r>
        <w:t xml:space="preserve"> </w:t>
      </w:r>
      <w:r>
        <w:t xml:space="preserve">under</w:t>
      </w:r>
      <w:r>
        <w:t xml:space="preserve"> </w:t>
      </w:r>
      <w:r>
        <w:t xml:space="preserve">the</w:t>
      </w:r>
      <w:r>
        <w:t xml:space="preserve"> </w:t>
      </w:r>
      <w:r>
        <w:t xml:space="preserve">Fourth</w:t>
      </w:r>
      <w:r>
        <w:t xml:space="preserve"> </w:t>
      </w:r>
      <w:r>
        <w:t xml:space="preserve">Amendment.</w:t>
      </w:r>
    </w:p>
    <w:p>
      <w:pPr>
        <w:pStyle w:val="BodyText"/>
      </w:pPr>
      <w:r>
        <w:t xml:space="preserve">Appellants concede the settled principle of law that if a municipality’s employee has not violated an individual’s constitutional rights,</w:t>
      </w:r>
      <w:r>
        <w:t xml:space="preserve"> </w:t>
      </w:r>
      <w:r>
        <w:rPr>
          <w:i/>
          <w:iCs/>
        </w:rPr>
        <w:t xml:space="preserve">Monell</w:t>
      </w:r>
      <w:r>
        <w:t xml:space="preserve"> </w:t>
      </w:r>
      <w:r>
        <w:t xml:space="preserve">liability cannot attach to the municipal employer. (</w:t>
      </w:r>
      <w:r>
        <w:rPr>
          <w:i/>
          <w:iCs/>
        </w:rPr>
        <w:t xml:space="preserve">See</w:t>
      </w:r>
      <w:r>
        <w:t xml:space="preserve"> </w:t>
      </w:r>
      <w:r>
        <w:t xml:space="preserve">Appellants’ Br. 30 [“If the Section 1983 claims against police officers are dismissed because of the lack of a constitutional violation, the claims against the City would also be defeated.”].)</w:t>
      </w:r>
      <w:r>
        <w:t xml:space="preserve"> </w:t>
      </w:r>
      <w:r>
        <w:rPr>
          <w:i/>
          <w:iCs/>
        </w:rPr>
        <w:t xml:space="preserve">See</w:t>
      </w:r>
      <w:r>
        <w:t xml:space="preserve"> </w:t>
      </w:r>
      <w:r>
        <w:rPr>
          <w:i/>
          <w:iCs/>
        </w:rPr>
        <w:t xml:space="preserve">Hicks-Fields v. Harris County</w:t>
      </w:r>
      <w:r>
        <w:t xml:space="preserve">, 860 F.3d 803, 808 (5th Cir. 2017) (“‘As is well established, every</w:t>
      </w:r>
      <w:r>
        <w:t xml:space="preserve"> </w:t>
      </w:r>
      <w:r>
        <w:rPr>
          <w:i/>
          <w:iCs/>
        </w:rPr>
        <w:t xml:space="preserve">Monell</w:t>
      </w:r>
      <w:r>
        <w:t xml:space="preserve"> </w:t>
      </w:r>
      <w:r>
        <w:t xml:space="preserve">claim requires “an underlying constitutional violation.”’”). For the reasons stated below, the salient undisputed facts of this case—as determined in</w:t>
      </w:r>
      <w:r>
        <w:t xml:space="preserve"> </w:t>
      </w:r>
      <w:r>
        <w:rPr>
          <w:i/>
          <w:iCs/>
        </w:rPr>
        <w:t xml:space="preserve">Dawes I</w:t>
      </w:r>
      <w:r>
        <w:t xml:space="preserve">—show the officers did not violate Appellants’ Fourth Amendment rights. As such, their</w:t>
      </w:r>
      <w:r>
        <w:t xml:space="preserve"> </w:t>
      </w:r>
      <w:r>
        <w:rPr>
          <w:i/>
          <w:iCs/>
        </w:rPr>
        <w:t xml:space="preserve">Monell</w:t>
      </w:r>
      <w:r>
        <w:t xml:space="preserve"> </w:t>
      </w:r>
      <w:r>
        <w:t xml:space="preserve">claims fail, and the Court should affirm the district court’s judgment.</w:t>
      </w:r>
    </w:p>
    <w:p>
      <w:pPr>
        <w:pStyle w:val="CAHeadL3S1"/>
        <w:keepNext/>
      </w:pPr>
      <w:r>
        <w:t xml:space="preserve">A.</w:t>
      </w:r>
      <w:r>
        <w:tab/>
      </w:r>
      <w:r>
        <w:t xml:space="preserve">The</w:t>
      </w:r>
      <w:r>
        <w:t xml:space="preserve"> </w:t>
      </w:r>
      <w:r>
        <w:t xml:space="preserve">Graham</w:t>
      </w:r>
      <w:r>
        <w:t xml:space="preserve"> </w:t>
      </w:r>
      <w:r>
        <w:t xml:space="preserve">factors</w:t>
      </w:r>
      <w:r>
        <w:t xml:space="preserve"> </w:t>
      </w:r>
      <w:r>
        <w:t xml:space="preserve">show</w:t>
      </w:r>
      <w:r>
        <w:t xml:space="preserve"> </w:t>
      </w:r>
      <w:r>
        <w:t xml:space="preserve">the</w:t>
      </w:r>
      <w:r>
        <w:t xml:space="preserve"> </w:t>
      </w:r>
      <w:r>
        <w:t xml:space="preserve">Officers’</w:t>
      </w:r>
      <w:r>
        <w:t xml:space="preserve"> </w:t>
      </w:r>
      <w:r>
        <w:t xml:space="preserve">use</w:t>
      </w:r>
      <w:r>
        <w:t xml:space="preserve"> </w:t>
      </w:r>
      <w:r>
        <w:t xml:space="preserve">of</w:t>
      </w:r>
      <w:r>
        <w:t xml:space="preserve"> </w:t>
      </w:r>
      <w:r>
        <w:t xml:space="preserve">force</w:t>
      </w:r>
      <w:r>
        <w:t xml:space="preserve"> </w:t>
      </w:r>
      <w:r>
        <w:t xml:space="preserve">was</w:t>
      </w:r>
      <w:r>
        <w:t xml:space="preserve"> </w:t>
      </w:r>
      <w:r>
        <w:t xml:space="preserve">not</w:t>
      </w:r>
      <w:r>
        <w:t xml:space="preserve"> </w:t>
      </w:r>
      <w:r>
        <w:t xml:space="preserve">unreasonable.</w:t>
      </w:r>
    </w:p>
    <w:p>
      <w:pPr>
        <w:pStyle w:val="BodyText"/>
      </w:pPr>
      <w:r>
        <w:t xml:space="preserve">Determining whether a use of force was reasonable under the Fourth Amendment “is not capable of precise definition or mechanical application.”</w:t>
      </w:r>
      <w:r>
        <w:t xml:space="preserve"> </w:t>
      </w:r>
      <w:r>
        <w:rPr>
          <w:i/>
          <w:iCs/>
        </w:rPr>
        <w:t xml:space="preserve">Graham</w:t>
      </w:r>
      <w:r>
        <w:t xml:space="preserve">, 490 U.S. 386 at 396 (quoting</w:t>
      </w:r>
      <w:r>
        <w:t xml:space="preserve"> </w:t>
      </w:r>
      <w:r>
        <w:rPr>
          <w:i/>
          <w:iCs/>
        </w:rPr>
        <w:t xml:space="preserve">Bell v. Wolfish</w:t>
      </w:r>
      <w:r>
        <w:t xml:space="preserve">, 441 U.S. 520, 559 (1979)). Instead, “its proper application requires careful attention to the facts and circumstances of each particular case, including” what are known as the</w:t>
      </w:r>
      <w:r>
        <w:t xml:space="preserve"> </w:t>
      </w:r>
      <w:r>
        <w:rPr>
          <w:i/>
          <w:iCs/>
        </w:rPr>
        <w:t xml:space="preserve">Graham</w:t>
      </w:r>
      <w:r>
        <w:t xml:space="preserve"> </w:t>
      </w:r>
      <w:r>
        <w:t xml:space="preserve">factors: (1) “the severity of the crime at issue,” (2) “whether the suspect poses an immediate threat to the safety of the officers or others,” and (3) “whether he is actively resisting arrest or attempting to evade arrest by flight.”</w:t>
      </w:r>
      <w:r>
        <w:t xml:space="preserve"> </w:t>
      </w:r>
      <w:r>
        <w:rPr>
          <w:i/>
          <w:iCs/>
        </w:rPr>
        <w:t xml:space="preserve">Id.</w:t>
      </w:r>
    </w:p>
    <w:p>
      <w:pPr>
        <w:pStyle w:val="CASection"/>
        <w:keepNext/>
      </w:pPr>
      <w:r>
        <w:t xml:space="preserve">Conclusion</w:t>
      </w:r>
    </w:p>
    <w:p>
      <w:pPr>
        <w:pStyle w:val="CABodyLast"/>
      </w:pPr>
      <w:r>
        <w:t xml:space="preserve">For the foregoing reasons, the Court should affirm the district court’s judgment.</w:t>
      </w:r>
    </w:p>
    <w:p>
      <w:pPr>
        <w:pStyle w:val="CASigHead"/>
        <w:keepNext/>
      </w:pPr>
      <w:r>
        <w:t xml:space="preserve">Respectfully submitted,</w:t>
      </w:r>
    </w:p>
    <w:p>
      <w:pPr>
        <w:pStyle w:val="CASignature"/>
        <w:keepNext/>
        <w:spacing w:before="336" w:after="0" w:line="400" w:lineRule="exact"/>
      </w:pPr>
      <w:r>
        <w:t xml:space="preserve">s/ J. Cheves Ligon</w:t>
      </w:r>
      <w:r>
        <w:br/>
      </w:r>
      <w:r>
        <w:t xml:space="preserve">J. CHEVES LIGON</w:t>
      </w:r>
    </w:p>
    <w:p>
      <w:pPr>
        <w:pStyle w:val="CASignature"/>
        <w:keepNext/>
        <w:ind w:left="4820" w:firstLine="0"/>
      </w:pPr>
      <w:r>
        <w:rPr>
          <w:i/>
        </w:rPr>
        <w:t xml:space="preserve">Assistant</w:t>
      </w:r>
      <w:r>
        <w:rPr>
          <w:i/>
        </w:rPr>
        <w:t xml:space="preserve"> </w:t>
      </w:r>
      <w:r>
        <w:rPr>
          <w:i/>
        </w:rPr>
        <w:t xml:space="preserve">City</w:t>
      </w:r>
      <w:r>
        <w:rPr>
          <w:i/>
        </w:rPr>
        <w:t xml:space="preserve"> </w:t>
      </w:r>
      <w:r>
        <w:rPr>
          <w:i/>
        </w:rPr>
        <w:t xml:space="preserve">Attorney</w:t>
      </w:r>
    </w:p>
    <w:p>
      <w:pPr>
        <w:pStyle w:val="CASignature"/>
        <w:keepNext/>
        <w:ind w:left="4820" w:firstLine="0"/>
      </w:pPr>
      <w:r>
        <w:rPr>
          <w:i/>
        </w:rPr>
        <w:t xml:space="preserve">CITY</w:t>
      </w:r>
      <w:r>
        <w:rPr>
          <w:i/>
        </w:rPr>
        <w:t xml:space="preserve"> </w:t>
      </w:r>
      <w:r>
        <w:rPr>
          <w:i/>
        </w:rPr>
        <w:t xml:space="preserve">ATTORNEY’S</w:t>
      </w:r>
      <w:r>
        <w:rPr>
          <w:i/>
        </w:rPr>
        <w:t xml:space="preserve"> </w:t>
      </w:r>
      <w:r>
        <w:rPr>
          <w:i/>
        </w:rPr>
        <w:t xml:space="preserve">OFFICE</w:t>
      </w:r>
    </w:p>
    <w:p>
      <w:pPr>
        <w:pStyle w:val="CASignature"/>
        <w:keepNext/>
        <w:ind w:left="4820" w:firstLine="0"/>
      </w:pPr>
      <w:r>
        <w:rPr>
          <w:i/>
        </w:rPr>
        <w:t xml:space="preserve">1500</w:t>
      </w:r>
      <w:r>
        <w:rPr>
          <w:i/>
        </w:rPr>
        <w:t xml:space="preserve"> </w:t>
      </w:r>
      <w:r>
        <w:rPr>
          <w:i/>
        </w:rPr>
        <w:t xml:space="preserve">Marilla</w:t>
      </w:r>
      <w:r>
        <w:rPr>
          <w:i/>
        </w:rPr>
        <w:t xml:space="preserve"> </w:t>
      </w:r>
      <w:r>
        <w:rPr>
          <w:i/>
        </w:rPr>
        <w:t xml:space="preserve">Street,</w:t>
      </w:r>
      <w:r>
        <w:rPr>
          <w:i/>
        </w:rPr>
        <w:t xml:space="preserve"> </w:t>
      </w:r>
      <w:r>
        <w:rPr>
          <w:i/>
        </w:rPr>
        <w:t xml:space="preserve">Room</w:t>
      </w:r>
      <w:r>
        <w:rPr>
          <w:i/>
        </w:rPr>
        <w:t xml:space="preserve"> </w:t>
      </w:r>
      <w:r>
        <w:rPr>
          <w:i/>
        </w:rPr>
        <w:t xml:space="preserve">7DN</w:t>
      </w:r>
    </w:p>
    <w:p>
      <w:pPr>
        <w:pStyle w:val="CASignature"/>
        <w:keepNext/>
        <w:ind w:left="4820" w:firstLine="0"/>
      </w:pPr>
      <w:r>
        <w:rPr>
          <w:i/>
        </w:rPr>
        <w:t xml:space="preserve">Dallas,</w:t>
      </w:r>
      <w:r>
        <w:rPr>
          <w:i/>
        </w:rPr>
        <w:t xml:space="preserve"> </w:t>
      </w:r>
      <w:r>
        <w:rPr>
          <w:i/>
        </w:rPr>
        <w:t xml:space="preserve">Texas</w:t>
      </w:r>
      <w:r>
        <w:rPr>
          <w:i/>
        </w:rPr>
        <w:t xml:space="preserve"> </w:t>
      </w:r>
      <w:r>
        <w:rPr>
          <w:i/>
        </w:rPr>
        <w:t xml:space="preserve">75201</w:t>
      </w:r>
    </w:p>
    <w:p>
      <w:pPr>
        <w:pStyle w:val="CASignature"/>
        <w:keepNext/>
        <w:ind w:left="4820" w:firstLine="0"/>
      </w:pPr>
      <w:r>
        <w:rPr>
          <w:i/>
        </w:rPr>
        <w:t xml:space="preserve">Telephone:</w:t>
      </w:r>
      <w:r>
        <w:rPr>
          <w:i/>
        </w:rPr>
        <w:t xml:space="preserve"> </w:t>
      </w:r>
      <w:r>
        <w:rPr>
          <w:i/>
        </w:rPr>
        <w:t xml:space="preserve">214</w:t>
      </w:r>
      <w:r>
        <w:noBreakHyphen/>
      </w:r>
      <w:r>
        <w:rPr>
          <w:i/>
        </w:rPr>
        <w:t xml:space="preserve">670</w:t>
      </w:r>
      <w:r>
        <w:noBreakHyphen/>
      </w:r>
      <w:r>
        <w:rPr>
          <w:i/>
        </w:rPr>
        <w:t xml:space="preserve">3519</w:t>
      </w:r>
    </w:p>
    <w:p>
      <w:pPr>
        <w:pStyle w:val="CASignature"/>
        <w:keepNext/>
        <w:ind w:left="4820" w:firstLine="0"/>
      </w:pPr>
      <w:r>
        <w:rPr>
          <w:i/>
        </w:rPr>
        <w:t xml:space="preserve">john.ligon@dallas.gov</w:t>
      </w:r>
    </w:p>
    <w:p>
      <w:pPr>
        <w:pStyle w:val="CASignature"/>
        <w:spacing w:before="224" w:after="0" w:line="400" w:lineRule="exact"/>
        <w:ind w:left="0" w:firstLine="0"/>
      </w:pPr>
      <w:r>
        <w:t xml:space="preserve">January</w:t>
      </w:r>
      <w:r>
        <w:t xml:space="preserve"> </w:t>
      </w:r>
      <w:r>
        <w:t xml:space="preserve">30,</w:t>
      </w:r>
      <w:r>
        <w:t xml:space="preserve"> </w:t>
      </w:r>
      <w:r>
        <w:t xml:space="preserve">2026</w:t>
      </w:r>
    </w:p>
    <w:p>
      <w:pPr>
        <w:pStyle w:val="CASection"/>
        <w:pageBreakBefore/>
        <w:spacing w:before="0" w:after="308" w:line="400" w:lineRule="exact"/>
      </w:pPr>
      <w:r>
        <w:t xml:space="preserve">Certificate of Service</w:t>
      </w:r>
    </w:p>
    <w:p>
      <w:pPr>
        <w:pStyle w:val="CACertificate"/>
      </w:pPr>
      <w:r>
        <w:t xml:space="preserve">I certify that on </w:t>
      </w:r>
      <w:r>
        <w:t xml:space="preserve">January</w:t>
      </w:r>
      <w:r>
        <w:t xml:space="preserve"> </w:t>
      </w:r>
      <w:r>
        <w:t xml:space="preserve">30,</w:t>
      </w:r>
      <w:r>
        <w:t xml:space="preserve"> </w:t>
      </w:r>
      <w:r>
        <w:t xml:space="preserve">2026</w:t>
      </w:r>
      <w:r>
        <w:t xml:space="preserve">, the foregoing document was electronically filed with the Clerk of the Court for the United States Court of Appeals for the Fifth Circuit using the electronic case filing system of the Court. I further certify that I have complied with the privacy and redaction requirements of Fed. R. App. P. 25(a)⁠(5).</w:t>
      </w:r>
    </w:p>
    <w:p>
      <w:pPr>
        <w:pStyle w:val="CACertificate"/>
      </w:pPr>
      <w:r>
        <w:t xml:space="preserve">Service</w:t>
      </w:r>
      <w:r>
        <w:t xml:space="preserve"> </w:t>
      </w:r>
      <w:r>
        <w:t xml:space="preserve">is</w:t>
      </w:r>
      <w:r>
        <w:t xml:space="preserve"> </w:t>
      </w:r>
      <w:r>
        <w:t xml:space="preserve">made</w:t>
      </w:r>
      <w:r>
        <w:t xml:space="preserve"> </w:t>
      </w:r>
      <w:r>
        <w:t xml:space="preserve">through</w:t>
      </w:r>
      <w:r>
        <w:t xml:space="preserve"> </w:t>
      </w:r>
      <w:r>
        <w:t xml:space="preserve">the</w:t>
      </w:r>
      <w:r>
        <w:t xml:space="preserve"> </w:t>
      </w:r>
      <w:r>
        <w:t xml:space="preserve">Court’s</w:t>
      </w:r>
      <w:r>
        <w:t xml:space="preserve"> </w:t>
      </w:r>
      <w:r>
        <w:t xml:space="preserve">Notice</w:t>
      </w:r>
      <w:r>
        <w:t xml:space="preserve"> </w:t>
      </w:r>
      <w:r>
        <w:t xml:space="preserve">of</w:t>
      </w:r>
      <w:r>
        <w:t xml:space="preserve"> </w:t>
      </w:r>
      <w:r>
        <w:t xml:space="preserve">Docket</w:t>
      </w:r>
      <w:r>
        <w:t xml:space="preserve"> </w:t>
      </w:r>
      <w:r>
        <w:t xml:space="preserve">Activity</w:t>
      </w:r>
      <w:r>
        <w:t xml:space="preserve"> </w:t>
      </w:r>
      <w:r>
        <w:t xml:space="preserve">on</w:t>
      </w:r>
      <w:r>
        <w:t xml:space="preserve"> </w:t>
      </w:r>
      <w:r>
        <w:t xml:space="preserve">Thad</w:t>
      </w:r>
      <w:r>
        <w:t xml:space="preserve"> </w:t>
      </w:r>
      <w:r>
        <w:t xml:space="preserve">D.</w:t>
      </w:r>
      <w:r>
        <w:t xml:space="preserve"> </w:t>
      </w:r>
      <w:r>
        <w:t xml:space="preserve">Spalding,</w:t>
      </w:r>
      <w:r>
        <w:t xml:space="preserve"> </w:t>
      </w:r>
      <w:r>
        <w:t xml:space="preserve">Shelby</w:t>
      </w:r>
      <w:r>
        <w:t xml:space="preserve"> </w:t>
      </w:r>
      <w:r>
        <w:t xml:space="preserve">White,</w:t>
      </w:r>
      <w:r>
        <w:t xml:space="preserve"> </w:t>
      </w:r>
      <w:r>
        <w:t xml:space="preserve">and</w:t>
      </w:r>
      <w:r>
        <w:t xml:space="preserve"> </w:t>
      </w:r>
      <w:r>
        <w:t xml:space="preserve">Daryl</w:t>
      </w:r>
      <w:r>
        <w:t xml:space="preserve"> </w:t>
      </w:r>
      <w:r>
        <w:t xml:space="preserve">K.</w:t>
      </w:r>
      <w:r>
        <w:t xml:space="preserve"> </w:t>
      </w:r>
      <w:r>
        <w:t xml:space="preserve">Washington,</w:t>
      </w:r>
      <w:r>
        <w:t xml:space="preserve"> </w:t>
      </w:r>
      <w:r>
        <w:t xml:space="preserve">counsel</w:t>
      </w:r>
      <w:r>
        <w:t xml:space="preserve"> </w:t>
      </w:r>
      <w:r>
        <w:t xml:space="preserve">for</w:t>
      </w:r>
      <w:r>
        <w:t xml:space="preserve"> </w:t>
      </w:r>
      <w:r>
        <w:t xml:space="preserve">Appellants,</w:t>
      </w:r>
      <w:r>
        <w:t xml:space="preserve"> </w:t>
      </w:r>
      <w:r>
        <w:t xml:space="preserve">who</w:t>
      </w:r>
      <w:r>
        <w:t xml:space="preserve"> </w:t>
      </w:r>
      <w:r>
        <w:t xml:space="preserve">have</w:t>
      </w:r>
      <w:r>
        <w:t xml:space="preserve"> </w:t>
      </w:r>
      <w:r>
        <w:t xml:space="preserve">consented</w:t>
      </w:r>
      <w:r>
        <w:t xml:space="preserve"> </w:t>
      </w:r>
      <w:r>
        <w:t xml:space="preserve">in</w:t>
      </w:r>
      <w:r>
        <w:t xml:space="preserve"> </w:t>
      </w:r>
      <w:r>
        <w:t xml:space="preserve">writing</w:t>
      </w:r>
      <w:r>
        <w:t xml:space="preserve"> </w:t>
      </w:r>
      <w:r>
        <w:t xml:space="preserve">to</w:t>
      </w:r>
      <w:r>
        <w:t xml:space="preserve"> </w:t>
      </w:r>
      <w:r>
        <w:t xml:space="preserve">accept</w:t>
      </w:r>
      <w:r>
        <w:t xml:space="preserve"> </w:t>
      </w:r>
      <w:r>
        <w:t xml:space="preserve">such</w:t>
      </w:r>
      <w:r>
        <w:t xml:space="preserve"> </w:t>
      </w:r>
      <w:r>
        <w:t xml:space="preserve">notice</w:t>
      </w:r>
      <w:r>
        <w:t xml:space="preserve"> </w:t>
      </w:r>
      <w:r>
        <w:t xml:space="preserve">as</w:t>
      </w:r>
      <w:r>
        <w:t xml:space="preserve"> </w:t>
      </w:r>
      <w:r>
        <w:t xml:space="preserve">service</w:t>
      </w:r>
      <w:r>
        <w:t xml:space="preserve"> </w:t>
      </w:r>
      <w:r>
        <w:t xml:space="preserve">of</w:t>
      </w:r>
      <w:r>
        <w:t xml:space="preserve"> </w:t>
      </w:r>
      <w:r>
        <w:t xml:space="preserve">this</w:t>
      </w:r>
      <w:r>
        <w:t xml:space="preserve"> </w:t>
      </w:r>
      <w:r>
        <w:t xml:space="preserve">document</w:t>
      </w:r>
      <w:r>
        <w:t xml:space="preserve"> </w:t>
      </w:r>
      <w:r>
        <w:t xml:space="preserve">by</w:t>
      </w:r>
      <w:r>
        <w:t xml:space="preserve"> </w:t>
      </w:r>
      <w:r>
        <w:t xml:space="preserve">electronic</w:t>
      </w:r>
      <w:r>
        <w:t xml:space="preserve"> </w:t>
      </w:r>
      <w:r>
        <w:t xml:space="preserve">means.</w:t>
      </w:r>
    </w:p>
    <w:p>
      <w:pPr>
        <w:pStyle w:val="CAMark"/>
        <w:spacing w:before="392" w:after="0" w:line="400" w:lineRule="exact"/>
      </w:pPr>
      <w:r>
        <w:t xml:space="preserve">s/ J. Cheves Ligon</w:t>
      </w:r>
      <w:r>
        <w:br/>
      </w:r>
      <w:r>
        <w:t xml:space="preserve">Assistant</w:t>
      </w:r>
      <w:r>
        <w:t xml:space="preserve"> </w:t>
      </w:r>
      <w:r>
        <w:t xml:space="preserve">City</w:t>
      </w:r>
      <w:r>
        <w:t xml:space="preserve"> </w:t>
      </w:r>
      <w:r>
        <w:t xml:space="preserve">Attorney</w:t>
      </w:r>
    </w:p>
    <w:p>
      <w:pPr>
        <w:pStyle w:val="CASection"/>
        <w:pageBreakBefore/>
        <w:spacing w:before="0" w:after="308" w:line="400" w:lineRule="exact"/>
      </w:pPr>
      <w:r>
        <w:t xml:space="preserve">Certificate of Compliance</w:t>
      </w:r>
    </w:p>
    <w:p>
      <w:pPr>
        <w:pStyle w:val="CACertificate"/>
        <w:tabs>
          <w:tab w:val="left" w:pos="322"/>
        </w:tabs>
      </w:pPr>
      <w:r>
        <w:t xml:space="preserve">1.</w:t>
      </w:r>
      <w:r>
        <w:tab/>
      </w:r>
      <w:r>
        <w:t xml:space="preserve">This brief complies with the type-volume limitation of Fed. R. App. P. 32(a)⁠(7)⁠(B) because: this brief contains 1,333 words, excluding the parts of the brief exempted by Fed. R. App. P. 32(f).</w:t>
      </w:r>
    </w:p>
    <w:p>
      <w:pPr>
        <w:pStyle w:val="CACertificate"/>
        <w:tabs>
          <w:tab w:val="left" w:pos="322"/>
        </w:tabs>
      </w:pPr>
      <w:r>
        <w:t xml:space="preserve">2.</w:t>
      </w:r>
      <w:r>
        <w:tab/>
      </w:r>
      <w:r>
        <w:t xml:space="preserve">This brief complies with the typeface requirements of Fed. R. App. P. 32(a)⁠(5) and the type style requirements of Fed. R. App. P. 32(a)⁠(6) because: this brief has been prepared in a proportionally spaced typeface using </w:t>
      </w:r>
      <w:r>
        <w:t xml:space="preserve">Typst</w:t>
      </w:r>
      <w:r>
        <w:t xml:space="preserve"> </w:t>
      </w:r>
      <w:r>
        <w:t xml:space="preserve">0.15.0</w:t>
      </w:r>
      <w:r>
        <w:t xml:space="preserve"> </w:t>
      </w:r>
      <w:r>
        <w:t xml:space="preserve">in</w:t>
      </w:r>
      <w:r>
        <w:t xml:space="preserve"> </w:t>
      </w:r>
      <w:r>
        <w:t xml:space="preserve">14-point</w:t>
      </w:r>
      <w:r>
        <w:t xml:space="preserve"> </w:t>
      </w:r>
      <w:r>
        <w:t xml:space="preserve">Liberation</w:t>
      </w:r>
      <w:r>
        <w:t xml:space="preserve"> </w:t>
      </w:r>
      <w:r>
        <w:t xml:space="preserve">Serif</w:t>
      </w:r>
      <w:r>
        <w:t xml:space="preserve">.</w:t>
      </w:r>
    </w:p>
    <w:p>
      <w:pPr>
        <w:pStyle w:val="CAMark"/>
        <w:spacing w:before="392" w:after="0" w:line="400" w:lineRule="exact"/>
      </w:pPr>
      <w:r>
        <w:t xml:space="preserve">s/ J. Cheves Ligon</w:t>
      </w:r>
      <w:r>
        <w:br/>
      </w:r>
      <w:r>
        <w:t xml:space="preserve">Assistant</w:t>
      </w:r>
      <w:r>
        <w:t xml:space="preserve"> </w:t>
      </w:r>
      <w:r>
        <w:t xml:space="preserve">City</w:t>
      </w:r>
      <w:r>
        <w:t xml:space="preserve"> </w:t>
      </w:r>
      <w:r>
        <w:t xml:space="preserve">Attorney</w:t>
      </w:r>
    </w:p>
    <w:sectPr>
      <w:footerReference w:type="default" r:id="rIdArabicFtr"/>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law-of-the-case doctrine generally provides that when a court decides upon a rule of law, that decision should continue to govern the same issues in subsequent stages in the same case.”</w:t>
      </w:r>
      <w:r>
        <w:t xml:space="preserve"> </w:t>
      </w:r>
      <w:r>
        <w:rPr>
          <w:i/>
          <w:iCs/>
        </w:rPr>
        <w:t xml:space="preserve">Winfrey v. Rogers</w:t>
      </w:r>
      <w:r>
        <w:t xml:space="preserve">, 901 F.3d 483, 491 (5th Cir. 2018) (cleaned up). “The doctrine is meant to promote judicial efficiency so that appellate courts do not continually have to reexamine subsequent proceedings in the same case. It forecloses reexamination on a subsequent appeal.”</w:t>
      </w:r>
      <w:r>
        <w:t xml:space="preserve"> </w:t>
      </w:r>
      <w:r>
        <w:rPr>
          <w:i/>
          <w:iCs/>
        </w:rPr>
        <w:t xml:space="preserve">Id.</w:t>
      </w:r>
      <w:r>
        <w:t xml:space="preserve"> </w:t>
      </w:r>
      <w:r>
        <w:t xml:space="preserve">None of the exceptions to the rule—new evidence, new controlling authority, or a clearly-erroneous decision—apply.</w:t>
      </w:r>
      <w:r>
        <w:t xml:space="preserve"> </w:t>
      </w:r>
      <w:r>
        <w:rPr>
          <w:i/>
          <w:iCs/>
        </w:rPr>
        <w:t xml:space="preserve">Id.</w:t>
      </w:r>
      <w:r>
        <w:t xml:space="preserve">;</w:t>
      </w:r>
      <w:r>
        <w:t xml:space="preserve"> </w:t>
      </w:r>
      <w:r>
        <w:rPr>
          <w:i/>
          <w:iCs/>
        </w:rPr>
        <w:t xml:space="preserve">see also</w:t>
      </w:r>
      <w:r>
        <w:t xml:space="preserve"> </w:t>
      </w:r>
      <w:r>
        <w:rPr>
          <w:i/>
          <w:iCs/>
        </w:rPr>
        <w:t xml:space="preserve">United States v. Smith</w:t>
      </w:r>
      <w:r>
        <w:t xml:space="preserve">, 814 F.3d 268, 273 (5th Cir. 2016) (“The law-of-the-case doctrine bars reexamination of issues of law or fact decided on appeal in subsequent proceedings in a trial or appellate court.”);</w:t>
      </w:r>
      <w:r>
        <w:t xml:space="preserve"> </w:t>
      </w:r>
      <w:r>
        <w:rPr>
          <w:i/>
          <w:iCs/>
        </w:rPr>
        <w:t xml:space="preserve">Cooper Tire &amp; Rubber Co. v. Farese</w:t>
      </w:r>
      <w:r>
        <w:t xml:space="preserve">, 248 F. App’x 555, 558 (5th Cir. 2007) (“The law of the case doctrine provides that a decision of a factual or legal issue by an appellate court establishes the law of the case and must be followed in all subsequent proceedings in the same case in the trial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val="0"/>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420" w:after="308" w:line="400" w:lineRule="exact"/>
      <w:ind w:firstLine="0"/>
      <w:jc w:val="center"/>
      <w:outlineLvl w:val="0"/>
    </w:pPr>
    <w:rPr>
      <w:b/>
      <w:caps/>
      <w:sz w:val="32"/>
      <w:szCs w:val="32"/>
    </w:rPr>
  </w:style>
  <w:style w:type="paragraph" w:customStyle="1" w:styleId="CAPoint">
    <w:name w:val="CA Point"/>
    <w:basedOn w:val="Normal"/>
    <w:qFormat/>
    <w:pPr>
      <w:keepNext/>
      <w:keepLines/>
      <w:spacing w:before="336" w:after="280" w:line="400" w:lineRule="exact"/>
      <w:ind w:firstLine="0"/>
      <w:jc w:val="center"/>
      <w:outlineLvl w:val="1"/>
    </w:pPr>
    <w:rPr>
      <w:b/>
    </w:rPr>
  </w:style>
  <w:style w:type="paragraph" w:customStyle="1" w:styleId="CAHeadL2S0">
    <w:name w:val="CA Heading L2 S0"/>
    <w:basedOn w:val="Normal"/>
    <w:qFormat/>
    <w:pPr>
      <w:keepNext/>
      <w:keepLines/>
      <w:tabs>
        <w:tab w:val="left" w:pos="720"/>
      </w:tabs>
      <w:spacing w:before="308" w:after="252" w:line="40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40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40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40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40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40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40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40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40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40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40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308" w:after="252" w:line="40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308" w:after="252" w:line="40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308" w:after="252" w:line="40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308" w:after="252" w:line="40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308" w:after="252" w:line="40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308" w:after="252" w:line="40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308" w:after="252" w:line="40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308" w:after="252" w:line="40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308" w:after="252" w:line="400" w:lineRule="exact"/>
      <w:ind w:left="3600" w:hanging="720"/>
      <w:jc w:val="left"/>
      <w:outlineLvl w:val="4"/>
    </w:pPr>
    <w:rPr>
      <w:b/>
      <w:i/>
    </w:rPr>
  </w:style>
  <w:style w:type="paragraph" w:customStyle="1" w:styleId="CACentered">
    <w:name w:val="CA Centered"/>
    <w:basedOn w:val="Normal"/>
    <w:qFormat/>
    <w:pPr>
      <w:spacing w:before="0" w:after="0" w:line="400" w:lineRule="exact"/>
      <w:ind w:firstLine="0"/>
      <w:jc w:val="center"/>
    </w:pPr>
    <w:rPr/>
  </w:style>
  <w:style w:type="paragraph" w:customStyle="1" w:styleId="CACoverCourt">
    <w:name w:val="CA Cover Court"/>
    <w:basedOn w:val="CACentered"/>
    <w:qFormat/>
    <w:pPr>
      <w:keepNext/>
      <w:spacing w:before="0" w:after="0" w:line="400" w:lineRule="exact"/>
      <w:ind w:left="1170" w:right="1170" w:firstLine="0"/>
    </w:pPr>
    <w:rPr>
      <w:b/>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0" w:line="400" w:lineRule="exact"/>
      <w:ind w:left="4680" w:firstLine="0"/>
      <w:jc w:val="left"/>
    </w:pPr>
    <w:rPr/>
  </w:style>
  <w:style w:type="paragraph" w:customStyle="1" w:styleId="CACounsel">
    <w:name w:val="CA Counsel"/>
    <w:basedOn w:val="Normal"/>
    <w:qFormat/>
    <w:pPr>
      <w:spacing w:before="0" w:after="0" w:line="400" w:lineRule="exact"/>
      <w:ind w:firstLine="0"/>
      <w:jc w:val="left"/>
    </w:pPr>
    <w:rPr/>
  </w:style>
  <w:style w:type="paragraph" w:customStyle="1" w:styleId="CASignature">
    <w:name w:val="CA Signature"/>
    <w:basedOn w:val="Normal"/>
    <w:qFormat/>
    <w:pPr>
      <w:keepNext/>
      <w:keepLines/>
      <w:spacing w:before="0" w:after="0" w:line="400" w:lineRule="exact"/>
      <w:ind w:left="4680" w:firstLine="0"/>
      <w:jc w:val="left"/>
    </w:pPr>
    <w:rPr/>
  </w:style>
  <w:style w:type="paragraph" w:customStyle="1" w:styleId="CAMark">
    <w:name w:val="CA Signature Mark"/>
    <w:basedOn w:val="Normal"/>
    <w:qFormat/>
    <w:pPr>
      <w:keepNext/>
      <w:keepLines/>
      <w:spacing w:before="0" w:after="0" w:line="400" w:lineRule="exact"/>
      <w:ind w:left="4212" w:firstLine="0"/>
      <w:jc w:val="left"/>
    </w:pPr>
    <w:rPr/>
  </w:style>
  <w:style w:type="paragraph" w:customStyle="1" w:styleId="CASigHead">
    <w:name w:val="CA Signature Head"/>
    <w:basedOn w:val="CASignature"/>
    <w:qFormat/>
    <w:pPr>
      <w:spacing w:before="392" w:after="0" w:line="400" w:lineRule="exact"/>
    </w:pPr>
    <w:rPr/>
  </w:style>
  <w:style w:type="paragraph" w:customStyle="1" w:styleId="CACertificate">
    <w:name w:val="CA Certificate"/>
    <w:basedOn w:val="Normal"/>
    <w:qFormat/>
    <w:pPr>
      <w:spacing w:before="280" w:after="280" w:line="400" w:lineRule="exact"/>
      <w:ind w:firstLine="0"/>
      <w:jc w:val="left"/>
    </w:pPr>
    <w:rPr/>
  </w:style>
  <w:style w:type="paragraph" w:customStyle="1" w:styleId="CATocTop">
    <w:name w:val="CA TOC 1"/>
    <w:basedOn w:val="Normal"/>
    <w:qFormat/>
    <w:pPr>
      <w:keepLines/>
      <w:tabs>
        <w:tab w:val="right" w:leader="dot" w:pos="9360"/>
      </w:tabs>
      <w:spacing w:before="168" w:after="0" w:line="40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40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40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40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40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400" w:lineRule="exact"/>
      <w:ind w:left="3600" w:right="720" w:hanging="720"/>
    </w:pPr>
    <w:rPr/>
  </w:style>
  <w:style w:type="paragraph" w:customStyle="1" w:styleId="CATocPage">
    <w:name w:val="CA TOC Page"/>
    <w:basedOn w:val="Normal"/>
    <w:qFormat/>
    <w:pPr>
      <w:keepNext/>
      <w:spacing w:before="84" w:after="0" w:line="400" w:lineRule="exact"/>
      <w:ind w:firstLine="0"/>
      <w:jc w:val="right"/>
    </w:pPr>
    <w:rPr>
      <w:b/>
      <w:u w:val="single"/>
    </w:rPr>
  </w:style>
  <w:style w:type="paragraph" w:customStyle="1" w:styleId="CAToaGroup">
    <w:name w:val="CA TOA Group"/>
    <w:basedOn w:val="Normal"/>
    <w:qFormat/>
    <w:pPr>
      <w:keepNext/>
      <w:tabs>
        <w:tab w:val="right" w:pos="9360"/>
      </w:tabs>
      <w:spacing w:before="392" w:after="56" w:line="400" w:lineRule="exact"/>
      <w:ind w:firstLine="0"/>
    </w:pPr>
    <w:rPr>
      <w:b/>
    </w:rPr>
  </w:style>
  <w:style w:type="paragraph" w:customStyle="1" w:styleId="CAToaEntry">
    <w:name w:val="CA TOA Entry"/>
    <w:basedOn w:val="Normal"/>
    <w:qFormat/>
    <w:pPr>
      <w:keepLines/>
      <w:tabs>
        <w:tab w:val="right" w:leader="dot" w:pos="9360"/>
      </w:tabs>
      <w:spacing w:before="196" w:after="0" w:line="40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rabicFt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