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jc w:val="center"/>
      </w:pPr>
      <w:r>
        <w:rPr>
          <w:b/>
        </w:rPr>
        <w:t xml:space="preserve">UNITED STATES DISTRICT COURT</w:t>
      </w:r>
    </w:p>
    <w:p>
      <w:pPr>
        <w:pStyle w:val="Single"/>
        <w:jc w:val="center"/>
      </w:pPr>
      <w:r>
        <w:rPr>
          <w:b/>
        </w:rPr>
        <w:t xml:space="preserve">DISTRICT OF SOUTH DAKOTA</w:t>
      </w:r>
    </w:p>
    <w:p>
      <w:pPr>
        <w:pStyle w:val="Single"/>
        <w:jc w:val="center"/>
      </w:pPr>
      <w:r>
        <w:rPr>
          <w:b/>
        </w:rPr>
        <w:t xml:space="preserve">RAPID CITY DIVISION</w:t>
      </w:r>
    </w:p>
    <w:p>
      <w:pPr>
        <w:spacing w:before="0" w:after="0" w:line="360" w:lineRule="exact"/>
      </w:pPr>
    </w:p>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680"/>
        <w:gridCol w:w="360"/>
        <w:gridCol w:w="4320"/>
      </w:tblGrid>
      <w:tr>
        <w:trPr>
          <w:cantSplit/>
        </w:trPr>
        <w:tc>
          <w:tcPr>
            <w:tcW w:w="4680" w:type="dxa"/>
            <w:tcBorders>
              <w:bottom w:val="single" w:sz="6" w:space="0" w:color="000000"/>
              <w:right w:val="single" w:sz="6" w:space="0" w:color="000000"/>
            </w:tcBorders>
            <w:tcMar>
              <w:bottom w:w="200" w:type="dxa"/>
              <w:right w:w="240" w:type="dxa"/>
            </w:tcMar>
          </w:tcPr>
          <w:p>
            <w:pPr>
              <w:pStyle w:val="Single"/>
            </w:pPr>
            <w:r>
              <w:t xml:space="preserve">Daniel</w:t>
            </w:r>
            <w:r>
              <w:t xml:space="preserve"> </w:t>
            </w:r>
            <w:r>
              <w:t xml:space="preserve">Everett</w:t>
            </w:r>
            <w:r>
              <w:t xml:space="preserve"> </w:t>
            </w:r>
            <w:r>
              <w:t xml:space="preserve">Knosp</w:t>
            </w:r>
          </w:p>
          <w:p>
            <w:pPr>
              <w:pStyle w:val="Single"/>
            </w:pPr>
            <w:r>
              <w:t xml:space="preserve">Plaintiff,</w:t>
            </w:r>
          </w:p>
          <w:p>
            <w:pPr>
              <w:pStyle w:val="Single"/>
            </w:pPr>
            <w:r>
              <w:t xml:space="preserve">v.</w:t>
            </w:r>
          </w:p>
          <w:p>
            <w:pPr>
              <w:pStyle w:val="Single"/>
            </w:pPr>
            <w:r>
              <w:t xml:space="preserve">Equifax</w:t>
            </w:r>
            <w:r>
              <w:t xml:space="preserve"> </w:t>
            </w:r>
            <w:r>
              <w:t xml:space="preserve">Information</w:t>
            </w:r>
            <w:r>
              <w:t xml:space="preserve"> </w:t>
            </w:r>
            <w:r>
              <w:t xml:space="preserve">Services,</w:t>
            </w:r>
            <w:r>
              <w:t xml:space="preserve"> </w:t>
            </w:r>
            <w:r>
              <w:t xml:space="preserve">LLC</w:t>
            </w:r>
          </w:p>
          <w:p>
            <w:pPr>
              <w:pStyle w:val="Single"/>
            </w:pPr>
            <w:r>
              <w:t xml:space="preserve">Experian</w:t>
            </w:r>
            <w:r>
              <w:t xml:space="preserve"> </w:t>
            </w:r>
            <w:r>
              <w:t xml:space="preserve">Information</w:t>
            </w:r>
            <w:r>
              <w:t xml:space="preserve"> </w:t>
            </w:r>
            <w:r>
              <w:t xml:space="preserve">Solutions,</w:t>
            </w:r>
            <w:r>
              <w:t xml:space="preserve"> </w:t>
            </w:r>
            <w:r>
              <w:t xml:space="preserve">Inc.</w:t>
            </w:r>
          </w:p>
          <w:p>
            <w:pPr>
              <w:pStyle w:val="Single"/>
            </w:pPr>
            <w:r>
              <w:t xml:space="preserve">TransUnion</w:t>
            </w:r>
            <w:r>
              <w:t xml:space="preserve"> </w:t>
            </w:r>
            <w:r>
              <w:t xml:space="preserve">LLC</w:t>
            </w:r>
          </w:p>
          <w:p>
            <w:pPr>
              <w:pStyle w:val="Single"/>
            </w:pPr>
            <w:r>
              <w:t xml:space="preserve">Defendants.</w:t>
            </w:r>
          </w:p>
        </w:tc>
        <w:tc>
          <w:tcPr>
            <w:tcW w:w="360" w:type="dxa"/>
          </w:tcPr>
          <w:p>
            <w:pPr>
              <w:pStyle w:val="Single"/>
            </w:pPr>
          </w:p>
        </w:tc>
        <w:tc>
          <w:tcPr>
            <w:tcW w:w="4320" w:type="dxa"/>
            <w:tcMar>
              <w:left w:w="216" w:type="dxa"/>
            </w:tcMar>
          </w:tcPr>
          <w:p>
            <w:pPr>
              <w:pStyle w:val="Single"/>
            </w:pPr>
            <w:r>
              <w:t xml:space="preserve">Case No. 5:26-cv-05092-CCT</w:t>
            </w:r>
          </w:p>
          <w:p>
            <w:pPr>
              <w:spacing w:before="0" w:after="0" w:line="240" w:lineRule="exact"/>
            </w:pPr>
          </w:p>
          <w:p>
            <w:pPr>
              <w:pStyle w:val="Single"/>
            </w:pPr>
            <w:r>
              <w:rPr>
                <w:b/>
              </w:rPr>
              <w:t xml:space="preserve">COMPLAINT</w:t>
            </w:r>
            <w:r>
              <w:rPr>
                <w:b/>
              </w:rPr>
              <w:t xml:space="preserve"> </w:t>
            </w:r>
            <w:r>
              <w:rPr>
                <w:b/>
              </w:rPr>
              <w:t xml:space="preserve">FOR</w:t>
            </w:r>
            <w:r>
              <w:rPr>
                <w:b/>
              </w:rPr>
              <w:t xml:space="preserve"> </w:t>
            </w:r>
            <w:r>
              <w:rPr>
                <w:b/>
              </w:rPr>
              <w:t xml:space="preserve">A</w:t>
            </w:r>
            <w:r>
              <w:rPr>
                <w:b/>
              </w:rPr>
              <w:t xml:space="preserve"> </w:t>
            </w:r>
            <w:r>
              <w:rPr>
                <w:b/>
              </w:rPr>
              <w:t xml:space="preserve">CIVIL</w:t>
            </w:r>
            <w:r>
              <w:rPr>
                <w:b/>
              </w:rPr>
              <w:t xml:space="preserve"> </w:t>
            </w:r>
            <w:r>
              <w:rPr>
                <w:b/>
              </w:rPr>
              <w:t xml:space="preserve">CASE</w:t>
            </w:r>
          </w:p>
          <w:p>
            <w:pPr>
              <w:spacing w:before="0" w:after="0" w:line="240" w:lineRule="exact"/>
            </w:pPr>
          </w:p>
          <w:p>
            <w:pPr>
              <w:pStyle w:val="Single"/>
            </w:pPr>
            <w:r>
              <w:rPr>
                <w:b/>
              </w:rPr>
              <w:t xml:space="preserve">JURY TRIAL DEMANDED</w:t>
            </w:r>
          </w:p>
        </w:tc>
      </w:tr>
    </w:tbl>
    <w:p>
      <w:pPr>
        <w:spacing w:before="0" w:after="0" w:line="480" w:lineRule="exact"/>
      </w:pPr>
    </w:p>
    <w:bookmarkStart w:id="22" w:name="i.-the-parties-to-this-complaint"/>
    <w:p>
      <w:pPr>
        <w:pStyle w:val="Heading1"/>
      </w:pPr>
      <w:r>
        <w:t xml:space="preserve">I. THE PARTIES TO THIS COMPLAINT</w:t>
      </w:r>
    </w:p>
    <w:bookmarkStart w:id="20" w:name="a.-the-plaintiff"/>
    <w:p>
      <w:pPr>
        <w:pStyle w:val="Heading2"/>
      </w:pPr>
      <w:r>
        <w:t xml:space="preserve">A. The Plaintiff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Plaintiff</w:t>
            </w:r>
          </w:p>
        </w:tc>
      </w:tr>
      <w:tr>
        <w:tc>
          <w:tcPr/>
          <w:p>
            <w:pPr>
              <w:pStyle w:val="Compact"/>
            </w:pPr>
            <w:r>
              <w:t xml:space="preserve">Name</w:t>
            </w:r>
          </w:p>
        </w:tc>
        <w:tc>
          <w:tcPr/>
          <w:p>
            <w:pPr>
              <w:pStyle w:val="Compact"/>
            </w:pPr>
            <w:r>
              <w:t xml:space="preserve">Daniel Everett Knosp</w:t>
            </w:r>
          </w:p>
        </w:tc>
      </w:tr>
      <w:tr>
        <w:tc>
          <w:tcPr/>
          <w:p>
            <w:pPr>
              <w:pStyle w:val="Compact"/>
            </w:pPr>
            <w:r>
              <w:t xml:space="preserve">Street address</w:t>
            </w:r>
          </w:p>
        </w:tc>
        <w:tc>
          <w:tcPr/>
          <w:p>
            <w:pPr>
              <w:pStyle w:val="Compact"/>
            </w:pPr>
            <w:r>
              <w:t xml:space="preserve">[redacted]</w:t>
            </w:r>
          </w:p>
        </w:tc>
      </w:tr>
      <w:tr>
        <w:tc>
          <w:tcPr/>
          <w:p>
            <w:pPr>
              <w:pStyle w:val="Compact"/>
            </w:pPr>
            <w:r>
              <w:t xml:space="preserve">City and county</w:t>
            </w:r>
          </w:p>
        </w:tc>
        <w:tc>
          <w:tcPr/>
          <w:p>
            <w:pPr>
              <w:pStyle w:val="Compact"/>
            </w:pPr>
            <w:r>
              <w:t xml:space="preserve">Summerset, Meade County</w:t>
            </w:r>
          </w:p>
        </w:tc>
      </w:tr>
      <w:tr>
        <w:tc>
          <w:tcPr/>
          <w:p>
            <w:pPr>
              <w:pStyle w:val="Compact"/>
            </w:pPr>
            <w:r>
              <w:t xml:space="preserve">State and zip code</w:t>
            </w:r>
          </w:p>
        </w:tc>
        <w:tc>
          <w:tcPr/>
          <w:p>
            <w:pPr>
              <w:pStyle w:val="Compact"/>
            </w:pPr>
            <w:r>
              <w:t xml:space="preserve">SD 57718</w:t>
            </w:r>
          </w:p>
        </w:tc>
      </w:tr>
      <w:tr>
        <w:tc>
          <w:tcPr/>
          <w:p>
            <w:pPr>
              <w:pStyle w:val="Compact"/>
            </w:pPr>
            <w:r>
              <w:t xml:space="preserve">Telephone number</w:t>
            </w:r>
          </w:p>
        </w:tc>
        <w:tc>
          <w:tcPr/>
          <w:p>
            <w:pPr>
              <w:pStyle w:val="Compact"/>
            </w:pPr>
            <w:r>
              <w:t xml:space="preserve">[redacted]</w:t>
            </w:r>
          </w:p>
        </w:tc>
      </w:tr>
      <w:tr>
        <w:tc>
          <w:tcPr/>
          <w:p>
            <w:pPr>
              <w:pStyle w:val="Compact"/>
            </w:pPr>
            <w:r>
              <w:t xml:space="preserve">E-mail address</w:t>
            </w:r>
          </w:p>
        </w:tc>
        <w:tc>
          <w:tcPr/>
          <w:p>
            <w:pPr>
              <w:pStyle w:val="Compact"/>
            </w:pPr>
            <w:r>
              <w:t xml:space="preserve">[redacted]</w:t>
            </w:r>
          </w:p>
        </w:tc>
      </w:tr>
    </w:tbl>
    <w:bookmarkEnd w:id="20"/>
    <w:bookmarkStart w:id="21" w:name="b.-the-defendants"/>
    <w:p>
      <w:pPr>
        <w:pStyle w:val="Heading2"/>
      </w:pPr>
      <w:r>
        <w:t xml:space="preserve">B. The Defendants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Defendant No. 1</w:t>
            </w:r>
          </w:p>
        </w:tc>
        <w:tc>
          <w:tcPr/>
          <w:p>
            <w:pPr>
              <w:pStyle w:val="Compact"/>
            </w:pPr>
            <w:r>
              <w:t xml:space="preserve">Defendant No. 2</w:t>
            </w:r>
          </w:p>
        </w:tc>
        <w:tc>
          <w:tcPr/>
          <w:p>
            <w:pPr>
              <w:pStyle w:val="Compact"/>
            </w:pPr>
            <w:r>
              <w:t xml:space="preserve">Defendant No. 3</w:t>
            </w:r>
          </w:p>
        </w:tc>
      </w:tr>
      <w:tr>
        <w:tc>
          <w:tcPr/>
          <w:p>
            <w:pPr>
              <w:pStyle w:val="Compact"/>
            </w:pPr>
            <w:r>
              <w:t xml:space="preserve">Name</w:t>
            </w:r>
          </w:p>
        </w:tc>
        <w:tc>
          <w:tcPr/>
          <w:p>
            <w:pPr>
              <w:pStyle w:val="Compact"/>
            </w:pPr>
            <w:r>
              <w:t xml:space="preserve">Equifax Information Services LLC</w:t>
            </w:r>
          </w:p>
        </w:tc>
        <w:tc>
          <w:tcPr/>
          <w:p>
            <w:pPr>
              <w:pStyle w:val="Compact"/>
            </w:pPr>
            <w:r>
              <w:t xml:space="preserve">Experian Information Solutions, Inc.</w:t>
            </w:r>
          </w:p>
        </w:tc>
        <w:tc>
          <w:tcPr/>
          <w:p>
            <w:pPr>
              <w:pStyle w:val="Compact"/>
            </w:pPr>
            <w:r>
              <w:t xml:space="preserve">TransUnion LLC</w:t>
            </w:r>
          </w:p>
        </w:tc>
      </w:tr>
      <w:tr>
        <w:tc>
          <w:tcPr/>
          <w:p>
            <w:pPr>
              <w:pStyle w:val="Compact"/>
            </w:pPr>
            <w:r>
              <w:t xml:space="preserve">Job or title</w:t>
            </w:r>
          </w:p>
        </w:tc>
        <w:tc>
          <w:tcPr/>
          <w:p>
            <w:pPr>
              <w:pStyle w:val="Compact"/>
            </w:pPr>
            <w:r>
              <w:t xml:space="preserve">Consumer Reporting Agency</w:t>
            </w:r>
          </w:p>
        </w:tc>
        <w:tc>
          <w:tcPr/>
          <w:p>
            <w:pPr>
              <w:pStyle w:val="Compact"/>
            </w:pPr>
            <w:r>
              <w:t xml:space="preserve">Consumer Reporting Agency</w:t>
            </w:r>
          </w:p>
        </w:tc>
        <w:tc>
          <w:tcPr/>
          <w:p>
            <w:pPr>
              <w:pStyle w:val="Compact"/>
            </w:pPr>
            <w:r>
              <w:t xml:space="preserve">Consumer Reporting Agency</w:t>
            </w:r>
          </w:p>
        </w:tc>
      </w:tr>
      <w:tr>
        <w:tc>
          <w:tcPr/>
          <w:p>
            <w:pPr>
              <w:pStyle w:val="Compact"/>
            </w:pPr>
            <w:r>
              <w:t xml:space="preserve">Street address</w:t>
            </w:r>
          </w:p>
        </w:tc>
        <w:tc>
          <w:tcPr/>
          <w:p>
            <w:pPr>
              <w:pStyle w:val="Compact"/>
            </w:pPr>
            <w:r>
              <w:t xml:space="preserve">c/o Corporation Service Company, 503 S Pierre Street</w:t>
            </w:r>
          </w:p>
        </w:tc>
        <w:tc>
          <w:tcPr/>
          <w:p>
            <w:pPr>
              <w:pStyle w:val="Compact"/>
            </w:pPr>
            <w:r>
              <w:t xml:space="preserve">c/o CT Corporation System, 319 S Coteau Street</w:t>
            </w:r>
          </w:p>
        </w:tc>
        <w:tc>
          <w:tcPr/>
          <w:p>
            <w:pPr>
              <w:pStyle w:val="Compact"/>
            </w:pPr>
            <w:r>
              <w:t xml:space="preserve">c/o CT Corporation System, 319 S Coteau Street</w:t>
            </w:r>
          </w:p>
        </w:tc>
      </w:tr>
      <w:tr>
        <w:tc>
          <w:tcPr/>
          <w:p>
            <w:pPr>
              <w:pStyle w:val="Compact"/>
            </w:pPr>
            <w:r>
              <w:t xml:space="preserve">City and county</w:t>
            </w:r>
          </w:p>
        </w:tc>
        <w:tc>
          <w:tcPr/>
          <w:p>
            <w:pPr>
              <w:pStyle w:val="Compact"/>
            </w:pPr>
            <w:r>
              <w:t xml:space="preserve">Pierre, Hughes County</w:t>
            </w:r>
          </w:p>
        </w:tc>
        <w:tc>
          <w:tcPr/>
          <w:p>
            <w:pPr>
              <w:pStyle w:val="Compact"/>
            </w:pPr>
            <w:r>
              <w:t xml:space="preserve">Pierre, Hughes County</w:t>
            </w:r>
          </w:p>
        </w:tc>
        <w:tc>
          <w:tcPr/>
          <w:p>
            <w:pPr>
              <w:pStyle w:val="Compact"/>
            </w:pPr>
            <w:r>
              <w:t xml:space="preserve">Pierre, Hughes County</w:t>
            </w:r>
          </w:p>
        </w:tc>
      </w:tr>
      <w:tr>
        <w:tc>
          <w:tcPr/>
          <w:p>
            <w:pPr>
              <w:pStyle w:val="Compact"/>
            </w:pPr>
            <w:r>
              <w:t xml:space="preserve">State and zip code</w:t>
            </w:r>
          </w:p>
        </w:tc>
        <w:tc>
          <w:tcPr/>
          <w:p>
            <w:pPr>
              <w:pStyle w:val="Compact"/>
            </w:pPr>
            <w:r>
              <w:t xml:space="preserve">SD 57501</w:t>
            </w:r>
          </w:p>
        </w:tc>
        <w:tc>
          <w:tcPr/>
          <w:p>
            <w:pPr>
              <w:pStyle w:val="Compact"/>
            </w:pPr>
            <w:r>
              <w:t xml:space="preserve">SD 57501</w:t>
            </w:r>
          </w:p>
        </w:tc>
        <w:tc>
          <w:tcPr/>
          <w:p>
            <w:pPr>
              <w:pStyle w:val="Compact"/>
            </w:pPr>
            <w:r>
              <w:t xml:space="preserve">SD 57501</w:t>
            </w:r>
          </w:p>
        </w:tc>
      </w:tr>
    </w:tbl>
    <w:bookmarkEnd w:id="21"/>
    <w:bookmarkEnd w:id="22"/>
    <w:bookmarkStart w:id="23" w:name="ii.-basis-for-jurisdiction"/>
    <w:p>
      <w:pPr>
        <w:pStyle w:val="Heading1"/>
      </w:pPr>
      <w:r>
        <w:t xml:space="preserve">II. BASIS FOR JURISDICTION</w:t>
      </w:r>
    </w:p>
    <w:p>
      <w:pPr>
        <w:pStyle w:val="FirstParagraph"/>
      </w:pPr>
      <w:r>
        <w:t xml:space="preserve">1.</w:t>
      </w:r>
      <w:r>
        <w:tab/>
      </w:r>
      <w:r>
        <w:t xml:space="preserve">The basis for federal court jurisdiction is a federal question.</w:t>
      </w:r>
    </w:p>
    <w:p>
      <w:pPr>
        <w:pStyle w:val="BodyText"/>
      </w:pPr>
      <w:r>
        <w:t xml:space="preserve">2.</w:t>
      </w:r>
      <w:r>
        <w:tab/>
      </w:r>
      <w:r>
        <w:t xml:space="preserve">A. The federal statutes at issue are the Fair Credit Reporting Act, including 15 U.S.C. §§ 1681e(b), 1681i(a), 1681i(a)(2), 1681i(a)(5), 1681i(a)(6), and 1681i(a)(7).</w:t>
      </w:r>
    </w:p>
    <w:bookmarkEnd w:id="23"/>
    <w:bookmarkStart w:id="24" w:name="iii.-statement-of-claim"/>
    <w:p>
      <w:pPr>
        <w:pStyle w:val="Heading1"/>
      </w:pPr>
      <w:r>
        <w:t xml:space="preserve">III. STATEMENT OF CLAIM</w:t>
      </w:r>
    </w:p>
    <w:p>
      <w:pPr>
        <w:pStyle w:val="FirstParagraph"/>
      </w:pPr>
      <w:r>
        <w:t xml:space="preserve">3.</w:t>
      </w:r>
      <w:r>
        <w:tab/>
      </w:r>
      <w:r>
        <w:t xml:space="preserve">I reviewed my consumer reports from Equifax Information Services LLC, Experian Information Solutions, Inc., and TransUnion LLC and found inaccurate and inconsistent information appearing across all three reports. I disputed these inaccuracies through each Defendant’s online dispute portal, but each Defendant failed to conduct a reasonable reinvestigation as required by 15 U.S.C. §§ 1681i(a), 1681i(a)(1), 1681i(a)(2), 1681i(a)(6), and 1681i(a)(7), and failed to follow reasonable procedures to assure maximum possible accuracy under 15 U.S.C. § 1681e(b). Copies of my consumer reports, disputes, and the Defendants’ responses or failures to respond are attached as Exhibits A, B, and C. I also escalated the matter to the Consumer Financial Protection Bureau and the South Dakota Attorney General; both agencies issued written responses showing that the Defendants refused to correct inaccurate information despite administrative intervention, which are attached as Exhibit D. As a result of these failures, inaccurate information remained on my consumer reports, causing denial of credit, damage to my creditworthiness, emotional distress, and other actual harm.</w:t>
      </w:r>
    </w:p>
    <w:bookmarkEnd w:id="24"/>
    <w:bookmarkStart w:id="25" w:name="iv.-relief"/>
    <w:p>
      <w:pPr>
        <w:pStyle w:val="Heading1"/>
      </w:pPr>
      <w:r>
        <w:t xml:space="preserve">IV. RELIEF</w:t>
      </w:r>
    </w:p>
    <w:p>
      <w:pPr>
        <w:pStyle w:val="FirstParagraph"/>
      </w:pPr>
      <w:r>
        <w:t xml:space="preserve">4.</w:t>
      </w:r>
      <w:r>
        <w:tab/>
      </w:r>
      <w:r>
        <w:t xml:space="preserve">I request actual damages under 15 U.S.C. § 1681o, statutory damages under 15 U.S.C. § 1681n, punitive damages where permitted under 15 U.S.C. § 1681n(a)(2), costs of the action, and any other relief the Court deems just and proper. The inaccurate reporting and failed reinvestigations continue to cause ongoing harm, including continued damage to my creditworthiness and the need to pursue litigation after unsuccessful attempts to resolve the matter through the Defendants, the CFPB, and the South Dakota Attorney General.</w:t>
      </w:r>
    </w:p>
    <w:bookmarkEnd w:id="25"/>
    <w:bookmarkStart w:id="27" w:name="v.-certification-and-closing"/>
    <w:p>
      <w:pPr>
        <w:pStyle w:val="Heading1"/>
      </w:pPr>
      <w:r>
        <w:t xml:space="preserve">V. CERTIFICATION AND CLOSING</w:t>
      </w:r>
    </w:p>
    <w:bookmarkStart w:id="26" w:name="a.-for-parties-without-an-attorney"/>
    <w:p>
      <w:pPr>
        <w:pStyle w:val="Heading2"/>
      </w:pPr>
      <w:r>
        <w:t xml:space="preserve">A. For Parties Without an Attorney</w:t>
      </w:r>
    </w:p>
    <w:p>
      <w:pPr>
        <w:pStyle w:val="BodyKeep"/>
      </w:pPr>
      <w:r>
        <w:t xml:space="preserve">I agree to provide the Clerk’s Office with any changes to my address where case-related papers may be served. I understand that my failure to keep a current address on file with the Clerk’s Office may result in the dismissal of my case.</w:t>
      </w:r>
    </w:p>
    <w:p>
      <w:pPr>
        <w:keepNext/>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3744"/>
        <w:gridCol w:w="288"/>
        <w:gridCol w:w="5328"/>
      </w:tblGrid>
      <w:tr>
        <w:trPr>
          <w:cantSplit/>
        </w:trPr>
        <w:tc>
          <w:tcPr>
            <w:tcW w:w="3744" w:type="dxa"/>
          </w:tcPr>
          <w:p>
            <w:pPr>
              <w:pStyle w:val="Single"/>
              <w:keepNext/>
            </w:pPr>
            <w:r>
              <w:t xml:space="preserve">Dated: July 21, 2026</w:t>
            </w:r>
          </w:p>
        </w:tc>
        <w:tc>
          <w:tcPr>
            <w:tcW w:w="288" w:type="dxa"/>
          </w:tcPr>
          <w:p>
            <w:pPr>
              <w:pStyle w:val="Single"/>
              <w:keepNext/>
            </w:pPr>
          </w:p>
        </w:tc>
        <w:tc>
          <w:tcPr>
            <w:tcW w:w="5328" w:type="dxa"/>
          </w:tcPr>
          <w:p>
            <w:pPr>
              <w:spacing w:before="0" w:after="0" w:line="480" w:lineRule="exact"/>
            </w:pPr>
          </w:p>
          <w:p>
            <w:pPr>
              <w:keepNext/>
              <w:pBdr>
                <w:bottom w:val="single" w:sz="4" w:space="1" w:color="000000"/>
              </w:pBdr>
              <w:spacing w:before="0" w:after="0" w:line="240" w:lineRule="exact"/>
              <w:ind w:right="720"/>
            </w:pPr>
          </w:p>
          <w:p>
            <w:pPr>
              <w:keepNext/>
              <w:spacing w:before="0" w:after="0" w:line="80" w:lineRule="exact"/>
            </w:pPr>
          </w:p>
          <w:p>
            <w:pPr>
              <w:pStyle w:val="Single"/>
              <w:keepNext/>
            </w:pPr>
            <w:r>
              <w:t xml:space="preserve">Daniel</w:t>
            </w:r>
            <w:r>
              <w:t xml:space="preserve"> </w:t>
            </w:r>
            <w:r>
              <w:t xml:space="preserve">Everett</w:t>
            </w:r>
            <w:r>
              <w:t xml:space="preserve"> </w:t>
            </w:r>
            <w:r>
              <w:t xml:space="preserve">Knosp</w:t>
            </w:r>
          </w:p>
          <w:p>
            <w:pPr>
              <w:pStyle w:val="Single"/>
              <w:keepNext/>
            </w:pPr>
            <w:r>
              <w:t xml:space="preserve">Plaintiff, without counsel</w:t>
            </w:r>
          </w:p>
          <w:p>
            <w:pPr>
              <w:pStyle w:val="Single"/>
              <w:keepNext/>
            </w:pPr>
            <w:r>
              <w:t xml:space="preserve">[street</w:t>
            </w:r>
            <w:r>
              <w:t xml:space="preserve"> </w:t>
            </w:r>
            <w:r>
              <w:t xml:space="preserve">address</w:t>
            </w:r>
            <w:r>
              <w:t xml:space="preserve"> </w:t>
            </w:r>
            <w:r>
              <w:t xml:space="preserve">redacted]</w:t>
            </w:r>
          </w:p>
          <w:p>
            <w:pPr>
              <w:pStyle w:val="Single"/>
              <w:keepNext/>
            </w:pPr>
            <w:r>
              <w:t xml:space="preserve">Summerset,</w:t>
            </w:r>
            <w:r>
              <w:t xml:space="preserve"> </w:t>
            </w:r>
            <w:r>
              <w:t xml:space="preserve">SD</w:t>
            </w:r>
            <w:r>
              <w:t xml:space="preserve"> </w:t>
            </w:r>
            <w:r>
              <w:t xml:space="preserve">57718</w:t>
            </w:r>
          </w:p>
          <w:p>
            <w:pPr>
              <w:pStyle w:val="Single"/>
              <w:keepNext/>
            </w:pPr>
            <w:r>
              <w:t xml:space="preserve">[telephone</w:t>
            </w:r>
            <w:r>
              <w:t xml:space="preserve"> </w:t>
            </w:r>
            <w:r>
              <w:t xml:space="preserve">redacted]</w:t>
            </w:r>
          </w:p>
          <w:p>
            <w:pPr>
              <w:pStyle w:val="Single"/>
              <w:keepNext/>
            </w:pPr>
            <w:r>
              <w:t xml:space="preserve">[e-mail</w:t>
            </w:r>
            <w:r>
              <w:t xml:space="preserve"> </w:t>
            </w:r>
            <w:r>
              <w:t xml:space="preserve">redacted]</w:t>
            </w:r>
          </w:p>
        </w:tc>
      </w:tr>
    </w:tbl>
    <w:bookmarkEnd w:id="26"/>
    <w:bookmarkEnd w:id="27"/>
    <w:sectPr>
      <w:footerReference r:id="rId9" w:type="default"/>
      <w:footnotePr>
        <w:numRestart w:val="eachSect"/>
      </w:footnotePr>
      <w:pgSz w:h="15840" w:w="12240"/>
      <w:pgMar w:bottom="1440" w:footer="120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exact"/>
      <w:ind w:firstLine="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240" w:lineRule="auto"/>
      </w:pPr>
    </w:pPrDefault>
  </w:docDefaults>
  <w:latentStyles w:count="276" w:defLockedState="0" w:defQFormat="0" w:defSemiHidden="0" w:defUIPriority="0" w:defUnhideWhenUsed="0"/>
  <w:style w:default="1" w:styleId="Normal" w:type="paragraph">
    <w:name w:val="Normal"/>
    <w:qFormat/>
    <w:pPr>
      <w:spacing w:after="0" w:before="0" w:line="240" w:lineRule="auto"/>
      <w:ind w:firstLine="0"/>
      <w:jc w:val="left"/>
    </w:pPr>
    <w:rPr>
      <w:sz w:val="24"/>
      <w:szCs w:val="24"/>
    </w:rPr>
  </w:style>
  <w:style w:styleId="BodyText" w:type="paragraph">
    <w:name w:val="Body Text"/>
    <w:basedOn w:val="Normal"/>
    <w:qFormat/>
    <w:pPr>
      <w:tabs>
        <w:tab w:pos="1354" w:val="left"/>
      </w:tabs>
      <w:spacing w:after="0" w:before="0" w:line="480" w:lineRule="exact"/>
      <w:ind w:firstLine="720"/>
    </w:pPr>
  </w:style>
  <w:style w:styleId="FirstParagraph" w:type="paragraph">
    <w:name w:val="First Paragraph"/>
    <w:basedOn w:val="BodyText"/>
    <w:next w:val="BodyText"/>
    <w:qFormat/>
  </w:style>
  <w:style w:customStyle="1" w:styleId="Compact" w:type="paragraph">
    <w:name w:val="Compact"/>
    <w:basedOn w:val="Normal"/>
    <w:qFormat/>
    <w:pPr>
      <w:spacing w:after="0" w:before="0" w:line="240" w:lineRule="auto"/>
      <w:ind w:firstLine="0"/>
    </w:pPr>
  </w:style>
  <w:style w:styleId="Title" w:type="paragraph">
    <w:name w:val="Title"/>
    <w:basedOn w:val="Normal"/>
    <w:next w:val="BodyText"/>
    <w:link w:val="TitleChar"/>
    <w:uiPriority w:val="10"/>
    <w:qFormat/>
    <w:rsid w:val="00A10FD9"/>
    <w:pPr>
      <w:spacing w:after="80" w:line="240" w:lineRule="auto"/>
      <w:contextualSpacing/>
      <w:jc w:val="center"/>
    </w:pPr>
    <w:rPr>
      <w:rFonts w:ascii="EB Garamond" w:cs="EB Garamond" w:eastAsia="EB Garamond" w:hAnsi="EB Garamond"/>
      <w:sz w:val="56"/>
      <w:szCs w:val="56"/>
    </w:rPr>
  </w:style>
  <w:style w:customStyle="1" w:styleId="TitleChar" w:type="character">
    <w:name w:val="Title Char"/>
    <w:basedOn w:val="DefaultParagraphFont"/>
    <w:link w:val="Title"/>
    <w:uiPriority w:val="10"/>
    <w:rsid w:val="00A10FD9"/>
    <w:rPr>
      <w:rFonts w:ascii="EB Garamond" w:cs="EB Garamond" w:eastAsia="EB Garamond" w:hAnsi="EB Garamond"/>
      <w:sz w:val="56"/>
      <w:szCs w:val="56"/>
    </w:rPr>
  </w:style>
  <w:style w:styleId="Subtitle" w:type="paragraph">
    <w:name w:val="Subtitle"/>
    <w:basedOn w:val="Title"/>
    <w:next w:val="BodyText"/>
    <w:link w:val="SubtitleChar"/>
    <w:uiPriority w:val="11"/>
    <w:qFormat/>
    <w:rsid w:val="00A10FD9"/>
    <w:pPr>
      <w:numPr>
        <w:ilvl w:val="1"/>
      </w:numPr>
    </w:pPr>
    <w:rPr>
      <w:rFonts w:ascii="EB Garamond" w:cs="EB Garamond" w:eastAsia="EB Garamond" w:hAnsi="EB Garamond"/>
      <w:spacing w:val="15"/>
      <w:sz w:val="28"/>
      <w:szCs w:val="28"/>
    </w:rPr>
  </w:style>
  <w:style w:customStyle="1" w:styleId="SubtitleChar" w:type="character">
    <w:name w:val="Subtitle Char"/>
    <w:basedOn w:val="DefaultParagraphFont"/>
    <w:link w:val="Subtitle"/>
    <w:uiPriority w:val="11"/>
    <w:rsid w:val="00A10FD9"/>
    <w:rPr>
      <w:rFonts w:ascii="EB Garamond" w:cs="EB Garamond" w:eastAsia="EB Garamond" w:hAnsi="EB Garamond"/>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240" w:line="240" w:lineRule="auto"/>
      <w:ind w:firstLine="0"/>
      <w:jc w:val="center"/>
      <w:outlineLvl w:val="0"/>
    </w:pPr>
    <w:rPr>
      <w:b/>
      <w:bCs/>
    </w:rPr>
  </w:style>
  <w:style w:styleId="Heading2" w:type="paragraph">
    <w:name w:val="heading 2"/>
    <w:basedOn w:val="Normal"/>
    <w:next w:val="BodyText"/>
    <w:uiPriority w:val="9"/>
    <w:qFormat/>
    <w:pPr>
      <w:keepNext/>
      <w:keepLines/>
      <w:spacing w:after="240" w:before="240" w:line="240" w:lineRule="auto"/>
      <w:ind w:firstLine="0"/>
      <w:jc w:val="left"/>
      <w:outlineLvl w:val="1"/>
    </w:pPr>
    <w:rPr>
      <w:b/>
      <w:bCs/>
    </w:rPr>
  </w:style>
  <w:style w:styleId="Heading3" w:type="paragraph">
    <w:name w:val="heading 3"/>
    <w:basedOn w:val="Normal"/>
    <w:next w:val="BodyText"/>
    <w:uiPriority w:val="9"/>
    <w:qFormat/>
    <w:pPr>
      <w:keepNext/>
      <w:keepLines/>
      <w:spacing w:after="240" w:before="240" w:line="240" w:lineRule="auto"/>
      <w:ind w:firstLine="0"/>
      <w:jc w:val="left"/>
      <w:outlineLvl w:val="2"/>
    </w:pPr>
    <w:rPr>
      <w:b/>
      <w:bCs/>
      <w:i/>
      <w:iCs/>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EB Garamond" w:cs="EB Garamond" w:eastAsia="EB Garamond" w:hAnsi="EB Garamond"/>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EB Garamond" w:cs="EB Garamond" w:eastAsia="EB Garamond" w:hAnsi="EB Garamond"/>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EB Garamond" w:cs="EB Garamond" w:eastAsia="EB Garamond" w:hAnsi="EB Garamond"/>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EB Garamond" w:cs="EB Garamond" w:eastAsia="EB Garamond" w:hAnsi="EB Garamond"/>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EB Garamond" w:cs="EB Garamond" w:eastAsia="EB Garamond" w:hAnsi="EB Garamond"/>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EB Garamond" w:cs="EB Garamond" w:eastAsia="EB Garamond" w:hAnsi="EB Garamond"/>
    </w:rPr>
  </w:style>
  <w:style w:customStyle="1" w:styleId="Heading1Char" w:type="character">
    <w:name w:val="Heading 1 Char"/>
    <w:basedOn w:val="DefaultParagraphFont"/>
    <w:link w:val="Heading1"/>
    <w:uiPriority w:val="9"/>
    <w:rsid w:val="00A10FD9"/>
    <w:rPr>
      <w:rFonts w:ascii="EB Garamond" w:cs="EB Garamond" w:eastAsia="EB Garamond" w:hAnsi="EB Garamond"/>
      <w:sz w:val="40"/>
      <w:szCs w:val="40"/>
    </w:rPr>
  </w:style>
  <w:style w:customStyle="1" w:styleId="Heading2Char" w:type="character">
    <w:name w:val="Heading 2 Char"/>
    <w:basedOn w:val="DefaultParagraphFont"/>
    <w:link w:val="Heading2"/>
    <w:uiPriority w:val="9"/>
    <w:semiHidden/>
    <w:rsid w:val="00A10FD9"/>
    <w:rPr>
      <w:rFonts w:ascii="EB Garamond" w:cs="EB Garamond" w:eastAsia="EB Garamond" w:hAnsi="EB Garamond"/>
      <w:sz w:val="32"/>
      <w:szCs w:val="32"/>
    </w:rPr>
  </w:style>
  <w:style w:customStyle="1" w:styleId="Heading3Char" w:type="character">
    <w:name w:val="Heading 3 Char"/>
    <w:basedOn w:val="DefaultParagraphFont"/>
    <w:link w:val="Heading3"/>
    <w:uiPriority w:val="9"/>
    <w:semiHidden/>
    <w:rsid w:val="00A10FD9"/>
    <w:rPr>
      <w:rFonts w:ascii="EB Garamond" w:cs="EB Garamond" w:eastAsia="EB Garamond" w:hAnsi="EB Garamond"/>
      <w:sz w:val="28"/>
      <w:szCs w:val="28"/>
    </w:rPr>
  </w:style>
  <w:style w:customStyle="1" w:styleId="Heading4Char" w:type="character">
    <w:name w:val="Heading 4 Char"/>
    <w:basedOn w:val="DefaultParagraphFont"/>
    <w:link w:val="Heading4"/>
    <w:uiPriority w:val="9"/>
    <w:semiHidden/>
    <w:rsid w:val="00A10FD9"/>
    <w:rPr>
      <w:rFonts w:ascii="EB Garamond" w:cs="EB Garamond" w:eastAsia="EB Garamond" w:hAnsi="EB Garamond"/>
      <w:i/>
      <w:iCs/>
    </w:rPr>
  </w:style>
  <w:style w:customStyle="1" w:styleId="Heading5Char" w:type="character">
    <w:name w:val="Heading 5 Char"/>
    <w:basedOn w:val="DefaultParagraphFont"/>
    <w:link w:val="Heading5"/>
    <w:uiPriority w:val="9"/>
    <w:semiHidden/>
    <w:rsid w:val="00A10FD9"/>
    <w:rPr>
      <w:rFonts w:ascii="EB Garamond" w:cs="EB Garamond" w:eastAsia="EB Garamond" w:hAnsi="EB Garamond"/>
    </w:rPr>
  </w:style>
  <w:style w:customStyle="1" w:styleId="Heading6Char" w:type="character">
    <w:name w:val="Heading 6 Char"/>
    <w:basedOn w:val="DefaultParagraphFont"/>
    <w:link w:val="Heading6"/>
    <w:uiPriority w:val="9"/>
    <w:semiHidden/>
    <w:rsid w:val="00A10FD9"/>
    <w:rPr>
      <w:rFonts w:ascii="EB Garamond" w:cs="EB Garamond" w:eastAsia="EB Garamond" w:hAnsi="EB Garamond"/>
      <w:i/>
      <w:iCs/>
    </w:rPr>
  </w:style>
  <w:style w:customStyle="1" w:styleId="Heading7Char" w:type="character">
    <w:name w:val="Heading 7 Char"/>
    <w:basedOn w:val="DefaultParagraphFont"/>
    <w:link w:val="Heading7"/>
    <w:uiPriority w:val="9"/>
    <w:semiHidden/>
    <w:rsid w:val="00A10FD9"/>
    <w:rPr>
      <w:rFonts w:ascii="EB Garamond" w:cs="EB Garamond" w:eastAsia="EB Garamond" w:hAnsi="EB Garamond"/>
    </w:rPr>
  </w:style>
  <w:style w:customStyle="1" w:styleId="Heading8Char" w:type="character">
    <w:name w:val="Heading 8 Char"/>
    <w:basedOn w:val="DefaultParagraphFont"/>
    <w:link w:val="Heading8"/>
    <w:uiPriority w:val="9"/>
    <w:semiHidden/>
    <w:rsid w:val="00A10FD9"/>
    <w:rPr>
      <w:rFonts w:ascii="EB Garamond" w:cs="EB Garamond" w:eastAsia="EB Garamond" w:hAnsi="EB Garamond"/>
      <w:i/>
      <w:iCs/>
    </w:rPr>
  </w:style>
  <w:style w:customStyle="1" w:styleId="Heading9Char" w:type="character">
    <w:name w:val="Heading 9 Char"/>
    <w:basedOn w:val="DefaultParagraphFont"/>
    <w:link w:val="Heading9"/>
    <w:uiPriority w:val="9"/>
    <w:semiHidden/>
    <w:rsid w:val="00A10FD9"/>
    <w:rPr>
      <w:rFonts w:ascii="EB Garamond" w:cs="EB Garamond" w:eastAsia="EB Garamond" w:hAnsi="EB Garamond"/>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uiPriority w:val="9"/>
    <w:unhideWhenUsed/>
    <w:qFormat/>
    <w:pPr>
      <w:spacing w:after="0" w:before="0" w:line="240" w:lineRule="auto"/>
      <w:ind w:firstLine="0"/>
    </w:pPr>
    <w:rPr>
      <w:sz w:val="24"/>
      <w:szCs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uiPriority w:val="59"/>
    <w:pPr>
      <w:spacing w:after="0" w:before="0" w:line="240" w:lineRule="auto"/>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100"/>
        <w:left w:type="dxa" w:w="100"/>
        <w:bottom w:type="dxa" w:w="100"/>
        <w:right w:type="dxa" w:w="100"/>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EB Garamond" w:cs="EB Garamond" w:eastAsia="EB Garamond" w:hAnsi="EB Garamond"/>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EB Garamond" w:cs="EB Garamond" w:eastAsia="EB Garamond" w:hAnsi="EB Garamond"/>
      <w:b w:val="0"/>
      <w:bCs w:val="0"/>
    </w:rPr>
  </w:style>
  <w:style w:customStyle="1" w:styleId="BodyKeep" w:type="paragraph">
    <w:name w:val="BodyKeep"/>
    <w:basedOn w:val="BodyText"/>
    <w:qFormat/>
    <w:pPr>
      <w:keepNext/>
      <w:keepLines/>
    </w:pPr>
  </w:style>
  <w:style w:customStyle="1" w:styleId="Centered" w:type="paragraph">
    <w:name w:val="Centered"/>
    <w:basedOn w:val="Normal"/>
    <w:qFormat/>
    <w:pPr>
      <w:spacing w:after="0" w:before="0" w:line="240" w:lineRule="auto"/>
      <w:ind w:firstLine="0"/>
      <w:jc w:val="center"/>
    </w:pPr>
  </w:style>
  <w:style w:customStyle="1" w:styleId="Single" w:type="paragraph">
    <w:name w:val="Single"/>
    <w:basedOn w:val="Normal"/>
    <w:qFormat/>
    <w:pPr>
      <w:spacing w:after="120" w:before="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2026-10-15T09:43:50Z</dcterms:created>
  <dcterms:modified xsi:type="dcterms:W3CDTF">2026-10-15T09:43:50Z</dcterms:modified>
</cp:coreProperties>
</file>

<file path=docProps/custom.xml><?xml version="1.0" encoding="utf-8"?>
<Properties xmlns="http://schemas.openxmlformats.org/officeDocument/2006/custom-properties" xmlns:vt="http://schemas.openxmlformats.org/officeDocument/2006/docPropsVTypes"/>
</file>