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UNITED STATES BANKRUPTCY COURT</w:t>
      </w:r>
    </w:p>
    <w:p>
      <w:pPr>
        <w:pStyle w:val="CourtName"/>
        <w:spacing w:before="0" w:after="360" w:line="240" w:lineRule="auto"/>
      </w:pPr>
      <w:r>
        <w:t xml:space="preserve">SOUTHERN DISTRICT OF IOWA</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360"/>
        <w:gridCol w:w="4104"/>
      </w:tblGrid>
      <w:tr>
        <w:trPr>
          <w:cantSplit/>
        </w:trPr>
        <w:tc>
          <w:tcPr>
            <w:tcW w:w="4896" w:type="dxa"/>
            <w:tcBorders>
              <w:bottom w:val="single" w:sz="6" w:space="0" w:color="000000"/>
              <w:right w:val="single" w:sz="6" w:space="0" w:color="000000"/>
            </w:tcBorders>
            <w:tcMar>
              <w:bottom w:w="200" w:type="dxa"/>
              <w:right w:w="200" w:type="dxa"/>
            </w:tcMar>
          </w:tcPr>
          <w:p>
            <w:pPr>
              <w:pStyle w:val="SingleSpaced"/>
              <w:spacing w:before="0" w:after="120" w:line="240" w:lineRule="auto"/>
            </w:pPr>
            <w:r>
              <w:t xml:space="preserve">In re:</w:t>
            </w:r>
          </w:p>
          <w:p>
            <w:pPr>
              <w:pStyle w:val="SingleSpaced"/>
              <w:spacing w:before="0" w:after="120" w:line="240" w:lineRule="auto"/>
            </w:pPr>
            <w:r>
              <w:t xml:space="preserve">FOODS, INC. dba DAHL’S FOODS</w:t>
            </w:r>
          </w:p>
          <w:p>
            <w:pPr>
              <w:pStyle w:val="SingleSpaced"/>
              <w:spacing w:before="0" w:after="0" w:line="240" w:lineRule="auto"/>
            </w:pPr>
            <w:r>
              <w:t xml:space="preserve">Debtor and Debtor in Possession.</w:t>
            </w:r>
          </w:p>
        </w:tc>
        <w:tc>
          <w:tcPr>
            <w:tcW w:w="360" w:type="dxa"/>
          </w:tcPr>
          <w:p>
            <w:pPr>
              <w:pStyle w:val="SingleSpaced"/>
            </w:pPr>
          </w:p>
        </w:tc>
        <w:tc>
          <w:tcPr>
            <w:tcW w:w="4104" w:type="dxa"/>
          </w:tcPr>
          <w:p>
            <w:pPr>
              <w:pStyle w:val="SingleSpaced"/>
              <w:spacing w:before="0" w:after="120" w:line="240" w:lineRule="auto"/>
              <w:ind w:left="144"/>
            </w:pPr>
            <w:r>
              <w:t xml:space="preserve">Case No. 14-02689</w:t>
            </w:r>
          </w:p>
          <w:p>
            <w:pPr>
              <w:pStyle w:val="SingleSpaced"/>
              <w:spacing w:before="0" w:after="0" w:line="240" w:lineRule="auto"/>
              <w:ind w:left="144"/>
            </w:pPr>
            <w:r>
              <w:t xml:space="preserve">Chapter 11</w:t>
            </w:r>
          </w:p>
          <w:p>
            <w:pPr>
              <w:pStyle w:val="SingleSpaced"/>
              <w:spacing w:before="0" w:after="0" w:line="240" w:lineRule="auto"/>
              <w:ind w:left="144"/>
            </w:pPr>
            <w:r>
              <w:rPr>
                <w:b/>
                <w:bCs/>
              </w:rPr>
              <w:t xml:space="preserve">FIRST DAY MOTION</w:t>
            </w:r>
          </w:p>
          <w:p>
            <w:pPr>
              <w:pStyle w:val="SingleSpaced"/>
              <w:spacing w:before="240" w:after="240" w:line="240" w:lineRule="auto"/>
              <w:ind w:left="144"/>
            </w:pPr>
            <w:r>
              <w:rPr>
                <w:b/>
                <w:bCs/>
              </w:rPr>
              <w:t xml:space="preserve">DEBTOR’S EMERGENCY MOTION FOR ORDER AUTHORIZING DEBTOR TO HONOR PRE-PETITION OBLIGATIONS TO EMPLOYEES AND BRIEF IN SUPPORT</w:t>
            </w:r>
          </w:p>
          <w:p>
            <w:pPr>
              <w:pStyle w:val="SingleSpaced"/>
              <w:ind w:left="144"/>
            </w:pPr>
            <w:r>
              <w:t xml:space="preserve">No Hearing Set</w:t>
            </w:r>
          </w:p>
        </w:tc>
      </w:tr>
    </w:tbl>
    <w:p>
      <w:pPr>
        <w:pStyle w:val="BodyText"/>
      </w:pPr>
    </w:p>
    <w:p>
      <w:pPr>
        <w:pStyle w:val="IndentedParagraph"/>
      </w:pPr>
      <w:r>
        <w:t xml:space="preserve">Foods, Inc. dba Dahl’s Foods (</w:t>
      </w:r>
      <w:r>
        <w:t xml:space="preserve">“Debtor”</w:t>
      </w:r>
      <w:r>
        <w:t xml:space="preserve"> </w:t>
      </w:r>
      <w:r>
        <w:t xml:space="preserve">or</w:t>
      </w:r>
      <w:r>
        <w:t xml:space="preserve"> </w:t>
      </w:r>
      <w:r>
        <w:t xml:space="preserve">“Dahl’s”</w:t>
      </w:r>
      <w:r>
        <w:t xml:space="preserve">), debtor and debtor-in-possession herein, by and through its proposed General Reorganization Counsel, Jeffrey D. Goetz, Esq. of the law firm of Bradshaw, Fowler, Proctor and Fairgrave, P.C., and pursuant to the provisions of Bankruptcy Code Sections 105(a), 364(b), 365, 507(a)(4), and 1107 and Bankruptcy Rule 4001, respectfully moves for entry of an Order authorizing Debtor (i) to pay prepetition accrued employee wages, salaries, commissions, related taxes and reimbursable expenses; (ii) to honor certain employee benefit obligations; and (iii) to honor all other terms and conditions of its employees’ employment obligations (the</w:t>
      </w:r>
      <w:r>
        <w:t xml:space="preserve"> </w:t>
      </w:r>
      <w:r>
        <w:t xml:space="preserve">“Motion”</w:t>
      </w:r>
      <w:r>
        <w:t xml:space="preserve">). Counsel for Debtor has consulted with counsel for Debtor’s primary secured lender, Associated Wholesale Grocer (</w:t>
      </w:r>
      <w:r>
        <w:t xml:space="preserve">“AWG”</w:t>
      </w:r>
      <w:r>
        <w:t xml:space="preserve">) and is authorized to state that AWG does not object to the relief requested. In support of this Motion, Debtor shows the Court as follows:</w:t>
      </w:r>
    </w:p>
    <w:p>
      <w:pPr>
        <w:pStyle w:val="Heading1"/>
      </w:pPr>
      <w:r>
        <w:t xml:space="preserve">I. JURISDICTION AND STATUTORY PREDICATE</w:t>
      </w:r>
    </w:p>
    <w:p>
      <w:pPr>
        <w:pStyle w:val="NumberedParagraph"/>
      </w:pPr>
      <w:r>
        <w:t xml:space="preserve">1.</w:t>
      </w:r>
      <w:r>
        <w:tab/>
      </w:r>
      <w:r>
        <w:t xml:space="preserve">This Court has jurisdiction of this Motion pursuant to 28 U.S.C. Sections 157 and 1334. Venue of this case and Motion in this district is proper pursuant to 28 U.S.C. Sections 1408 and 1409. Consideration of this Motion is a core proceeding pursuant to 28 U.S.C. Section 157(b).</w:t>
      </w:r>
    </w:p>
    <w:p>
      <w:pPr>
        <w:pStyle w:val="NumberedParagraph"/>
      </w:pPr>
      <w:r>
        <w:t xml:space="preserve">2.</w:t>
      </w:r>
      <w:r>
        <w:tab/>
      </w:r>
      <w:r>
        <w:t xml:space="preserve">The statutory predicates for the relief sought herein is 11 U.S.C. Sections 105(a), and 507.</w:t>
      </w:r>
      <w:r>
        <w:t xml:space="preserve"> </w:t>
      </w:r>
      <w:r>
        <w:rPr>
          <w:rStyle w:val="FootnoteReference"/>
        </w:rPr>
        <w:footnoteReference w:id="9"/>
      </w:r>
    </w:p>
    <w:p>
      <w:pPr>
        <w:pStyle w:val="Heading1"/>
      </w:pPr>
      <w:r>
        <w:t xml:space="preserve">II. BACKGROUND</w:t>
      </w:r>
    </w:p>
    <w:p>
      <w:pPr>
        <w:pStyle w:val="NumberedParagraph"/>
      </w:pPr>
      <w:r>
        <w:t xml:space="preserve">3.</w:t>
      </w:r>
      <w:r>
        <w:tab/>
      </w:r>
      <w:r>
        <w:t xml:space="preserve">On November 9, 2014 (the</w:t>
      </w:r>
      <w:r>
        <w:t xml:space="preserve"> </w:t>
      </w:r>
      <w:r>
        <w:t xml:space="preserve">“Petition Date”</w:t>
      </w:r>
      <w:r>
        <w:t xml:space="preserve">), the Debtor filed its voluntary petition for relief under chapter 11 of the Bankruptcy Code.</w:t>
      </w:r>
    </w:p>
    <w:p>
      <w:pPr>
        <w:pStyle w:val="NumberedParagraph"/>
      </w:pPr>
      <w:r>
        <w:t xml:space="preserve">4.</w:t>
      </w:r>
      <w:r>
        <w:tab/>
      </w:r>
      <w:r>
        <w:t xml:space="preserve">In addition to the facts set forth below, this Motion is supported by, and the Debtor incorporates by reference herein, the Declaration of Craig Moore, Chief Executive Officer, in Support of First Day Motions.</w:t>
      </w:r>
    </w:p>
    <w:p>
      <w:pPr>
        <w:pStyle w:val="NumberedParagraph"/>
      </w:pPr>
      <w:r>
        <w:t xml:space="preserve">5.</w:t>
      </w:r>
      <w:r>
        <w:tab/>
      </w:r>
      <w:r>
        <w:t xml:space="preserve">Debtor continues in possession of its properties and the management of its businesses as a Debtor-in-possession pursuant to Sections 1107 and 1108 of the Bankruptcy Code.</w:t>
      </w:r>
    </w:p>
    <w:p>
      <w:pPr>
        <w:pStyle w:val="NumberedParagraph"/>
      </w:pPr>
      <w:r>
        <w:t xml:space="preserve">6.</w:t>
      </w:r>
      <w:r>
        <w:tab/>
      </w:r>
      <w:r>
        <w:t xml:space="preserve">Counsel for Debtor has consulted with counsel for AWG and is authorized to state that AWG does not object to the relief requested.</w:t>
      </w:r>
    </w:p>
    <w:p>
      <w:pPr>
        <w:pStyle w:val="NumberedParagraph"/>
      </w:pPr>
      <w:r>
        <w:t xml:space="preserve">7.</w:t>
      </w:r>
      <w:r>
        <w:tab/>
      </w:r>
      <w:r>
        <w:t xml:space="preserve">Dahl’s offers a wide selection of national brand and private-label products as well as high quality produce, meat and general merchandise. Dahl’s operates 10 stores. The Company’s stores generally are open 7 days per week and evenings.</w:t>
      </w:r>
    </w:p>
    <w:p>
      <w:pPr>
        <w:pStyle w:val="NumberedParagraph"/>
      </w:pPr>
      <w:r>
        <w:t xml:space="preserve">8.</w:t>
      </w:r>
      <w:r>
        <w:tab/>
      </w:r>
      <w:r>
        <w:t xml:space="preserve">Immediately prior to the Petition Date, Dahl’s employed approximately over 850 individuals in its 10 stores of operation. With the exception of corporate and administrative personnel, all of the employees work in Dahl’s retail operations.</w:t>
      </w:r>
    </w:p>
    <w:p>
      <w:pPr>
        <w:pStyle w:val="Heading2"/>
      </w:pPr>
      <w:r>
        <w:t xml:space="preserve">A. Employee Prepetition Payroll, Vacation and Sick Leave Policies.</w:t>
      </w:r>
    </w:p>
    <w:p>
      <w:pPr>
        <w:pStyle w:val="NumberedParagraph"/>
      </w:pPr>
      <w:r>
        <w:t xml:space="preserve">9.</w:t>
      </w:r>
      <w:r>
        <w:tab/>
      </w:r>
      <w:r>
        <w:t xml:space="preserve">Dahl’s employees are paid biweekly. Dahl’s has paid its employees for the last pay period ending on November 1, 2014 and paid on November 7, 2014. There will be accrued but unpaid wages and salaries owing for November 2, 2014 through the petition date in an amount not to exceed $300,000, to be paid on November 21, 2014.</w:t>
      </w:r>
    </w:p>
    <w:p>
      <w:pPr>
        <w:pStyle w:val="NumberedParagraph"/>
      </w:pPr>
      <w:r>
        <w:t xml:space="preserve">10.</w:t>
      </w:r>
      <w:r>
        <w:tab/>
      </w:r>
      <w:r>
        <w:t xml:space="preserve">In addition, Dahl’s has existing contractual compensation including commissions, sick leave, vacation policies, holiday pay and other accrued compensation and some employees have accrued rights to time away from work under those policies. Dahl’s seeks permission to honor those policies. Dahl’s does not pay for un-accrued vacation or sick leave days so employees would simply have the continuing rights to have time away from work for such purposes that accrued prior to the Petition Date.</w:t>
      </w:r>
    </w:p>
    <w:p>
      <w:pPr>
        <w:pStyle w:val="Heading2"/>
      </w:pPr>
      <w:r>
        <w:t xml:space="preserve">B. Employee Prepetition Medical/Dental Claims and Other Employee Benefits.</w:t>
      </w:r>
    </w:p>
    <w:p>
      <w:pPr>
        <w:pStyle w:val="NumberedParagraph"/>
      </w:pPr>
      <w:r>
        <w:t xml:space="preserve">11.</w:t>
      </w:r>
      <w:r>
        <w:tab/>
      </w:r>
      <w:r>
        <w:t xml:space="preserve">Dahl’s offers employees an Employee Prescription Drug Benefit Program and. Dahl’s also provides long-term disability, which is funded 100% by the enrolled employees.</w:t>
      </w:r>
    </w:p>
    <w:p>
      <w:pPr>
        <w:pStyle w:val="NumberedParagraph"/>
      </w:pPr>
      <w:r>
        <w:t xml:space="preserve">12.</w:t>
      </w:r>
      <w:r>
        <w:tab/>
      </w:r>
      <w:r>
        <w:t xml:space="preserve">Dahl’s also provides a medical flexible spending account (the</w:t>
      </w:r>
      <w:r>
        <w:t xml:space="preserve"> </w:t>
      </w:r>
      <w:r>
        <w:t xml:space="preserve">“Medical Flexible Spending Account”</w:t>
      </w:r>
      <w:r>
        <w:t xml:space="preserve">). The Flexible Medical Spending Account is administered by Discovery Benefits. The Medical Flexible Spending Account is funded 100% by authorized withholdings from enrolled employees’ compensation. However, in certain situations Dahl’s may become obligated to make payments to the Medical Flexible Spending Account, such as when an employee takes his or her entire yearly contribution from a Flexible Spending Account before the employee’s contributions have fully funded the entire yearly contribution and that employee leaves Dahl’s employment. Dahl’s estimates that the amount Dahl’s may owe for pre-petition obligations related to its Medical Flexible Spending Accounts is $26,548.49.</w:t>
      </w:r>
    </w:p>
    <w:p>
      <w:pPr>
        <w:pStyle w:val="Heading2"/>
      </w:pPr>
      <w:r>
        <w:t xml:space="preserve">C. 401(k) Claims and Contributions.</w:t>
      </w:r>
    </w:p>
    <w:p>
      <w:pPr>
        <w:pStyle w:val="NumberedParagraph"/>
      </w:pPr>
      <w:r>
        <w:t xml:space="preserve">13.</w:t>
      </w:r>
      <w:r>
        <w:tab/>
      </w:r>
      <w:r>
        <w:t xml:space="preserve">Dahl’s also maintains a 401(k) plan known as the Dahl’s 401(k) Plan (the</w:t>
      </w:r>
      <w:r>
        <w:t xml:space="preserve"> </w:t>
      </w:r>
      <w:r>
        <w:t xml:space="preserve">“Plan”</w:t>
      </w:r>
      <w:r>
        <w:t xml:space="preserve">). Eligible employees authorize Dahl’s to withhold from their checks, certain funds to be deposited in the Plan (</w:t>
      </w:r>
      <w:r>
        <w:t xml:space="preserve">“Employee 401(k) Withholdings”</w:t>
      </w:r>
      <w:r>
        <w:t xml:space="preserve">).</w:t>
      </w:r>
    </w:p>
    <w:p>
      <w:pPr>
        <w:pStyle w:val="Heading2"/>
      </w:pPr>
      <w:r>
        <w:t xml:space="preserve">D. Employee Withholding Tax Obligations.</w:t>
      </w:r>
    </w:p>
    <w:p>
      <w:pPr>
        <w:pStyle w:val="NumberedParagraph"/>
      </w:pPr>
      <w:r>
        <w:t xml:space="preserve">14.</w:t>
      </w:r>
      <w:r>
        <w:tab/>
      </w:r>
      <w:r>
        <w:t xml:space="preserve">In connection with its business operations, Debtor withholds certain federal and state income taxes from the wages and the salaries of their employees and also deducts Federal Insurance Contribution Act taxes from the wages and salaries of employees, as well as being required to pay certain taxes and other amounts with respect to their employees (</w:t>
      </w:r>
      <w:r>
        <w:t xml:space="preserve">“Employee Taxes”</w:t>
      </w:r>
      <w:r>
        <w:t xml:space="preserve">).</w:t>
      </w:r>
    </w:p>
    <w:p>
      <w:pPr>
        <w:pStyle w:val="NumberedParagraph"/>
      </w:pPr>
      <w:r>
        <w:t xml:space="preserve">15.</w:t>
      </w:r>
      <w:r>
        <w:tab/>
      </w:r>
      <w:r>
        <w:t xml:space="preserve">Many of such amounts are</w:t>
      </w:r>
      <w:r>
        <w:t xml:space="preserve"> </w:t>
      </w:r>
      <w:r>
        <w:t xml:space="preserve">“trust funds”</w:t>
      </w:r>
      <w:r>
        <w:t xml:space="preserve"> </w:t>
      </w:r>
      <w:r>
        <w:t xml:space="preserve">that Debtor must hold for the benefit of the relevant federal and state taxing authorities. Failure to report and to remit the Employee Taxes could subject Debtor to substantial interest and penalties, as well as to criminal charges. In addition, Debtor’s officers may be personally liable for such amounts in some cases. Debtor estimates that all Employee Taxes have been paid in full as of the Petition Date.</w:t>
      </w:r>
    </w:p>
    <w:p>
      <w:pPr>
        <w:pStyle w:val="NumberedParagraph"/>
      </w:pPr>
      <w:r>
        <w:t xml:space="preserve">16.</w:t>
      </w:r>
      <w:r>
        <w:tab/>
      </w:r>
      <w:r>
        <w:t xml:space="preserve">Failure to pay the taxes discussed could cause the taxing authorities to take aggressive actions to collect the</w:t>
      </w:r>
      <w:r>
        <w:t xml:space="preserve"> </w:t>
      </w:r>
      <w:r>
        <w:t xml:space="preserve">“trust fund”</w:t>
      </w:r>
      <w:r>
        <w:t xml:space="preserve"> </w:t>
      </w:r>
      <w:r>
        <w:t xml:space="preserve">taxes, including attempts to trace the funds and perhaps cause extensive audits that interfere with Debtor’s business. Also, the threat of liability of officers for unpaid</w:t>
      </w:r>
      <w:r>
        <w:t xml:space="preserve"> </w:t>
      </w:r>
      <w:r>
        <w:t xml:space="preserve">“trust fund”</w:t>
      </w:r>
      <w:r>
        <w:t xml:space="preserve"> </w:t>
      </w:r>
      <w:r>
        <w:t xml:space="preserve">taxes would unnecessarily distract officers whose undivided attention is required for the successful outcome of this case. Finally, the failure to pay the Employee Taxes would cause great concern among the work force and disrupt Debtor’s relationship with those employees at a time when it is critical that their focus be upon maintaining Debtor’s community confidence.</w:t>
      </w:r>
    </w:p>
    <w:p>
      <w:pPr>
        <w:pStyle w:val="NumberedParagraph"/>
      </w:pPr>
      <w:r>
        <w:t xml:space="preserve">17.</w:t>
      </w:r>
      <w:r>
        <w:tab/>
      </w:r>
      <w:r>
        <w:t xml:space="preserve">Therefore, Debtor requests authority to pay pre-petition Employee Taxes in connection with Debtor’s employee obligations to the extent it is determined that any of such Employee Taxes accrued prior to the Petition Date are in fact unpaid.</w:t>
      </w:r>
    </w:p>
    <w:p>
      <w:pPr>
        <w:pStyle w:val="NumberedParagraph"/>
      </w:pPr>
      <w:r>
        <w:t xml:space="preserve">18.</w:t>
      </w:r>
      <w:r>
        <w:tab/>
      </w:r>
      <w:r>
        <w:t xml:space="preserve">In addition, from time to time, certain deductions from the employee obligations may be made that principally represent employee earnings that employees or, in the case of garnishments, judicial authorities, have designated for deduction from employee paychecks and paid accordingly (the</w:t>
      </w:r>
      <w:r>
        <w:t xml:space="preserve"> </w:t>
      </w:r>
      <w:r>
        <w:t xml:space="preserve">“Deductions”</w:t>
      </w:r>
      <w:r>
        <w:t xml:space="preserve">). The failure to pay these benefits could result in hardship to certain employees. Debtor may receive inquiries from garnishors regarding Debtor’s failure to submit, among other things, child support and alimony payments, which are not Debtor’s property, but rather have been withheld from employee paychecks.</w:t>
      </w:r>
    </w:p>
    <w:p>
      <w:pPr>
        <w:pStyle w:val="Heading1"/>
      </w:pPr>
      <w:r>
        <w:t xml:space="preserve">III. RELIEF REQUESTED</w:t>
      </w:r>
    </w:p>
    <w:p>
      <w:pPr>
        <w:pStyle w:val="NumberedParagraph"/>
      </w:pPr>
      <w:r>
        <w:t xml:space="preserve">19.</w:t>
      </w:r>
      <w:r>
        <w:tab/>
      </w:r>
      <w:r>
        <w:t xml:space="preserve">Debtor requests by this Motion, entry of an order authorizing Debtor, in accordance with their stated policies, in the ordinary course of their businesses, and in their sole discretion, to (i) pay or honor certain prepetition employee wages, salaries, contractual compensation including commissions, sick pay, vacation pay (including personal days), holiday pay and other accrued compensation; (ii) make payments on amounts owed under accrued and unpaid medical and dental claims and plans; (iii) reimburse prepetition employee business expenses (including travel, lodging, entertainment and other expenses); (iv) make prepetition contributions and pay benefits under the Plan for Employee 401(k) Withholdings; (v) pay all costs and expenses incident to the foregoing payments and contributions (including without limitation withholding taxes and processing costs); and (vi) other certain related relief as requested in this Motion. In no event does the relief requested herein contemplate the assumption of, or authority to pay, any obligations in respect of contribution and indemnification claims.</w:t>
      </w:r>
    </w:p>
    <w:p>
      <w:pPr>
        <w:pStyle w:val="NumberedParagraph"/>
      </w:pPr>
      <w:r>
        <w:t xml:space="preserve">20.</w:t>
      </w:r>
      <w:r>
        <w:tab/>
      </w:r>
      <w:r>
        <w:t xml:space="preserve">Prepetition, Dahl’s has paid all obligations to its employees on a timely and current basis. Therefore, there are no substantial arrearages accrued and the only outstanding amounts owing to or for the benefit of employees are those accruing due to the timing of payments in the ordinary course of business. Debtor may not pay these employees or reimburse their expenses without prior Court approval.</w:t>
      </w:r>
    </w:p>
    <w:p>
      <w:pPr>
        <w:pStyle w:val="NumberedParagraph"/>
      </w:pPr>
      <w:r>
        <w:t xml:space="preserve">21.</w:t>
      </w:r>
      <w:r>
        <w:tab/>
      </w:r>
      <w:r>
        <w:t xml:space="preserve">Payment of these amounts is crucial for maintaining employee confidence and morale and will encourage employees to remain in the employ of Debtor at this critical time. To the extent the prepetition Employee Claims have been paid with a check that is outstanding and has not yet cleared Dahl’s payroll account or benefits account maintained at Wells Fargo or any other Dahl’s account, Dahl’s requests that Wells Fargo or any other bank at which an applicable account is maintained be authorized and directed to clear all such prepetition checks and to rely on Dahl’s directions as to the payment of such prepetition checks. This request would alleviate the need for Dahl’s to reissue payroll and medical benefits checks and would prevent disruption in Dahl’s relationship with its employees.</w:t>
      </w:r>
    </w:p>
    <w:p>
      <w:pPr>
        <w:pStyle w:val="NumberedParagraph"/>
      </w:pPr>
      <w:r>
        <w:t xml:space="preserve">22.</w:t>
      </w:r>
      <w:r>
        <w:tab/>
      </w:r>
      <w:r>
        <w:t xml:space="preserve">By this Motion, Dahl’s also seeks authority to honor all other terms and conditions of the employment of their employees as if these chapter 11 cases had not been initiated, pending further orders of this Court.</w:t>
      </w:r>
    </w:p>
    <w:p>
      <w:pPr>
        <w:pStyle w:val="NumberedParagraph"/>
      </w:pPr>
      <w:r>
        <w:t xml:space="preserve">23.</w:t>
      </w:r>
      <w:r>
        <w:tab/>
      </w:r>
      <w:r>
        <w:t xml:space="preserve">Dahl’s is highly dependent on their trained and experienced workforce and the retention of their current workforce is one of Dahl’s highest priorities during the continuation of its reorganization and sale process, as described in the Debtor’s Motion for Order Approving Auction and Bidding Procedures; Approving Cost and Expense Reimbursement; Prescribing Manner of Notice; and Authorizing Sale of Assets Free and Clear of Liens, Claims, and Encumbrances, Subject to Higher or Better Offers, filed simultaneously with this Motion. Therefore Dahl’s ability to maximize the value of its assets for the benefit of the creditors and other parties-in-interest will be adversely affected if Debtor is unable to retain the support and loyalty of its employees.</w:t>
      </w:r>
    </w:p>
    <w:p>
      <w:pPr>
        <w:pStyle w:val="NumberedParagraph"/>
      </w:pPr>
      <w:r>
        <w:t xml:space="preserve">24.</w:t>
      </w:r>
      <w:r>
        <w:tab/>
      </w:r>
      <w:r>
        <w:t xml:space="preserve">If Dahl’s is unable to assure its employees that they will be paid promptly, or if the employees are not immediately assured of uninterrupted, critical benefit payments to which they are entitled, Dahl’s operations could suffer immediate and irreparable harm due to, at the very least, an undermining of employee morale. Failure to honor any other terms and conditions of their employment would only exacerbate this problem. The relief requested is thus necessary to preserve Dahl’s operations during its reorganization and sale process.</w:t>
      </w:r>
    </w:p>
    <w:p>
      <w:pPr>
        <w:pStyle w:val="Heading1"/>
      </w:pPr>
      <w:r>
        <w:t xml:space="preserve">IV. BASIS FOR RELIEF REQUESTED</w:t>
      </w:r>
    </w:p>
    <w:p>
      <w:pPr>
        <w:pStyle w:val="Heading2"/>
      </w:pPr>
      <w:r>
        <w:t xml:space="preserve">A. Payment of Pre-Petition Claims is Authorized by the</w:t>
      </w:r>
      <w:r>
        <w:t xml:space="preserve"> </w:t>
      </w:r>
      <w:r>
        <w:t xml:space="preserve">“Necessity of Payment”</w:t>
      </w:r>
      <w:r>
        <w:t xml:space="preserve"> </w:t>
      </w:r>
      <w:r>
        <w:t xml:space="preserve">Doctrine and the Bankruptcy Code.</w:t>
      </w:r>
    </w:p>
    <w:p>
      <w:pPr>
        <w:pStyle w:val="NumberedParagraph"/>
      </w:pPr>
      <w:r>
        <w:t xml:space="preserve">25.</w:t>
      </w:r>
      <w:r>
        <w:tab/>
      </w:r>
      <w:r>
        <w:t xml:space="preserve">As a result of these chapter 11 filings, Debtor is prohibited from paying claims that arose prior to the Petition Date without receiving specific authorization.</w:t>
      </w:r>
      <w:r>
        <w:t xml:space="preserve"> </w:t>
      </w:r>
      <w:r>
        <w:rPr>
          <w:i/>
          <w:iCs/>
        </w:rPr>
        <w:t xml:space="preserve">See</w:t>
      </w:r>
      <w:r>
        <w:t xml:space="preserve"> </w:t>
      </w:r>
      <w:r>
        <w:t xml:space="preserve">11 U.S.C. § 549(a)(2)(B)(2014). Each employee of Dahl’s is, however, entitled to a priority claim for compensation earned in the 180-day period preceding the Petition Date in an amount up to $12,475. 11 U.S.C. § 507(a)(4)(2014). Claims on account of Employee Benefits obligations are also entitled to priority.</w:t>
      </w:r>
      <w:r>
        <w:t xml:space="preserve"> </w:t>
      </w:r>
      <w:r>
        <w:rPr>
          <w:i/>
          <w:iCs/>
        </w:rPr>
        <w:t xml:space="preserve">See</w:t>
      </w:r>
      <w:r>
        <w:t xml:space="preserve"> </w:t>
      </w:r>
      <w:r>
        <w:t xml:space="preserve">11 U.S.C. § 507(a)(5)(2014). For each employee benefit plan, the priority claim is limited to an amount equal to the number of employees covered by such plan multiplied by $12,475, minus the sum of (a) the aggregate amount paid to such employees as a priority claim for compensation and (b) the aggregate amount paid by the estate on behalf of such employees to any other employee benefit plan. 11 U.S.C. § 507(a)(5)(2014). Claims for payroll and related taxes are also entitled to priority status. 11 U.S.C. § 507(a)(8)(2014).</w:t>
      </w:r>
    </w:p>
    <w:p>
      <w:pPr>
        <w:pStyle w:val="NumberedParagraph"/>
      </w:pPr>
      <w:r>
        <w:t xml:space="preserve">26.</w:t>
      </w:r>
      <w:r>
        <w:tab/>
      </w:r>
      <w:r>
        <w:t xml:space="preserve">Because all such administrative expense or priority claims are entitled to be paid in full, accelerated payment of such claims at this time is appropriate, and this Court is authorized to grant such relief.</w:t>
      </w:r>
      <w:r>
        <w:t xml:space="preserve"> </w:t>
      </w:r>
      <w:r>
        <w:rPr>
          <w:i/>
          <w:iCs/>
        </w:rPr>
        <w:t xml:space="preserve">See</w:t>
      </w:r>
      <w:r>
        <w:t xml:space="preserve"> </w:t>
      </w:r>
      <w:r>
        <w:t xml:space="preserve">11 U.S.C. § 105(2014). In addition, in order to retain quality, experienced employees, to maintain their morale while this chapter 11 case is pending and to preserve Dahl’s operations during this critical time period, Dahl’s should be granted the authority to pay their employees’ pre-petition wages.</w:t>
      </w:r>
    </w:p>
    <w:p>
      <w:pPr>
        <w:pStyle w:val="NumberedParagraph"/>
      </w:pPr>
      <w:r>
        <w:t xml:space="preserve">27.</w:t>
      </w:r>
      <w:r>
        <w:tab/>
      </w:r>
      <w:r>
        <w:t xml:space="preserve">Section 105 of the Bankruptcy Code allows the Court to authorize payments on account of certain pre-petition claims when necessary and essential to the continued operation of the debtor. 11 U.S.C. § 105(2014). This is generally referred to as the</w:t>
      </w:r>
      <w:r>
        <w:t xml:space="preserve"> </w:t>
      </w:r>
      <w:r>
        <w:t xml:space="preserve">“necessity of payment”</w:t>
      </w:r>
      <w:r>
        <w:t xml:space="preserve"> </w:t>
      </w:r>
      <w:r>
        <w:t xml:space="preserve">doctrine.</w:t>
      </w:r>
      <w:r>
        <w:t xml:space="preserve"> </w:t>
      </w:r>
      <w:r>
        <w:rPr>
          <w:i/>
          <w:iCs/>
        </w:rPr>
        <w:t xml:space="preserve">In re NVR, L.P.</w:t>
      </w:r>
      <w:r>
        <w:t xml:space="preserve">, 147 B.R. 126, 127 (Bankr. E.D. Va. 1992) (stating that, under Section 105(a), a court</w:t>
      </w:r>
      <w:r>
        <w:t xml:space="preserve"> </w:t>
      </w:r>
      <w:r>
        <w:t xml:space="preserve">“can permit pre-plan payment of a pre-petition obligation when essential to the continued operation of the debtor”</w:t>
      </w:r>
      <w:r>
        <w:t xml:space="preserve">);</w:t>
      </w:r>
      <w:r>
        <w:t xml:space="preserve"> </w:t>
      </w:r>
      <w:r>
        <w:rPr>
          <w:i/>
          <w:iCs/>
        </w:rPr>
        <w:t xml:space="preserve">In re Ionosphere Clubs, Inc.</w:t>
      </w:r>
      <w:r>
        <w:t xml:space="preserve">, 98 B.R. 174, 175 (Bankr. S.D. N.Y. 1989) (stating that a bankruptcy court’s use of its equitable powers to</w:t>
      </w:r>
      <w:r>
        <w:t xml:space="preserve"> </w:t>
      </w:r>
      <w:r>
        <w:t xml:space="preserve">“authorize the payment of pre-petition debt when such payment is needed to facilitate the rehabilitation of the debtor is not a novel concept”</w:t>
      </w:r>
      <w:r>
        <w:t xml:space="preserve">);</w:t>
      </w:r>
      <w:r>
        <w:t xml:space="preserve"> </w:t>
      </w:r>
      <w:r>
        <w:rPr>
          <w:i/>
          <w:iCs/>
        </w:rPr>
        <w:t xml:space="preserve">In re Lehigh &amp; New England Ry. Co.</w:t>
      </w:r>
      <w:r>
        <w:t xml:space="preserve">, 657 F.2d 570, 581 (3d Cir. 1981) (necessity of payment doctrine</w:t>
      </w:r>
      <w:r>
        <w:t xml:space="preserve"> </w:t>
      </w:r>
      <w:r>
        <w:t xml:space="preserve">“teaches no more than, if payment of a claim which arose prior to reorganization is essential to the continued operation of the [business] during the reorganization, payment may be authorized even if it is made out of corpus”</w:t>
      </w:r>
      <w:r>
        <w:t xml:space="preserve">).</w:t>
      </w:r>
      <w:r>
        <w:t xml:space="preserve"> </w:t>
      </w:r>
      <w:r>
        <w:rPr>
          <w:rStyle w:val="FootnoteReference"/>
        </w:rPr>
        <w:footnoteReference w:id="10"/>
      </w:r>
    </w:p>
    <w:p>
      <w:pPr>
        <w:pStyle w:val="NumberedParagraph"/>
      </w:pPr>
      <w:r>
        <w:t xml:space="preserve">28.</w:t>
      </w:r>
      <w:r>
        <w:tab/>
      </w:r>
      <w:r>
        <w:t xml:space="preserve">Similar relief to that requested herein has consistently been granted by other bankruptcy courts pursuant to such doctrine.</w:t>
      </w:r>
      <w:r>
        <w:t xml:space="preserve"> </w:t>
      </w:r>
      <w:r>
        <w:rPr>
          <w:i/>
          <w:iCs/>
        </w:rPr>
        <w:t xml:space="preserve">In re Spirit Holding Co., Inc.</w:t>
      </w:r>
      <w:r>
        <w:t xml:space="preserve">, 157 B.R. 883 (Bankr. E.D. Mo. 1993);</w:t>
      </w:r>
      <w:r>
        <w:t xml:space="preserve"> </w:t>
      </w:r>
      <w:r>
        <w:rPr>
          <w:i/>
          <w:iCs/>
        </w:rPr>
        <w:t xml:space="preserve">In re ATP Oil &amp; Gas Corp.</w:t>
      </w:r>
      <w:r>
        <w:t xml:space="preserve">, Case No. 12-36187 (Bankr. S.D. Tex. August 21, 2012);</w:t>
      </w:r>
      <w:r>
        <w:t xml:space="preserve"> </w:t>
      </w:r>
      <w:r>
        <w:rPr>
          <w:i/>
          <w:iCs/>
        </w:rPr>
        <w:t xml:space="preserve">In re Cano Petroleum, Inc.</w:t>
      </w:r>
      <w:r>
        <w:t xml:space="preserve">, Case No. 12-31549 (Bankr. N.D. Tex. March 16, 2012);</w:t>
      </w:r>
      <w:r>
        <w:t xml:space="preserve"> </w:t>
      </w:r>
      <w:r>
        <w:rPr>
          <w:i/>
          <w:iCs/>
        </w:rPr>
        <w:t xml:space="preserve">In re Dynegy Holdings, LLC</w:t>
      </w:r>
      <w:r>
        <w:t xml:space="preserve">, Case No. 11-13686 (Bankr. S.D. N.Y. November 9, 2011);</w:t>
      </w:r>
      <w:r>
        <w:t xml:space="preserve"> </w:t>
      </w:r>
      <w:r>
        <w:rPr>
          <w:i/>
          <w:iCs/>
        </w:rPr>
        <w:t xml:space="preserve">In re Otero Cnty. Hosp. Ass’n, Inc.</w:t>
      </w:r>
      <w:r>
        <w:t xml:space="preserve">, Case No. 11-13686 (Bankr. D. N.M. September 12, 2011);</w:t>
      </w:r>
      <w:r>
        <w:t xml:space="preserve"> </w:t>
      </w:r>
      <w:r>
        <w:rPr>
          <w:i/>
          <w:iCs/>
        </w:rPr>
        <w:t xml:space="preserve">In re Paul Transp., Inc.</w:t>
      </w:r>
      <w:r>
        <w:t xml:space="preserve">, Case No. 10-13022 (Bankr. W.D. Okla., May 21, 2010);</w:t>
      </w:r>
      <w:r>
        <w:t xml:space="preserve"> </w:t>
      </w:r>
      <w:r>
        <w:rPr>
          <w:i/>
          <w:iCs/>
        </w:rPr>
        <w:t xml:space="preserve">In re Stallion Oilfield Services, Inc.</w:t>
      </w:r>
      <w:r>
        <w:t xml:space="preserve">, Case No. 09-13562 (Bankr. D. Del. October 20, 2009);</w:t>
      </w:r>
      <w:r>
        <w:t xml:space="preserve"> </w:t>
      </w:r>
      <w:r>
        <w:rPr>
          <w:i/>
          <w:iCs/>
        </w:rPr>
        <w:t xml:space="preserve">In re Harold’s Stores, Inc.</w:t>
      </w:r>
      <w:r>
        <w:t xml:space="preserve">, Case No. 08-15027 (Bankr. W.D. Okla. November 7, 2008);</w:t>
      </w:r>
      <w:r>
        <w:t xml:space="preserve"> </w:t>
      </w:r>
      <w:r>
        <w:rPr>
          <w:i/>
          <w:iCs/>
        </w:rPr>
        <w:t xml:space="preserve">In re Rocor Int’l, Inc.</w:t>
      </w:r>
      <w:r>
        <w:t xml:space="preserve">, Case No. 02-17658 (Bankr. W.D. Okla., August 7, 2002).</w:t>
      </w:r>
    </w:p>
    <w:p>
      <w:pPr>
        <w:pStyle w:val="NumberedParagraph"/>
      </w:pPr>
      <w:r>
        <w:t xml:space="preserve">29.</w:t>
      </w:r>
      <w:r>
        <w:tab/>
      </w:r>
      <w:r>
        <w:t xml:space="preserve">To retain quality, experienced workers, to maintain their morale while this chapter 11 case is pending, and to preserve Debtor’s operations during its reorganization and sale process, Debtor should be granted the authority to pay the pre-petition claims of Debtor’s employees in the ordinary course of Debtor’s business.</w:t>
      </w:r>
    </w:p>
    <w:p>
      <w:pPr>
        <w:pStyle w:val="NumberedParagraph"/>
      </w:pPr>
      <w:r>
        <w:t xml:space="preserve">30.</w:t>
      </w:r>
      <w:r>
        <w:tab/>
      </w:r>
      <w:r>
        <w:t xml:space="preserve">Debtor believes that substantially all of the amounts Debtor seeks to pay are either entitled to priority claim status under Sections 503, 507(a)(4), and 507(a)(5) (with the exceptions cited herein). Thus, granting the relief sought herein only would affect the timing of payment, and not the amount, of these obligations to Debtor’s employees to the extent they constitute priority claims.</w:t>
      </w:r>
    </w:p>
    <w:p>
      <w:pPr>
        <w:pStyle w:val="NumberedParagraph"/>
      </w:pPr>
      <w:r>
        <w:t xml:space="preserve">31.</w:t>
      </w:r>
      <w:r>
        <w:tab/>
      </w:r>
      <w:r>
        <w:t xml:space="preserve">Many employees live from paycheck to paycheck and rely exclusively on receiving their full compensation or reimbursement of their expenses in order to continue to pay their daily living expenses. Thus, they will be exposed to significant financial and health related problems if Debtor is not permitted to pay certain of the unpaid employee obligations, particularly wages, salaries and health benefits. Moreover, Debtor believes that if it is unable to honor its pre-petition obligations to employees, morale and loyalty will be jeopardized at a time when internal business support is critical.</w:t>
      </w:r>
    </w:p>
    <w:p>
      <w:pPr>
        <w:pStyle w:val="NumberedParagraph"/>
      </w:pPr>
      <w:r>
        <w:t xml:space="preserve">32.</w:t>
      </w:r>
      <w:r>
        <w:tab/>
      </w:r>
      <w:r>
        <w:t xml:space="preserve">Further, if Debtor is not authorized to continue to pay its employees’ benefits, then many of Debtor’s employees may not be reimbursed or otherwise have its benefits claims paid. In addition, certain employees may become primarily obligated for the payment of these claims in cases where health care providers have not been reimbursed, and may face having their health services terminated.</w:t>
      </w:r>
    </w:p>
    <w:p>
      <w:pPr>
        <w:pStyle w:val="NumberedParagraph"/>
      </w:pPr>
      <w:r>
        <w:t xml:space="preserve">33.</w:t>
      </w:r>
      <w:r>
        <w:tab/>
      </w:r>
      <w:r>
        <w:t xml:space="preserve">Debtor believes such uncertainties will cause significant anxiety at precisely the time Debtor needs its employees to perform their jobs at peak efficiency.</w:t>
      </w:r>
    </w:p>
    <w:p>
      <w:pPr>
        <w:pStyle w:val="NumberedParagraph"/>
      </w:pPr>
      <w:r>
        <w:t xml:space="preserve">34.</w:t>
      </w:r>
      <w:r>
        <w:tab/>
      </w:r>
      <w:r>
        <w:t xml:space="preserve">Debtor does not intend by this Motion to assume any executory obligations, and this Motion should not be deemed an assumption or adoption of any agreements or policies providing for coverage or any other executory contracts. Rather, Debtor simply intends in its discretion and in the exercise of business judgment, subject to this Court’s approval, to maintain their current policies pending further business decisions relevant to the maximization of the value of Debtor’s assets in this case.</w:t>
      </w:r>
    </w:p>
    <w:p>
      <w:pPr>
        <w:pStyle w:val="Heading1"/>
      </w:pPr>
      <w:r>
        <w:t xml:space="preserve">VI. CONCLUSION</w:t>
      </w:r>
    </w:p>
    <w:p>
      <w:pPr>
        <w:pStyle w:val="IndentedParagraph"/>
      </w:pPr>
      <w:r>
        <w:t xml:space="preserve">WHEREFORE, the Debtor, Foods, Inc. dba Dahl’s Foods, requests that this Court enter an Order (i) authorizing Debtor to make payments of all amounts due on account of employee obligations that accrued prepetition; (ii) authorizing Debtor to honor any other terms and conditions of the employment of their employees; (iii) authorizing Debtor’s banks to honor such checks and transfers as necessary to effectuate the relief requested herein; and (iv) granting such other relief as this Court may deem just and equitable under the circumstances.</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SingleSpaced"/>
            </w:pPr>
            <w:r>
              <w:t xml:space="preserve">Dated: November 9, 2014</w:t>
            </w:r>
          </w:p>
        </w:tc>
        <w:tc>
          <w:tcPr>
            <w:tcW w:w="288" w:type="dxa"/>
          </w:tcPr>
          <w:p>
            <w:pPr>
              <w:pStyle w:val="SingleSpaced"/>
            </w:pPr>
          </w:p>
        </w:tc>
        <w:tc>
          <w:tcPr>
            <w:tcW w:w="5040" w:type="dxa"/>
          </w:tcPr>
          <w:p>
            <w:pPr>
              <w:pStyle w:val="SingleSpaced"/>
              <w:spacing w:before="0" w:after="120" w:line="240" w:lineRule="auto"/>
            </w:pPr>
            <w:r>
              <w:t xml:space="preserve">/s/ Jeffrey D. Goetz</w:t>
            </w:r>
          </w:p>
          <w:p>
            <w:pPr>
              <w:pStyle w:val="SingleSpaced"/>
              <w:spacing w:before="0" w:after="120" w:line="240" w:lineRule="auto"/>
            </w:pPr>
            <w:r>
              <w:t xml:space="preserve">Jeffrey D. Goetz, Esq, IS #9999366</w:t>
            </w:r>
          </w:p>
          <w:p>
            <w:pPr>
              <w:pStyle w:val="SingleSpaced"/>
              <w:spacing w:before="0" w:after="120" w:line="240" w:lineRule="auto"/>
            </w:pPr>
            <w:r>
              <w:t xml:space="preserve">Bradshaw Fowler Proctor &amp; Fairgrave, PC</w:t>
            </w:r>
          </w:p>
          <w:p>
            <w:pPr>
              <w:pStyle w:val="SingleSpaced"/>
              <w:spacing w:before="0" w:after="120" w:line="240" w:lineRule="auto"/>
            </w:pPr>
            <w:r>
              <w:t xml:space="preserve">801 Grand, Suite 3700</w:t>
            </w:r>
          </w:p>
          <w:p>
            <w:pPr>
              <w:pStyle w:val="SingleSpaced"/>
              <w:spacing w:before="0" w:after="120" w:line="240" w:lineRule="auto"/>
            </w:pPr>
            <w:r>
              <w:t xml:space="preserve">Des Moines, IA 50309-8004</w:t>
            </w:r>
          </w:p>
          <w:p>
            <w:pPr>
              <w:pStyle w:val="SingleSpaced"/>
              <w:spacing w:before="0" w:after="120" w:line="240" w:lineRule="auto"/>
            </w:pPr>
            <w:r>
              <w:t xml:space="preserve">515/ 243-4191</w:t>
            </w:r>
          </w:p>
          <w:p>
            <w:pPr>
              <w:pStyle w:val="SingleSpaced"/>
              <w:spacing w:before="0" w:after="120" w:line="240" w:lineRule="auto"/>
            </w:pPr>
            <w:r>
              <w:t xml:space="preserve">515/ 246-5808 fax</w:t>
            </w:r>
          </w:p>
          <w:p>
            <w:pPr>
              <w:pStyle w:val="SingleSpaced"/>
              <w:spacing w:before="0" w:after="120" w:line="240" w:lineRule="auto"/>
            </w:pPr>
            <w:r>
              <w:t xml:space="preserve">goetz.jeffrey@bradshawlaw.com</w:t>
            </w:r>
          </w:p>
          <w:p>
            <w:pPr>
              <w:pStyle w:val="SingleSpaced"/>
              <w:spacing w:before="0" w:after="0" w:line="240" w:lineRule="auto"/>
            </w:pPr>
            <w:r>
              <w:t xml:space="preserve">Proposed General Reorganization Counsel for Foods, Inc. dba Dahl’s Foods</w:t>
            </w:r>
          </w:p>
        </w:tc>
      </w:tr>
    </w:tbl>
    <w:p>
      <w:pPr>
        <w:pStyle w:val="Heading1"/>
        <w:spacing w:before="480" w:after="240" w:line="240" w:lineRule="auto"/>
      </w:pPr>
      <w:r>
        <w:t xml:space="preserve">VERIFICATION BY COUNSEL FOR DEBTOR</w:t>
      </w:r>
    </w:p>
    <w:p>
      <w:pPr>
        <w:pStyle w:val="IndentedParagraph"/>
      </w:pPr>
      <w:r>
        <w:t xml:space="preserve">I, Jeffrey D. Goetz, Esq., declare as follows:</w:t>
      </w:r>
    </w:p>
    <w:p>
      <w:pPr>
        <w:pStyle w:val="NumberedParagraph"/>
      </w:pPr>
      <w:r>
        <w:t xml:space="preserve">1.</w:t>
      </w:r>
      <w:r>
        <w:tab/>
      </w:r>
      <w:r>
        <w:t xml:space="preserve">The matters stated in this Declaration are true and correct and within my own personal knowledge and belief. If called as a witness, I could and would competently testify hereto.</w:t>
      </w:r>
    </w:p>
    <w:p>
      <w:pPr>
        <w:pStyle w:val="NumberedParagraph"/>
      </w:pPr>
      <w:r>
        <w:t xml:space="preserve">2.</w:t>
      </w:r>
      <w:r>
        <w:tab/>
      </w:r>
      <w:r>
        <w:t xml:space="preserve">I am an attorney licensed to practice law before this court and am the proposed General Reorganization Counsel for the Debtor. I am duly admitted to practice law in the courts of the State of Iowa and in the United States District Court for the Southern District of Iowa.</w:t>
      </w:r>
    </w:p>
    <w:p>
      <w:pPr>
        <w:pStyle w:val="NumberedParagraph"/>
      </w:pPr>
      <w:r>
        <w:t xml:space="preserve">3.</w:t>
      </w:r>
      <w:r>
        <w:tab/>
      </w:r>
      <w:r>
        <w:t xml:space="preserve">I have personal knowledge of the facts set forth in the foregoing Motion and, if called upon as a witness, I could and would competently testify as to all of the matters stated therein.</w:t>
      </w:r>
    </w:p>
    <w:p>
      <w:pPr>
        <w:pStyle w:val="IndentedParagraph"/>
      </w:pPr>
      <w:r>
        <w:t xml:space="preserve">I declare under penalty of perjury under the laws of the State of Iowa and the laws of the United States that the foregoing is true and correct and is executed this 9th day of November 2014 at Des Moines, Iowa.</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SingleSpaced"/>
            </w:pPr>
            <w:r>
              <w:t xml:space="preserve">Dated: November 9, 2014</w:t>
            </w:r>
          </w:p>
        </w:tc>
        <w:tc>
          <w:tcPr>
            <w:tcW w:w="288" w:type="dxa"/>
          </w:tcPr>
          <w:p>
            <w:pPr>
              <w:pStyle w:val="SingleSpaced"/>
            </w:pPr>
          </w:p>
        </w:tc>
        <w:tc>
          <w:tcPr>
            <w:tcW w:w="5040" w:type="dxa"/>
          </w:tcPr>
          <w:p>
            <w:pPr>
              <w:pStyle w:val="SingleSpaced"/>
              <w:spacing w:before="0" w:after="120" w:line="240" w:lineRule="auto"/>
            </w:pPr>
            <w:r>
              <w:t xml:space="preserve">/s/ Jeffrey D. Goetz</w:t>
            </w:r>
          </w:p>
          <w:p>
            <w:pPr>
              <w:pStyle w:val="SingleSpaced"/>
              <w:spacing w:before="0" w:after="0" w:line="240" w:lineRule="auto"/>
            </w:pPr>
            <w:r>
              <w:t xml:space="preserve">Jeffrey D. Goetz</w:t>
            </w:r>
          </w:p>
        </w:tc>
      </w:tr>
    </w:tbl>
    <w:p>
      <w:pPr>
        <w:pStyle w:val="Heading1"/>
        <w:spacing w:before="480" w:after="240" w:line="240" w:lineRule="auto"/>
      </w:pPr>
      <w:r>
        <w:t xml:space="preserve">VERIFICATION BY CORPORATE OFFICER CRAIG MOORE</w:t>
      </w:r>
    </w:p>
    <w:p>
      <w:pPr>
        <w:pStyle w:val="IndentedParagraph"/>
      </w:pPr>
      <w:r>
        <w:t xml:space="preserve">I, Craig Moore, declare as follows:</w:t>
      </w:r>
    </w:p>
    <w:p>
      <w:pPr>
        <w:pStyle w:val="NumberedParagraph"/>
      </w:pPr>
      <w:r>
        <w:t xml:space="preserve">1.</w:t>
      </w:r>
      <w:r>
        <w:tab/>
      </w:r>
      <w:r>
        <w:t xml:space="preserve">I am the Chief Executive Officer of the Debtor, Foods, Inc. dba Dahl’s Foods. The matters stated in this Declaration are true and correct and within my own personal knowledge and belief. If called as a witness, I could and would competently testify hereto.</w:t>
      </w:r>
    </w:p>
    <w:p>
      <w:pPr>
        <w:pStyle w:val="NumberedParagraph"/>
      </w:pPr>
      <w:r>
        <w:t xml:space="preserve">2.</w:t>
      </w:r>
      <w:r>
        <w:tab/>
      </w:r>
      <w:r>
        <w:t xml:space="preserve">I have personal knowledge of the facts set forth in the foregoing Motion and, if called upon as a witness, I could and would competently testify as to all of the matters stated therein.</w:t>
      </w:r>
    </w:p>
    <w:p>
      <w:pPr>
        <w:pStyle w:val="IndentedParagraph"/>
      </w:pPr>
      <w:r>
        <w:t xml:space="preserve">I declare under penalty of perjury under the laws of the State of Iowa and the laws of the United States that the foregoing is true and correct and is executed this 9th day of November, 2014 at Des Moines, Iowa.</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SingleSpaced"/>
            </w:pPr>
            <w:r>
              <w:t xml:space="preserve">Dated: November 9, 2014</w:t>
            </w:r>
          </w:p>
        </w:tc>
        <w:tc>
          <w:tcPr>
            <w:tcW w:w="288" w:type="dxa"/>
          </w:tcPr>
          <w:p>
            <w:pPr>
              <w:pStyle w:val="SingleSpaced"/>
            </w:pPr>
          </w:p>
        </w:tc>
        <w:tc>
          <w:tcPr>
            <w:tcW w:w="5040" w:type="dxa"/>
          </w:tcPr>
          <w:p>
            <w:pPr>
              <w:pStyle w:val="SingleSpaced"/>
              <w:spacing w:before="0" w:after="120" w:line="240" w:lineRule="auto"/>
            </w:pPr>
            <w:r>
              <w:t xml:space="preserve">/s/ Craig Moore</w:t>
            </w:r>
          </w:p>
          <w:p>
            <w:pPr>
              <w:pStyle w:val="SingleSpaced"/>
              <w:spacing w:before="0" w:after="0" w:line="240" w:lineRule="auto"/>
            </w:pPr>
            <w:r>
              <w:t xml:space="preserve">Craig Moore</w:t>
            </w:r>
          </w:p>
        </w:tc>
      </w:tr>
    </w:tbl>
    <w:p>
      <w:pPr>
        <w:pStyle w:val="Heading1"/>
        <w:spacing w:before="480" w:after="240" w:line="240" w:lineRule="auto"/>
      </w:pPr>
      <w:r>
        <w:t xml:space="preserve">CERTIFICATE OF SERVICE</w:t>
      </w:r>
    </w:p>
    <w:p>
      <w:pPr>
        <w:pStyle w:val="IndentedParagraph"/>
      </w:pPr>
      <w:r>
        <w:t xml:space="preserve">This document was served electronically on parties who receive electronic notice through CM/ECF as listed on CM/ECF’s notice of electronic filing.</w:t>
      </w:r>
    </w:p>
    <w:p>
      <w:pPr>
        <w:pStyle w:val="BodyText"/>
      </w:pPr>
    </w:p>
    <w:p>
      <w:pPr>
        <w:pStyle w:val="SingleSpaced"/>
        <w:spacing w:before="0" w:after="120" w:line="240" w:lineRule="auto"/>
        <w:ind w:left="4320"/>
      </w:pPr>
      <w:r>
        <w:t xml:space="preserve">/s/ Barbara Warner</w:t>
      </w:r>
    </w:p>
    <w:p>
      <w:pPr>
        <w:pStyle w:val="SingleSpaced"/>
        <w:spacing w:before="0" w:after="0" w:line="240" w:lineRule="auto"/>
        <w:ind w:left="4320"/>
      </w:pPr>
      <w:r>
        <w:t xml:space="preserve">Barbara Warner</w:t>
      </w:r>
    </w:p>
    <w:sectPr>
      <w:footerReference w:type="default" r:id="rIdFt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Unless otherwise stated, statutory references herein are to the United States Bankruptcy Code, 11 U.S.C. § 101 et seq. and referred to herein as the</w:t>
      </w:r>
      <w:r>
        <w:t xml:space="preserve"> </w:t>
      </w:r>
      <w:r>
        <w:t xml:space="preserve">“Bankruptcy Code”</w:t>
      </w:r>
      <w:r>
        <w:t xml:space="preserve">.</w:t>
      </w:r>
    </w:p>
  </w:footnote>
  <w:footnote w:id="10">
    <w:p>
      <w:pPr>
        <w:pStyle w:val="FootnoteText"/>
      </w:pPr>
      <w:r>
        <w:rPr>
          <w:rStyle w:val="FootnoteReference"/>
        </w:rPr>
        <w:footnoteRef/>
      </w:r>
      <w:r>
        <w:t xml:space="preserve"> </w:t>
      </w:r>
      <w:r>
        <w:t xml:space="preserve">See also</w:t>
      </w:r>
      <w:r>
        <w:t xml:space="preserve"> </w:t>
      </w:r>
      <w:r>
        <w:rPr>
          <w:i/>
          <w:iCs/>
        </w:rPr>
        <w:t xml:space="preserve">In re Financial News Network, Inc.</w:t>
      </w:r>
      <w:r>
        <w:t xml:space="preserve">, 134 B.R. 732, 736 (Bankr. S.D. N.Y. 1991) (pre-petition claims may be paid when doing so is</w:t>
      </w:r>
      <w:r>
        <w:t xml:space="preserve"> </w:t>
      </w:r>
      <w:r>
        <w:t xml:space="preserve">“critical to the debtor’s reorganization”</w:t>
      </w:r>
      <w:r>
        <w:t xml:space="preserve">);</w:t>
      </w:r>
      <w:r>
        <w:t xml:space="preserve"> </w:t>
      </w:r>
      <w:r>
        <w:rPr>
          <w:i/>
          <w:iCs/>
        </w:rPr>
        <w:t xml:space="preserve">In re Eagle-Pitcher Indus.</w:t>
      </w:r>
      <w:r>
        <w:t xml:space="preserve">, 124 B.R. 1021, 1023 (Bankr. S.D. Ohio 1991) (payment must be</w:t>
      </w:r>
      <w:r>
        <w:t xml:space="preserve"> </w:t>
      </w:r>
      <w:r>
        <w:t xml:space="preserve">“necessary to avert a serious threat to the Chapter 11 process”</w:t>
      </w:r>
      <w:r>
        <w:t xml:space="preserve">);</w:t>
      </w:r>
      <w:r>
        <w:t xml:space="preserve"> </w:t>
      </w:r>
      <w:r>
        <w:rPr>
          <w:i/>
          <w:iCs/>
        </w:rPr>
        <w:t xml:space="preserve">In re Structurlite Plastics Corp.</w:t>
      </w:r>
      <w:r>
        <w:t xml:space="preserve">, 86 B.R. 922, 931 (Bankr. S.D. Ohio 1988) (payment necessary to</w:t>
      </w:r>
      <w:r>
        <w:t xml:space="preserve"> </w:t>
      </w:r>
      <w:r>
        <w:t xml:space="preserve">“permit the greatest likelihood of survival of the debtor and payment of creditors in full or at least proportionately”</w:t>
      </w:r>
      <w:r>
        <w:t xml:space="preserve">) (quoting</w:t>
      </w:r>
      <w:r>
        <w:t xml:space="preserve"> </w:t>
      </w:r>
      <w:r>
        <w:rPr>
          <w:i/>
          <w:iCs/>
        </w:rPr>
        <w:t xml:space="preserve">In re Chateaugay Corp.</w:t>
      </w:r>
      <w:r>
        <w:t xml:space="preserve">, 80 B.R. 279, 287 (S.D. N.Y. 1987)).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4"/>
        <w:szCs w:val="24"/>
        <w:lang w:val="en-US"/>
      </w:rPr>
    </w:rPrDefault>
    <w:pPrDefault>
      <w:pPr>
        <w:spacing w:before="0" w:after="0" w:line="240" w:lineRule="auto"/>
      </w:pPr>
    </w:pPrDefault>
  </w:docDefaults>
  <w:style w:type="paragraph" w:default="1" w:styleId="Normal">
    <w:name w:val="Normal"/>
    <w:qFormat/>
    <w:pPr>
      <w:widowControl/>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480" w:lineRule="exact"/>
    </w:pPr>
  </w:style>
  <w:style w:type="paragraph" w:styleId="FirstParagraph">
    <w:name w:val="First Paragraph"/>
    <w:basedOn w:val="BodyText"/>
    <w:next w:val="BodyText"/>
    <w:qFormat/>
  </w:style>
  <w:style w:type="paragraph" w:styleId="Compact">
    <w:name w:val="Compact"/>
    <w:basedOn w:val="BodyText"/>
    <w:qFormat/>
    <w:pPr>
      <w:spacing w:before="0" w:after="0" w:line="240" w:lineRule="auto"/>
    </w:pPr>
  </w:style>
  <w:style w:type="paragraph" w:styleId="Heading1">
    <w:name w:val="heading 1"/>
    <w:basedOn w:val="Normal"/>
    <w:next w:val="BodyText"/>
    <w:uiPriority w:val="9"/>
    <w:qFormat/>
    <w:pPr>
      <w:keepNext/>
      <w:keepLines/>
      <w:spacing w:before="240" w:after="240" w:line="240" w:lineRule="auto"/>
      <w:jc w:val="center"/>
      <w:outlineLvl w:val="0"/>
    </w:pPr>
    <w:rPr>
      <w:b/>
      <w:bCs/>
      <w:caps/>
      <w:color w:val="000000"/>
    </w:rPr>
  </w:style>
  <w:style w:type="paragraph" w:styleId="Heading2">
    <w:name w:val="heading 2"/>
    <w:basedOn w:val="Normal"/>
    <w:next w:val="BodyText"/>
    <w:uiPriority w:val="9"/>
    <w:unhideWhenUsed/>
    <w:qFormat/>
    <w:pPr>
      <w:keepNext/>
      <w:keepLines/>
      <w:spacing w:before="240" w:after="240" w:line="240" w:lineRule="auto"/>
      <w:ind w:left="720" w:hanging="720"/>
      <w:outlineLvl w:val="1"/>
    </w:pPr>
    <w:rPr>
      <w:b/>
      <w:bCs/>
      <w:color w:val="000000"/>
    </w:rPr>
  </w:style>
  <w:style w:type="paragraph" w:styleId="Heading3">
    <w:name w:val="heading 3"/>
    <w:basedOn w:val="Normal"/>
    <w:next w:val="BodyText"/>
    <w:uiPriority w:val="9"/>
    <w:unhideWhenUsed/>
    <w:qFormat/>
    <w:pPr>
      <w:keepNext/>
      <w:keepLines/>
      <w:spacing w:before="240" w:after="240" w:line="240" w:lineRule="auto"/>
      <w:outlineLvl w:val="2"/>
    </w:pPr>
    <w:rPr>
      <w:b/>
      <w:bCs/>
      <w:i/>
      <w:iCs/>
      <w:color w:val="000000"/>
    </w:rPr>
  </w:style>
  <w:style w:type="paragraph" w:styleId="BlockText">
    <w:name w:val="Block Text"/>
    <w:basedOn w:val="Normal"/>
    <w:next w:val="BodyText"/>
    <w:uiPriority w:val="9"/>
    <w:unhideWhenUsed/>
    <w:qFormat/>
    <w:pPr>
      <w:spacing w:before="120" w:after="240" w:line="240" w:lineRule="auto"/>
      <w:ind w:left="1080" w:right="1080"/>
      <w:jc w:val="both"/>
    </w:pPr>
  </w:style>
  <w:style w:type="paragraph" w:styleId="FootnoteText">
    <w:name w:val="footnote text"/>
    <w:basedOn w:val="Normal"/>
    <w:uiPriority w:val="99"/>
    <w:unhideWhenUsed/>
    <w:pPr>
      <w:spacing w:before="0" w:after="60" w:line="240" w:lineRule="auto"/>
      <w:jc w:val="both"/>
    </w:pPr>
    <w:rPr>
      <w:sz w:val="20"/>
      <w:szCs w:val="20"/>
    </w:rPr>
  </w:style>
  <w:style w:type="character" w:styleId="FootnoteReference">
    <w:name w:val="footnote reference"/>
    <w:basedOn w:val="DefaultParagraphFont"/>
    <w:uiPriority w:val="99"/>
    <w:unhideWhenUsed/>
    <w:rPr>
      <w:vertAlign w:val="superscript"/>
    </w:rPr>
  </w:style>
  <w:style w:type="paragraph" w:customStyle="1" w:styleId="NumberedParagraph">
    <w:name w:val="Numbered Paragraph"/>
    <w:basedOn w:val="BodyText"/>
    <w:qFormat/>
    <w:pPr>
      <w:tabs>
        <w:tab w:val="left" w:pos="1080"/>
      </w:tabs>
      <w:spacing w:before="0" w:after="0" w:line="480" w:lineRule="exact"/>
      <w:ind w:firstLine="720"/>
    </w:pPr>
  </w:style>
  <w:style w:type="paragraph" w:customStyle="1" w:styleId="IndentedParagraph">
    <w:name w:val="Indented Paragraph"/>
    <w:basedOn w:val="BodyText"/>
    <w:qFormat/>
    <w:pPr>
      <w:spacing w:before="0" w:after="0" w:line="480" w:lineRule="exact"/>
      <w:ind w:firstLine="720"/>
    </w:pPr>
  </w:style>
  <w:style w:type="paragraph" w:customStyle="1" w:styleId="PrayerItem">
    <w:name w:val="Prayer Item"/>
    <w:basedOn w:val="BodyText"/>
    <w:qFormat/>
    <w:pPr>
      <w:tabs>
        <w:tab w:val="left" w:pos="1296"/>
      </w:tabs>
      <w:spacing w:before="0" w:after="0" w:line="480" w:lineRule="exact"/>
      <w:ind w:left="1296" w:hanging="576"/>
    </w:pPr>
  </w:style>
  <w:style w:type="paragraph" w:customStyle="1" w:styleId="SingleSpaced">
    <w:name w:val="Single Spaced"/>
    <w:basedOn w:val="Normal"/>
    <w:qFormat/>
    <w:pPr>
      <w:spacing w:before="0" w:after="120" w:line="240" w:lineRule="auto"/>
    </w:pPr>
  </w:style>
  <w:style w:type="paragraph" w:customStyle="1" w:styleId="CourtName">
    <w:name w:val="Court Name"/>
    <w:basedOn w:val="Normal"/>
    <w:qFormat/>
    <w:pPr>
      <w:spacing w:before="0" w:after="0" w:line="240" w:lineRule="auto"/>
      <w:jc w:val="center"/>
    </w:pPr>
    <w:rPr>
      <w:b/>
      <w:bCs/>
    </w:rPr>
  </w:style>
  <w:style w:type="table" w:styleId="Table">
    <w:name w:val="Table"/>
    <w:basedOn w:val="TableNormal"/>
    <w:uiPriority w:val="59"/>
    <w:pPr>
      <w:spacing w:before="0" w:after="0" w:line="240" w:lineRule="auto"/>
    </w:pPr>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9" w:type="dxa"/>
        <w:left w:w="108" w:type="dxa"/>
        <w:bottom w:w="29"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2026-10-15T09:23:27Z</dcterms:created>
  <dcterms:modified xsi:type="dcterms:W3CDTF">2026-10-15T09:23:27Z</dcterms:modified>
</cp:coreProperties>
</file>

<file path=docProps/custom.xml><?xml version="1.0" encoding="utf-8"?>
<Properties xmlns="http://schemas.openxmlformats.org/officeDocument/2006/custom-properties" xmlns:vt="http://schemas.openxmlformats.org/officeDocument/2006/docPropsVTypes"/>
</file>