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168" w:line="240" w:lineRule="auto"/>
        <w:jc w:val="center"/>
      </w:pPr>
      <w:r>
        <w:rPr>
          <w:b/>
          <w:bCs/>
        </w:rPr>
        <w:t xml:space="preserve">IN THE UNITED STATES COURT OF APPEALS</w:t>
      </w:r>
    </w:p>
    <w:p>
      <w:pPr>
        <w:spacing w:before="0" w:after="336" w:line="240" w:lineRule="auto"/>
        <w:jc w:val="center"/>
      </w:pPr>
      <w:r>
        <w:rPr>
          <w:b/>
          <w:bCs/>
        </w:rPr>
        <w:t xml:space="preserve">FOR THE ARMED FORCES</w:t>
      </w:r>
    </w:p>
    <w:p>
      <w:pPr>
        <w:spacing w:before="0" w:after="0" w:line="240" w:lineRule="auto"/>
        <w:jc w:val="center"/>
      </w:pPr>
      <w:r>
        <w:t xml:space="preserve">UNITED STATES</w:t>
      </w:r>
    </w:p>
    <w:p>
      <w:pPr>
        <w:spacing w:before="0" w:after="168" w:line="240" w:lineRule="auto"/>
        <w:jc w:val="center"/>
      </w:pPr>
      <w:r>
        <w:rPr>
          <w:i/>
          <w:iCs/>
        </w:rPr>
        <w:t xml:space="preserve">Appellee</w:t>
      </w:r>
    </w:p>
    <w:p>
      <w:pPr>
        <w:spacing w:before="168" w:after="168" w:line="240" w:lineRule="auto"/>
        <w:jc w:val="center"/>
      </w:pPr>
      <w:r>
        <w:t xml:space="preserve">v.</w:t>
      </w:r>
    </w:p>
    <w:p>
      <w:pPr>
        <w:spacing w:before="0" w:after="0" w:line="240" w:lineRule="auto"/>
        <w:jc w:val="center"/>
      </w:pPr>
      <w:r>
        <w:t xml:space="preserve">Keith A. COOPER</w:t>
      </w:r>
    </w:p>
    <w:p>
      <w:pPr>
        <w:spacing w:before="0" w:after="0" w:line="240" w:lineRule="auto"/>
        <w:jc w:val="center"/>
      </w:pPr>
      <w:r>
        <w:t xml:space="preserve">Airman First Class (E-3)</w:t>
      </w:r>
    </w:p>
    <w:p>
      <w:pPr>
        <w:spacing w:before="0" w:after="0" w:line="240" w:lineRule="auto"/>
        <w:jc w:val="center"/>
      </w:pPr>
      <w:r>
        <w:t xml:space="preserve">United States Air Force</w:t>
      </w:r>
    </w:p>
    <w:p>
      <w:pPr>
        <w:spacing w:before="0" w:after="168" w:line="240" w:lineRule="auto"/>
        <w:jc w:val="center"/>
      </w:pPr>
      <w:r>
        <w:rPr>
          <w:i/>
          <w:iCs/>
        </w:rPr>
        <w:t xml:space="preserve">Appellant</w:t>
      </w:r>
    </w:p>
    <w:p>
      <w:pPr>
        <w:spacing w:before="0" w:after="0" w:line="336" w:lineRule="exact"/>
      </w:pPr>
    </w:p>
    <w:p>
      <w:pPr>
        <w:spacing w:before="0" w:after="336" w:line="240" w:lineRule="auto"/>
        <w:jc w:val="center"/>
      </w:pPr>
      <w:r>
        <w:rPr>
          <w:b/>
          <w:bCs/>
        </w:rPr>
        <w:t xml:space="preserve">SUPPLEMENT TO PETITION FOR GRANT OF REVIEW</w:t>
      </w:r>
    </w:p>
    <w:p>
      <w:pPr>
        <w:spacing w:before="0" w:after="0" w:line="240" w:lineRule="auto"/>
        <w:jc w:val="center"/>
      </w:pPr>
      <w:r>
        <w:t xml:space="preserve">Crim. App. Dkt. No. ACM 40791</w:t>
      </w:r>
    </w:p>
    <w:p>
      <w:pPr>
        <w:spacing w:before="0" w:after="336" w:line="240" w:lineRule="auto"/>
        <w:jc w:val="center"/>
      </w:pPr>
      <w:r>
        <w:t xml:space="preserve">USCA Dkt. No. 26-0258/AF</w:t>
      </w:r>
    </w:p>
    <w:p>
      <w:pPr>
        <w:spacing w:before="0" w:after="336" w:line="240" w:lineRule="auto"/>
        <w:jc w:val="left"/>
      </w:pPr>
      <w:r>
        <w:t xml:space="preserve">TO THE JUDGES OF THE UNITED STATES COURT OF APPEALS FOR THE ARMED FORCES:</w:t>
      </w:r>
    </w:p>
    <w:tbl>
      <w:tblPr>
        <w:tblpPr w:leftFromText="0" w:rightFromText="0" w:vertAnchor="margin" w:horzAnchor="margin" w:tblpX="0" w:tblpYSpec="bottom"/>
        <w:tblW w:w="9360" w:type="dxa"/>
        <w:tblLayout w:type="fixed"/>
        <w:tblBorders>
          <w:top w:val="nil"/>
          <w:left w:val="nil"/>
          <w:bottom w:val="nil"/>
          <w:right w:val="nil"/>
          <w:insideH w:val="nil"/>
          <w:insideV w:val="nil"/>
        </w:tblBorders>
        <w:tblCellMar>
          <w:left w:w="0" w:type="dxa"/>
          <w:right w:w="0" w:type="dxa"/>
        </w:tblCellMar>
      </w:tblPr>
      <w:tblGrid>
        <w:gridCol w:w="4680"/>
        <w:gridCol w:w="4680"/>
      </w:tblGrid>
      <w:tr>
        <w:trPr>
          <w:cantSplit/>
        </w:trPr>
        <w:tc>
          <w:tcPr>
            <w:tcW w:w="4680" w:type="dxa"/>
          </w:tcPr>
          <w:p>
            <w:pPr>
              <w:spacing w:before="0" w:after="0" w:line="240" w:lineRule="auto"/>
            </w:pPr>
            <w:r>
              <w:t xml:space="preserve">PAIGE F. MARKLEY DENTON, Capt, USAF</w:t>
            </w:r>
          </w:p>
          <w:p>
            <w:pPr>
              <w:spacing w:before="0" w:after="0" w:line="240" w:lineRule="auto"/>
            </w:pPr>
            <w:r>
              <w:rPr>
                <w:i/>
                <w:iCs/>
              </w:rPr>
              <w:t xml:space="preserve">Appellate Defense Counsel</w:t>
            </w:r>
          </w:p>
          <w:p>
            <w:pPr>
              <w:spacing w:before="0" w:after="0" w:line="240" w:lineRule="auto"/>
            </w:pPr>
            <w:r>
              <w:rPr>
                <w:i/>
                <w:iCs/>
              </w:rPr>
              <w:t xml:space="preserve">Air Force Appellate Defense Division</w:t>
            </w:r>
          </w:p>
          <w:p>
            <w:pPr>
              <w:spacing w:before="0" w:after="0" w:line="240" w:lineRule="auto"/>
            </w:pPr>
            <w:r>
              <w:rPr>
                <w:i/>
                <w:iCs/>
              </w:rPr>
              <w:t xml:space="preserve">1500 West Perimeter Road, Suite 1100</w:t>
            </w:r>
          </w:p>
          <w:p>
            <w:pPr>
              <w:spacing w:before="0" w:after="0" w:line="240" w:lineRule="auto"/>
            </w:pPr>
            <w:r>
              <w:rPr>
                <w:i/>
                <w:iCs/>
              </w:rPr>
              <w:t xml:space="preserve">Joint Base Andrews, MD 20762</w:t>
            </w:r>
          </w:p>
          <w:p>
            <w:pPr>
              <w:spacing w:before="0" w:after="0" w:line="240" w:lineRule="auto"/>
            </w:pPr>
            <w:r>
              <w:rPr>
                <w:i/>
                <w:iCs/>
              </w:rPr>
              <w:t xml:space="preserve">240-612-4770</w:t>
            </w:r>
          </w:p>
          <w:p>
            <w:pPr>
              <w:spacing w:before="0" w:after="0" w:line="240" w:lineRule="auto"/>
            </w:pPr>
            <w:r>
              <w:rPr>
                <w:i/>
                <w:iCs/>
              </w:rPr>
              <w:t xml:space="preserve">paige.markley_denton@us.af.mil</w:t>
            </w:r>
          </w:p>
          <w:p>
            <w:pPr>
              <w:spacing w:before="0" w:after="0" w:line="240" w:lineRule="auto"/>
            </w:pPr>
            <w:r>
              <w:rPr>
                <w:i/>
                <w:iCs/>
              </w:rPr>
              <w:t xml:space="preserve">USCAAF Bar Number 38255</w:t>
            </w:r>
          </w:p>
          <w:p>
            <w:pPr>
              <w:spacing w:before="0" w:after="336" w:line="240" w:lineRule="auto"/>
            </w:pPr>
            <w:r>
              <w:rPr>
                <w:i/>
                <w:iCs/>
              </w:rPr>
              <w:t xml:space="preserve">Counsel for Appellant</w:t>
            </w:r>
          </w:p>
        </w:tc>
        <w:tc>
          <w:tcPr>
            <w:tcW w:w="4680" w:type="dxa"/>
          </w:tcPr>
          <w:p/>
        </w:tc>
      </w:tr>
    </w:tbl>
    <w:p>
      <w:pPr>
        <w:spacing w:before="0" w:after="0" w:line="240" w:lineRule="auto"/>
        <w:sectPr>
          <w:pgSz w:w="12240" w:h="15840"/>
          <w:pgMar w:top="1440" w:right="1440" w:bottom="1440" w:left="1440" w:header="720" w:footer="720" w:gutter="0"/>
        </w:sectPr>
      </w:pPr>
    </w:p>
    <w:p>
      <w:pPr>
        <w:keepNext/>
        <w:keepLines/>
        <w:spacing w:before="0" w:after="308" w:line="240" w:lineRule="auto"/>
        <w:jc w:val="center"/>
      </w:pPr>
      <w:r>
        <w:rPr>
          <w:b/>
          <w:bCs/>
        </w:rPr>
        <w:t xml:space="preserve">Index of Brief</w:t>
      </w:r>
    </w:p>
    <w:p>
      <w:pPr>
        <w:spacing w:before="0" w:after="0" w:line="240" w:lineRule="auto"/>
        <w:jc w:val="right"/>
      </w:pPr>
      <w:r>
        <w:rPr>
          <w:b/>
          <w:bCs/>
          <w:u w:val="single"/>
        </w:rPr>
        <w:t xml:space="preserve">Page</w:t>
      </w:r>
    </w:p>
    <w:p>
      <w:pPr>
        <w:tabs>
          <w:tab w:val="right" w:leader="dot" w:pos="9360"/>
        </w:tabs>
        <w:spacing w:before="168" w:after="0" w:line="240" w:lineRule="auto"/>
        <w:ind w:left="720" w:hanging="720"/>
      </w:pPr>
      <w:r>
        <w:t xml:space="preserve">Issue Presented</w:t>
      </w:r>
      <w:r>
        <w:tab/>
      </w:r>
      <w:r>
        <w:t xml:space="preserve">1</w:t>
      </w:r>
    </w:p>
    <w:p>
      <w:pPr>
        <w:tabs>
          <w:tab w:val="right" w:leader="dot" w:pos="9360"/>
        </w:tabs>
        <w:spacing w:before="168" w:after="0" w:line="240" w:lineRule="auto"/>
        <w:ind w:left="720" w:hanging="720"/>
      </w:pPr>
      <w:r>
        <w:t xml:space="preserve">Statement of Statutory Jurisdiction</w:t>
      </w:r>
      <w:r>
        <w:tab/>
      </w:r>
      <w:r>
        <w:t xml:space="preserve">1</w:t>
      </w:r>
    </w:p>
    <w:p>
      <w:pPr>
        <w:tabs>
          <w:tab w:val="right" w:leader="dot" w:pos="9360"/>
        </w:tabs>
        <w:spacing w:before="168" w:after="0" w:line="240" w:lineRule="auto"/>
        <w:ind w:left="720" w:hanging="720"/>
      </w:pPr>
      <w:r>
        <w:t xml:space="preserve">Statement of the Case</w:t>
      </w:r>
      <w:r>
        <w:tab/>
      </w:r>
      <w:r>
        <w:t xml:space="preserve">1</w:t>
      </w:r>
    </w:p>
    <w:p>
      <w:pPr>
        <w:tabs>
          <w:tab w:val="right" w:leader="dot" w:pos="9360"/>
        </w:tabs>
        <w:spacing w:before="168" w:after="0" w:line="240" w:lineRule="auto"/>
        <w:ind w:left="720" w:hanging="720"/>
      </w:pPr>
      <w:r>
        <w:t xml:space="preserve">Statement of Facts</w:t>
      </w:r>
      <w:r>
        <w:tab/>
      </w:r>
      <w:r>
        <w:t xml:space="preserve">2</w:t>
      </w:r>
    </w:p>
    <w:p>
      <w:pPr>
        <w:tabs>
          <w:tab w:val="right" w:leader="dot" w:pos="9360"/>
        </w:tabs>
        <w:spacing w:before="98" w:after="0" w:line="240" w:lineRule="auto"/>
        <w:ind w:left="1440" w:hanging="720"/>
      </w:pPr>
      <w:r>
        <w:t xml:space="preserve">A.</w:t>
      </w:r>
      <w:r>
        <w:tab/>
      </w:r>
      <w:r>
        <w:t xml:space="preserve">During Appellant’s court-martial, multiple judges were detailed to preside over the proceedings.</w:t>
      </w:r>
      <w:r>
        <w:tab/>
      </w:r>
      <w:r>
        <w:t xml:space="preserve">2</w:t>
      </w:r>
    </w:p>
    <w:p>
      <w:pPr>
        <w:tabs>
          <w:tab w:val="right" w:leader="dot" w:pos="9360"/>
        </w:tabs>
        <w:spacing w:before="98" w:after="0" w:line="240" w:lineRule="auto"/>
        <w:ind w:left="1440" w:hanging="720"/>
      </w:pPr>
      <w:r>
        <w:t xml:space="preserve">B.</w:t>
      </w:r>
      <w:r>
        <w:tab/>
      </w:r>
      <w:r>
        <w:t xml:space="preserve">Assignment of Military Judges in the Department of the Air Force.</w:t>
      </w:r>
      <w:r>
        <w:tab/>
      </w:r>
      <w:r>
        <w:t xml:space="preserve">3</w:t>
      </w:r>
    </w:p>
    <w:p>
      <w:pPr>
        <w:tabs>
          <w:tab w:val="right" w:leader="dot" w:pos="9360"/>
        </w:tabs>
        <w:spacing w:before="168" w:after="0" w:line="240" w:lineRule="auto"/>
        <w:ind w:left="720" w:hanging="720"/>
      </w:pPr>
      <w:r>
        <w:t xml:space="preserve">Argument</w:t>
      </w:r>
      <w:r>
        <w:tab/>
      </w:r>
      <w:r>
        <w:t xml:space="preserve">4</w:t>
      </w:r>
    </w:p>
    <w:p>
      <w:pPr>
        <w:tabs>
          <w:tab w:val="right" w:leader="dot" w:pos="9360"/>
        </w:tabs>
        <w:spacing w:before="98" w:after="0" w:line="240" w:lineRule="auto"/>
        <w:ind w:left="720" w:hanging="720"/>
      </w:pPr>
      <w:r>
        <w:t xml:space="preserve">I.</w:t>
      </w:r>
      <w:r>
        <w:tab/>
      </w:r>
      <w:r>
        <w:t xml:space="preserve">Because Appellant’s court-martial was composed incorrectly due to the military judges’ lack of qualifications under R.C.M. 502(c)(3), it lacked jurisdiction under R.C.M. 201(b)(2) and its judgment is void.</w:t>
      </w:r>
      <w:r>
        <w:tab/>
      </w:r>
      <w:r>
        <w:t xml:space="preserve">5</w:t>
      </w:r>
    </w:p>
    <w:p>
      <w:pPr>
        <w:tabs>
          <w:tab w:val="right" w:leader="dot" w:pos="9360"/>
        </w:tabs>
        <w:spacing w:before="98" w:after="0" w:line="240" w:lineRule="auto"/>
        <w:ind w:left="1440" w:hanging="720"/>
      </w:pPr>
      <w:r>
        <w:t xml:space="preserve">A.</w:t>
      </w:r>
      <w:r>
        <w:tab/>
      </w:r>
      <w:r>
        <w:t xml:space="preserve">A lack of preservation does not bar this Court from considering this jurisdictional defect and dismissing the charges against Appellant.</w:t>
      </w:r>
      <w:r>
        <w:tab/>
      </w:r>
      <w:r>
        <w:t xml:space="preserve">5</w:t>
      </w:r>
    </w:p>
    <w:p>
      <w:pPr>
        <w:tabs>
          <w:tab w:val="right" w:leader="dot" w:pos="9360"/>
        </w:tabs>
        <w:spacing w:before="98" w:after="0" w:line="240" w:lineRule="auto"/>
        <w:ind w:left="1440" w:hanging="720"/>
      </w:pPr>
      <w:r>
        <w:t xml:space="preserve">B.</w:t>
      </w:r>
      <w:r>
        <w:tab/>
      </w:r>
      <w:r>
        <w:t xml:space="preserve">Standard of Review and Applicable Legal Test</w:t>
      </w:r>
      <w:r>
        <w:tab/>
      </w:r>
      <w:r>
        <w:t xml:space="preserve">6</w:t>
      </w:r>
    </w:p>
    <w:p>
      <w:pPr>
        <w:tabs>
          <w:tab w:val="right" w:leader="dot" w:pos="9360"/>
        </w:tabs>
        <w:spacing w:before="168" w:after="0" w:line="240" w:lineRule="auto"/>
        <w:ind w:left="720" w:hanging="720"/>
      </w:pPr>
      <w:r>
        <w:t xml:space="preserve">Conclusion</w:t>
      </w:r>
      <w:r>
        <w:tab/>
      </w:r>
      <w:r>
        <w:t xml:space="preserve">7</w:t>
      </w:r>
    </w:p>
    <w:p>
      <w:r>
        <w:br w:type="page"/>
      </w:r>
    </w:p>
    <w:p>
      <w:pPr>
        <w:keepNext/>
        <w:keepLines/>
        <w:tabs>
          <w:tab w:val="right" w:leader="dot" w:pos="9360"/>
        </w:tabs>
        <w:spacing w:before="420" w:after="308" w:line="240" w:lineRule="auto"/>
        <w:jc w:val="center"/>
      </w:pPr>
      <w:r>
        <w:rPr>
          <w:b/>
          <w:bCs/>
        </w:rPr>
        <w:t xml:space="preserve">Table of Cases, Statutes, and Other Authorities</w:t>
      </w:r>
    </w:p>
    <w:p>
      <w:pPr>
        <w:keepNext/>
        <w:keepLines/>
        <w:tabs>
          <w:tab w:val="right" w:pos="9360"/>
        </w:tabs>
        <w:spacing w:before="280" w:after="56" w:line="240" w:lineRule="auto"/>
      </w:pPr>
      <w:r>
        <w:rPr>
          <w:b/>
          <w:bCs/>
        </w:rPr>
        <w:t xml:space="preserve">Court of Appeals for the Armed Forces and Court of Military Appeals</w:t>
      </w:r>
      <w:r>
        <w:tab/>
      </w:r>
      <w:r>
        <w:rPr>
          <w:b/>
          <w:bCs/>
          <w:u w:val="single"/>
        </w:rPr>
        <w:t xml:space="preserve">Page(s)</w:t>
      </w:r>
    </w:p>
    <w:p>
      <w:pPr>
        <w:tabs>
          <w:tab w:val="right" w:leader="dot" w:pos="9360"/>
        </w:tabs>
        <w:spacing w:before="196" w:after="0" w:line="240" w:lineRule="auto"/>
        <w:ind w:left="504" w:hanging="504"/>
      </w:pPr>
      <w:r>
        <w:rPr>
          <w:i/>
          <w:iCs/>
        </w:rPr>
        <w:t xml:space="preserve">United States v. Harmon</w:t>
      </w:r>
      <w:r>
        <w:t xml:space="preserve">, </w:t>
      </w:r>
      <w:r>
        <w:t xml:space="preserve">63 M.J. 98, 101 (C.A.A.F. 2006)</w:t>
      </w:r>
      <w:r>
        <w:tab/>
      </w:r>
      <w:r>
        <w:t xml:space="preserve">6</w:t>
      </w:r>
    </w:p>
    <w:p>
      <w:pPr>
        <w:tabs>
          <w:tab w:val="right" w:leader="dot" w:pos="9360"/>
        </w:tabs>
        <w:spacing w:before="196" w:after="0" w:line="240" w:lineRule="auto"/>
        <w:ind w:left="504" w:hanging="504"/>
      </w:pPr>
      <w:r>
        <w:rPr>
          <w:i/>
          <w:iCs/>
        </w:rPr>
        <w:t xml:space="preserve">United States v. Reid</w:t>
      </w:r>
      <w:r>
        <w:t xml:space="preserve">, </w:t>
      </w:r>
      <w:r>
        <w:t xml:space="preserve">46 M.J. 236, 240 (C.A.A.F. 1997)</w:t>
      </w:r>
      <w:r>
        <w:tab/>
      </w:r>
      <w:r>
        <w:t xml:space="preserve">5</w:t>
      </w:r>
    </w:p>
    <w:p>
      <w:pPr>
        <w:keepNext/>
        <w:keepLines/>
        <w:tabs>
          <w:tab w:val="right" w:pos="9360"/>
        </w:tabs>
        <w:spacing w:before="392" w:after="56" w:line="240" w:lineRule="auto"/>
      </w:pPr>
      <w:r>
        <w:rPr>
          <w:b/>
          <w:bCs/>
        </w:rPr>
        <w:t xml:space="preserve">Statutes</w:t>
      </w:r>
    </w:p>
    <w:p>
      <w:pPr>
        <w:tabs>
          <w:tab w:val="right" w:leader="dot" w:pos="9360"/>
        </w:tabs>
        <w:spacing w:before="196" w:after="0" w:line="240" w:lineRule="auto"/>
        <w:ind w:left="504" w:hanging="504"/>
      </w:pPr>
      <w:r>
        <w:t xml:space="preserve">Article 66(b)(3), UCMJ, 10 U.S.C. § 866(b)(3)</w:t>
      </w:r>
      <w:r>
        <w:tab/>
      </w:r>
      <w:r>
        <w:t xml:space="preserve">1</w:t>
      </w:r>
    </w:p>
    <w:p>
      <w:pPr>
        <w:tabs>
          <w:tab w:val="right" w:leader="dot" w:pos="9360"/>
        </w:tabs>
        <w:spacing w:before="196" w:after="0" w:line="240" w:lineRule="auto"/>
        <w:ind w:left="504" w:hanging="504"/>
      </w:pPr>
      <w:r>
        <w:t xml:space="preserve">Article 67, UCMJ, 10 U.S.C. § 867</w:t>
      </w:r>
      <w:r>
        <w:tab/>
      </w:r>
      <w:r>
        <w:t xml:space="preserve">1</w:t>
      </w:r>
    </w:p>
    <w:p>
      <w:pPr>
        <w:tabs>
          <w:tab w:val="right" w:leader="dot" w:pos="9360"/>
        </w:tabs>
        <w:spacing w:before="196" w:after="0" w:line="240" w:lineRule="auto"/>
        <w:ind w:left="504" w:hanging="504"/>
      </w:pPr>
      <w:r>
        <w:t xml:space="preserve">Article 80, UCMJ, 10 U.S.C. § 880</w:t>
      </w:r>
      <w:r>
        <w:tab/>
      </w:r>
      <w:r>
        <w:t xml:space="preserve">1</w:t>
      </w:r>
    </w:p>
    <w:p>
      <w:pPr>
        <w:keepNext/>
        <w:keepLines/>
        <w:tabs>
          <w:tab w:val="right" w:pos="9360"/>
        </w:tabs>
        <w:spacing w:before="392" w:after="56" w:line="240" w:lineRule="auto"/>
      </w:pPr>
      <w:r>
        <w:rPr>
          <w:b/>
          <w:bCs/>
        </w:rPr>
        <w:t xml:space="preserve">Rules and Other Authorities</w:t>
      </w:r>
    </w:p>
    <w:p>
      <w:pPr>
        <w:tabs>
          <w:tab w:val="right" w:leader="dot" w:pos="9360"/>
        </w:tabs>
        <w:spacing w:before="196" w:after="0" w:line="240" w:lineRule="auto"/>
        <w:ind w:left="504" w:hanging="504"/>
      </w:pPr>
      <w:r>
        <w:t xml:space="preserve">C.A.A.F. R. 21(b)(5)(A)</w:t>
      </w:r>
      <w:r>
        <w:tab/>
      </w:r>
      <w:r>
        <w:t xml:space="preserve">4</w:t>
      </w:r>
    </w:p>
    <w:p>
      <w:pPr>
        <w:tabs>
          <w:tab w:val="right" w:leader="dot" w:pos="9360"/>
        </w:tabs>
        <w:spacing w:before="196" w:after="0" w:line="240" w:lineRule="auto"/>
        <w:ind w:left="504" w:hanging="504"/>
      </w:pPr>
      <w:r>
        <w:t xml:space="preserve">R.C.M. 502(c)(3)</w:t>
      </w:r>
      <w:r>
        <w:tab/>
      </w:r>
      <w:r>
        <w:t xml:space="preserve">3, 4, 7</w:t>
      </w:r>
    </w:p>
    <w:p>
      <w:pPr>
        <w:tabs>
          <w:tab w:val="right" w:leader="dot" w:pos="9360"/>
        </w:tabs>
        <w:spacing w:before="196" w:after="0" w:line="240" w:lineRule="auto"/>
        <w:ind w:left="504" w:hanging="504"/>
      </w:pPr>
      <w:r>
        <w:t xml:space="preserve">R.C.M. 907(b)(1), MCM (2024 ed.)</w:t>
      </w:r>
      <w:r>
        <w:tab/>
      </w:r>
      <w:r>
        <w:t xml:space="preserve">1, 6</w:t>
      </w:r>
    </w:p>
    <w:p>
      <w:pPr>
        <w:spacing w:before="0" w:after="0" w:line="240" w:lineRule="auto"/>
        <w:sectPr>
          <w:footerReference w:type="default" r:id="rId100"/>
          <w:pgSz w:w="12240" w:h="15840"/>
          <w:pgMar w:top="1440" w:right="1440" w:bottom="1440" w:left="1440" w:header="720" w:footer="720" w:gutter="0"/>
          <w:pgNumType w:fmt="lowerRoman" w:start="1"/>
        </w:sectPr>
      </w:pPr>
    </w:p>
    <w:p>
      <w:pPr>
        <w:pStyle w:val="SectionHeadTop"/>
      </w:pPr>
      <w:r>
        <w:rPr>
          <w:b/>
          <w:bCs/>
        </w:rPr>
        <w:t xml:space="preserve">Issue Presented</w:t>
      </w:r>
    </w:p>
    <w:p>
      <w:pPr>
        <w:pStyle w:val="FirstParagraph"/>
      </w:pPr>
      <w:r>
        <w:rPr>
          <w:b/>
          <w:bCs/>
        </w:rPr>
        <w:t xml:space="preserve">Did Appellant’s court-martial lack jurisdiction due to the military judges’ lack of qualifications under Rule for Courts-Martial 502(c)(3) because they were not serving for a “term” of at least three years?</w:t>
      </w:r>
    </w:p>
    <w:p>
      <w:pPr>
        <w:pStyle w:val="SectionHead"/>
      </w:pPr>
      <w:r>
        <w:rPr>
          <w:b/>
          <w:bCs/>
        </w:rPr>
        <w:t xml:space="preserve">Statement of Statutory Jurisdiction</w:t>
      </w:r>
    </w:p>
    <w:p>
      <w:pPr>
        <w:pStyle w:val="BodyText"/>
      </w:pPr>
      <w:r>
        <w:t xml:space="preserve">Airman First Class (A1C) Keith A. Cooper’s approved sentence includes a dishonorable discharge. Accordingly, the Air Force Court of Criminal Appeals (AFCCA) had jurisdiction pursuant to</w:t>
      </w:r>
      <w:r>
        <w:t xml:space="preserve"> </w:t>
      </w:r>
      <w:r>
        <w:t xml:space="preserve">Article 66(b)(3), Uniform Code of Military Justice (UCMJ), 10 U.S.C. § 866(b)(3)</w:t>
      </w:r>
      <w:r>
        <w:t xml:space="preserve">. A1C Cooper, Appellant, now invokes this Court’s</w:t>
      </w:r>
      <w:r>
        <w:t xml:space="preserve"> </w:t>
      </w:r>
      <w:r>
        <w:t xml:space="preserve">Article 67, UCMJ, 10 U.S.C. § 867</w:t>
      </w:r>
      <w:r>
        <w:t xml:space="preserve"> </w:t>
      </w:r>
      <w:r>
        <w:t xml:space="preserve">jurisdiction. Appellant, for the first time, challenges the trial court’s jurisdiction to adjudicate his case. Jurisdiction is nonwaivable and can be raised at any time,</w:t>
      </w:r>
      <w:r>
        <w:t xml:space="preserve"> </w:t>
      </w:r>
      <w:r>
        <w:t xml:space="preserve">R.C.M. 907(b)(1), Manual for Courts-Martial, United States (MCM) (2024 ed.)</w:t>
      </w:r>
      <w:r>
        <w:t xml:space="preserve">, giving this Court the ability to address this issue now.</w:t>
      </w:r>
    </w:p>
    <w:p>
      <w:pPr>
        <w:pStyle w:val="SectionHead"/>
      </w:pPr>
      <w:r>
        <w:rPr>
          <w:b/>
          <w:bCs/>
        </w:rPr>
        <w:t xml:space="preserve">Statement of the Case</w:t>
      </w:r>
    </w:p>
    <w:p>
      <w:pPr>
        <w:pStyle w:val="BodyText"/>
      </w:pPr>
      <w:r>
        <w:t xml:space="preserve">A panel of members with enlisted representation sitting as a general court-martial convicted Appellant, United States Air Force, contrary to his pleas, of one specification of attempted sexual assault of child, in violation of</w:t>
      </w:r>
      <w:r>
        <w:t xml:space="preserve"> </w:t>
      </w:r>
      <w:r>
        <w:t xml:space="preserve">Article 80, UCMJ, 10 U.S.C § 880</w:t>
      </w:r>
      <w:r>
        <w:t xml:space="preserve">. Trial Tr. 1, 53, 55, 59, 510. The military judge sentenced him to be reprimanded, to be reduced to the grade of E-1, to be confined for one year, and to be discharged with a dishonorable discharge. Trial Tr. 512, 549. The convening authority took no action on the findings or the sentence. Convening Authority Decision on Action (Oct. 28, 2024).</w:t>
      </w:r>
    </w:p>
    <w:p>
      <w:pPr>
        <w:pStyle w:val="BodyText"/>
      </w:pPr>
      <w:r>
        <w:t xml:space="preserve">On June 16, 2026, the lower court affirmed the findings and sentence. No motion for reconsideration was filed. Appellant timely petitioned this Court for review on August 10, 2026, and moved to file the supplement to the petition subsequently. This Court granted the motion to file subsequently and set the filing deadline for this supplement as September 1, 2026.</w:t>
      </w:r>
    </w:p>
    <w:p>
      <w:pPr>
        <w:pStyle w:val="SectionHead"/>
      </w:pPr>
      <w:r>
        <w:rPr>
          <w:b/>
          <w:bCs/>
        </w:rPr>
        <w:t xml:space="preserve">Statement of Facts</w:t>
      </w:r>
    </w:p>
    <w:p>
      <w:pPr>
        <w:pStyle w:val="Hang1"/>
      </w:pPr>
      <w:r>
        <w:rPr>
          <w:b/>
          <w:bCs/>
        </w:rPr>
        <w:t xml:space="preserve">A.</w:t>
      </w:r>
      <w:r>
        <w:tab/>
      </w:r>
      <w:r>
        <w:rPr>
          <w:b/>
          <w:bCs/>
        </w:rPr>
        <w:t xml:space="preserve">During Appellant’s court-martial, multiple judges were detailed to preside over the proceedings.</w:t>
      </w:r>
    </w:p>
    <w:p>
      <w:pPr>
        <w:pStyle w:val="BodyText"/>
      </w:pPr>
      <w:r>
        <w:t xml:space="preserve">Five military judges were detailed to Appellant’s general court-martial. First, Judge Matthew P. Stoffel issued a Scheduling Order on May 18, 2023, App. Ex. I, and presided over Appellant’s first arraignment at Canon Air Force Base, New Mexico, on May 24, 2023. Trial Tr. 1, 2, 8.</w:t>
      </w:r>
    </w:p>
    <w:p>
      <w:pPr>
        <w:pStyle w:val="BodyText"/>
      </w:pPr>
      <w:r>
        <w:t xml:space="preserve">Second, Judge Lance R. Smith was detailed in place of Judge Stoffel. Trial Tr. 16. Judge Smith never presided over any court-martial session.</w:t>
      </w:r>
      <w:r>
        <w:t xml:space="preserve"> </w:t>
      </w:r>
      <w:r>
        <w:rPr>
          <w:i/>
          <w:iCs/>
        </w:rPr>
        <w:t xml:space="preserve">Id.</w:t>
      </w:r>
      <w:r>
        <w:t xml:space="preserve"> </w:t>
      </w:r>
      <w:r>
        <w:t xml:space="preserve">In the time he presided over Appellant’s case, Judge Smith ordered “an inquiry into the mental capacity and mental responsibility of” Appellant, App. Ex. XIX, issued a protective order, App. Ex. XI, issued a revised scheduling order, App. Ex. XV, and made four motions rulings via email. App. Ex. VII; App. Ex. IX; App. Ex. XIV; App. Ex. XVII.</w:t>
      </w:r>
    </w:p>
    <w:p>
      <w:pPr>
        <w:pStyle w:val="BodyText"/>
      </w:pPr>
      <w:r>
        <w:t xml:space="preserve">Third, Judge Lauren Torczynski, detailed in place of Judge Smith, arraigned Appellant again on June 20, 2024, and presided over the motions hearing. Trial Tr. 11, 16. Judge Torczynski ruled on three motions. App. Ex. XXV; App. Ex. XXVI; App. Ex. XXVII.</w:t>
      </w:r>
    </w:p>
    <w:p>
      <w:pPr>
        <w:pStyle w:val="BodyText"/>
      </w:pPr>
      <w:r>
        <w:t xml:space="preserve">Fourth, Judge Brian Thompson was detailed to Appellant’s court-martial in place of Judge Torczynski on September 24, 2024. App. Ex. XXVIII. Later that same day, a fifth military judge was detailed in place of Judge Thompson, Judge James P. Ferrell, App. Ex. XXIX. Judge Thompson remained involved as an observer. Trial Tr. 48. Judge Ferrell arraigned Appellant for a third time on September 30, 2024, and presided over the rest of the court-martial. Trial Tr. 59.</w:t>
      </w:r>
    </w:p>
    <w:p>
      <w:pPr>
        <w:pStyle w:val="Hang1"/>
      </w:pPr>
      <w:r>
        <w:rPr>
          <w:b/>
          <w:bCs/>
        </w:rPr>
        <w:t xml:space="preserve">B.</w:t>
      </w:r>
      <w:r>
        <w:tab/>
      </w:r>
      <w:r>
        <w:rPr>
          <w:b/>
          <w:bCs/>
        </w:rPr>
        <w:t xml:space="preserve">Assignment of Military Judges in the Department of the Air Force.</w:t>
      </w:r>
    </w:p>
    <w:p>
      <w:pPr>
        <w:pStyle w:val="BodyText"/>
      </w:pPr>
      <w:r>
        <w:t xml:space="preserve">Since January 1, 2019,</w:t>
      </w:r>
      <w:r>
        <w:t xml:space="preserve"> </w:t>
      </w:r>
      <w:r>
        <w:t xml:space="preserve">R.C.M. 502(c)(3)</w:t>
      </w:r>
      <w:r>
        <w:t xml:space="preserve"> </w:t>
      </w:r>
      <w:r>
        <w:t xml:space="preserve">has provided that a “person assigned for duty as a military judge shall serve as a military judge for a term of not less than three years, subject to such provisions for reassignment as may be prescribed in regulations issued by the Secretary concerned.” Nothing in the record of Appellant’s trial indicates whether any of his five military judges were “serv[ing] as a military judge for a term of not less than three years.”</w:t>
      </w:r>
      <w:r>
        <w:t xml:space="preserve"> </w:t>
      </w:r>
      <w:r>
        <w:rPr>
          <w:i/>
          <w:iCs/>
        </w:rPr>
        <w:t xml:space="preserve">Id.</w:t>
      </w:r>
      <w:r>
        <w:t xml:space="preserve">; see generally App. Ex. I; App. Ex. XV; App. Ex. XXVIII; App. Ex. XXIX. Neither trial counsel nor trial defense counsel questioned any of the military judges about whether their assignment to serve as a military judge complied with</w:t>
      </w:r>
      <w:r>
        <w:t xml:space="preserve"> </w:t>
      </w:r>
      <w:r>
        <w:t xml:space="preserve">R.C.M. 502(c)(3)</w:t>
      </w:r>
      <w:r>
        <w:t xml:space="preserve">. See Trial Tr. 53.</w:t>
      </w:r>
    </w:p>
    <w:p>
      <w:pPr>
        <w:pStyle w:val="BodyText"/>
      </w:pPr>
      <w:r>
        <w:t xml:space="preserve">R.C.M. 502(c)(3)</w:t>
      </w:r>
      <w:r>
        <w:t xml:space="preserve"> </w:t>
      </w:r>
      <w:r>
        <w:t xml:space="preserve">acknowledges that the Secretaries of the military services may prescribe “provisions for reassignment . . . in regulations.” Indeed, the Secretary of the Air Force and his designees have issued many regulations for the Department of the Air Force, including its Judge Advocate General’s Corps. One of them, Department of the Air Force Instruction 51-101 provides:</w:t>
      </w:r>
    </w:p>
    <w:p>
      <w:pPr>
        <w:pStyle w:val="BlockText"/>
      </w:pPr>
      <w:r>
        <w:t xml:space="preserve">11.6.1. Military judges will be assigned to the trial judiciary or Air Force Court of Criminal Appeals for a minimum of three years, except under the following circumstances:</w:t>
      </w:r>
    </w:p>
    <w:p>
      <w:pPr>
        <w:pStyle w:val="BlockText"/>
      </w:pPr>
      <w:r>
        <w:t xml:space="preserve">11.6.1.1. The military judge voluntarily requests to be reassigned to other duties, and the request is consistent with mission needs;</w:t>
      </w:r>
    </w:p>
    <w:p>
      <w:pPr>
        <w:pStyle w:val="BlockText"/>
      </w:pPr>
      <w:r>
        <w:t xml:space="preserve">11.6.1.2. The military judge is selected for promotion to the next higher grade and is assigned to duties commensurate with that grade;</w:t>
      </w:r>
    </w:p>
    <w:p>
      <w:pPr>
        <w:pStyle w:val="BlockText"/>
      </w:pPr>
      <w:r>
        <w:t xml:space="preserve">11.6.1.3. The military judge is reassigned to other duties based on compelling needs of the service;</w:t>
      </w:r>
    </w:p>
    <w:p>
      <w:pPr>
        <w:pStyle w:val="BlockText"/>
      </w:pPr>
      <w:r>
        <w:t xml:space="preserve">11.6.1.4. TJAG revokes the military judge’s certification for good cause; or</w:t>
      </w:r>
    </w:p>
    <w:p>
      <w:pPr>
        <w:pStyle w:val="BlockText"/>
      </w:pPr>
      <w:r>
        <w:t xml:space="preserve">11.6.1.5. The military judge retires or separates from the Service.</w:t>
      </w:r>
    </w:p>
    <w:p>
      <w:pPr>
        <w:pStyle w:val="FirstParagraph"/>
      </w:pPr>
      <w:r>
        <w:rPr>
          <w:i/>
          <w:iCs/>
        </w:rPr>
        <w:t xml:space="preserve">Id.</w:t>
      </w:r>
      <w:r>
        <w:t xml:space="preserve"> </w:t>
      </w:r>
      <w:r>
        <w:t xml:space="preserve">at ¶ 11.6.1.</w:t>
      </w:r>
    </w:p>
    <w:p>
      <w:pPr>
        <w:pStyle w:val="SectionHead"/>
      </w:pPr>
      <w:r>
        <w:rPr>
          <w:b/>
          <w:bCs/>
        </w:rPr>
        <w:t xml:space="preserve">Argument</w:t>
      </w:r>
    </w:p>
    <w:p>
      <w:pPr>
        <w:pStyle w:val="BodyText"/>
      </w:pPr>
      <w:r>
        <w:t xml:space="preserve">There is good cause to grant Appellant’s petition for review because this case presents a question of law that has not been, but should be, settled by this Court.</w:t>
      </w:r>
      <w:r>
        <w:t xml:space="preserve"> </w:t>
      </w:r>
      <w:r>
        <w:t xml:space="preserve">C.A.A.F. R. 21(b)(5)(A)</w:t>
      </w:r>
      <w:r>
        <w:t xml:space="preserve">. This case offers a compelling vehicle for this Court to resolve whether the Air Force’s assignment of military judges complies with the qualification standard the President established in</w:t>
      </w:r>
      <w:r>
        <w:t xml:space="preserve"> </w:t>
      </w:r>
      <w:r>
        <w:t xml:space="preserve">R.C.M. 502(c)(3)</w:t>
      </w:r>
      <w:r>
        <w:t xml:space="preserve">. This Court should address this issue now to give military justice practitioners a clear interpretation of</w:t>
      </w:r>
      <w:r>
        <w:t xml:space="preserve"> </w:t>
      </w:r>
      <w:r>
        <w:t xml:space="preserve">R.C.M. 502(c)(3)</w:t>
      </w:r>
      <w:r>
        <w:t xml:space="preserve"> </w:t>
      </w:r>
      <w:r>
        <w:t xml:space="preserve">and how a lack of compliance with that rule affects court-martial jurisdiction, encouraging necessary reform to this aspect of the military justice system.</w:t>
      </w:r>
    </w:p>
    <w:p>
      <w:pPr>
        <w:pStyle w:val="BodyText"/>
      </w:pPr>
      <w:r>
        <w:t xml:space="preserve">This Court’s consideration of this issue is particularly appropriate because it is not Air Force-specific. The Department of the Army has the same issue, relying on its admission to Mr. Fidell that “appointments [of military judges in the Army] are open ended, without pre-determined end dates.” It would be fitting for this Court to resolve this issue, since it affects at least two military departments—perhaps more.</w:t>
      </w:r>
    </w:p>
    <w:p>
      <w:pPr>
        <w:pStyle w:val="PointHead"/>
      </w:pPr>
      <w:r>
        <w:rPr>
          <w:b/>
          <w:b/>
          <w:bCs/>
          <w:bCs/>
        </w:rPr>
        <w:t xml:space="preserve">I.</w:t>
      </w:r>
      <w:r>
        <w:rPr>
          <w:b/>
          <w:b/>
          <w:bCs/>
          <w:bCs/>
        </w:rPr>
        <w:t xml:space="preserve"> </w:t>
      </w:r>
      <w:r>
        <w:rPr>
          <w:b/>
          <w:bCs/>
        </w:rPr>
        <w:t xml:space="preserve">Because Appellant’s court-martial was composed incorrectly due to the military judges’ lack of qualifications under R.C.M. 502(c)(3), it lacked jurisdiction under R.C.M. 201(b)(2) and its judgment is void.</w:t>
      </w:r>
    </w:p>
    <w:p>
      <w:pPr>
        <w:pStyle w:val="Hang1"/>
      </w:pPr>
      <w:r>
        <w:rPr>
          <w:b/>
          <w:bCs/>
        </w:rPr>
        <w:t xml:space="preserve">A.</w:t>
      </w:r>
      <w:r>
        <w:tab/>
      </w:r>
      <w:r>
        <w:rPr>
          <w:b/>
          <w:bCs/>
        </w:rPr>
        <w:t xml:space="preserve">A lack of preservation does not bar this Court from considering this jurisdictional defect and dismissing the charges against Appellant.</w:t>
      </w:r>
    </w:p>
    <w:p>
      <w:pPr>
        <w:pStyle w:val="BodyText"/>
      </w:pPr>
      <w:r>
        <w:t xml:space="preserve">As a threshold manner, Appellant acknowledges that he did not raise this issue at trial nor on appeal to the AFCCA. But because this issue is jurisdictional, it may be raised for the first time on appeal. Jurisdictional challenges are “never waived and may be raised at any stage of the proceedings.”</w:t>
      </w:r>
      <w:r>
        <w:t xml:space="preserve"> </w:t>
      </w:r>
      <w:r>
        <w:rPr>
          <w:i/>
          <w:iCs/>
        </w:rPr>
        <w:t xml:space="preserve">United States v. Reid</w:t>
      </w:r>
      <w:r>
        <w:t xml:space="preserve">, 46 M.J. 236, 240 (C.A.A.F. 1997)</w:t>
      </w:r>
      <w:r>
        <w:t xml:space="preserve"> </w:t>
      </w:r>
      <w:r>
        <w:t xml:space="preserve">(quoting</w:t>
      </w:r>
      <w:r>
        <w:t xml:space="preserve"> </w:t>
      </w:r>
      <w:r>
        <w:rPr>
          <w:i/>
          <w:iCs/>
        </w:rPr>
        <w:t xml:space="preserve">United States v. Reid</w:t>
      </w:r>
      <w:r>
        <w:t xml:space="preserve">, 43 M.J. 906, 910 (A. Ct. Crim. App. 1996));</w:t>
      </w:r>
      <w:r>
        <w:t xml:space="preserve"> </w:t>
      </w:r>
      <w:r>
        <w:rPr>
          <w:i/>
          <w:iCs/>
        </w:rPr>
        <w:t xml:space="preserve">see also</w:t>
      </w:r>
      <w:r>
        <w:t xml:space="preserve"> </w:t>
      </w:r>
      <w:r>
        <w:t xml:space="preserve">R.C.M. 907(b)(1)</w:t>
      </w:r>
      <w:r>
        <w:t xml:space="preserve">.</w:t>
      </w:r>
    </w:p>
    <w:p>
      <w:pPr>
        <w:pStyle w:val="BodyText"/>
      </w:pPr>
      <w:r>
        <w:t xml:space="preserve">If this Honorable Court declines to grant review on the basis that no lower court has yet addressed this issue, Appellant respectfully requests that his case be remanded to the AFCCA for consideration of this issue. Because this issue goes to the heart of his court-martial and the military judges who presided over it, it should be considered before Appellant’s case becomes final.</w:t>
      </w:r>
    </w:p>
    <w:p>
      <w:pPr>
        <w:pStyle w:val="Hang1"/>
      </w:pPr>
      <w:r>
        <w:rPr>
          <w:b/>
          <w:bCs/>
        </w:rPr>
        <w:t xml:space="preserve">B.</w:t>
      </w:r>
      <w:r>
        <w:tab/>
      </w:r>
      <w:r>
        <w:rPr>
          <w:b/>
          <w:bCs/>
        </w:rPr>
        <w:t xml:space="preserve">Standard of Review and Applicable Legal Test</w:t>
      </w:r>
    </w:p>
    <w:p>
      <w:pPr>
        <w:pStyle w:val="BodyText"/>
      </w:pPr>
      <w:r>
        <w:t xml:space="preserve">“Jurisdiction is the power of a court to try and determine a case and to render a valid judgment.”</w:t>
      </w:r>
      <w:r>
        <w:t xml:space="preserve"> </w:t>
      </w:r>
      <w:r>
        <w:rPr>
          <w:i/>
          <w:iCs/>
        </w:rPr>
        <w:t xml:space="preserve">United States v. Harmon</w:t>
      </w:r>
      <w:r>
        <w:t xml:space="preserve">, 63 M.J. 98, 101 (C.A.A.F. 2006)</w:t>
      </w:r>
      <w:r>
        <w:t xml:space="preserve">.</w:t>
      </w:r>
    </w:p>
    <w:p>
      <w:pPr>
        <w:pStyle w:val="SectionHead"/>
      </w:pPr>
      <w:r>
        <w:rPr>
          <w:b/>
          <w:bCs/>
        </w:rPr>
        <w:t xml:space="preserve">Conclusion</w:t>
      </w:r>
    </w:p>
    <w:p>
      <w:pPr>
        <w:pStyle w:val="KeepBody"/>
      </w:pPr>
      <w:r>
        <w:t xml:space="preserve">Appellant requests that this Honorable Court grant review of his case to clarify the requirements of</w:t>
      </w:r>
      <w:r>
        <w:t xml:space="preserve"> </w:t>
      </w:r>
      <w:r>
        <w:t xml:space="preserve">R.C.M. 502(c)(3)</w:t>
      </w:r>
      <w:r>
        <w:t xml:space="preserve"> </w:t>
      </w:r>
      <w:r>
        <w:t xml:space="preserve">and to settle this jurisdictional question. Alternatively, Appellant requests that this Honorable Court remand his case to the AFCCA for its consideration of this jurisdictional defect.</w:t>
      </w:r>
    </w:p>
    <w:p>
      <w:pPr>
        <w:keepNext/>
        <w:keepLines/>
        <w:spacing w:before="392" w:after="140" w:line="240" w:lineRule="auto"/>
        <w:ind w:left="4680" w:firstLine="0"/>
      </w:pPr>
      <w:r>
        <w:t xml:space="preserve">/s/ PAIGE F. MARKLEY DENTON, Capt, USAF</w:t>
      </w:r>
    </w:p>
    <w:p>
      <w:pPr>
        <w:keepNext/>
        <w:keepLines/>
        <w:spacing w:before="0" w:after="0" w:line="240" w:lineRule="auto"/>
        <w:ind w:left="4680" w:firstLine="0"/>
      </w:pPr>
      <w:r>
        <w:t xml:space="preserve">Appellate Defense Counsel</w:t>
      </w:r>
    </w:p>
    <w:p>
      <w:pPr>
        <w:keepNext/>
        <w:keepLines/>
        <w:spacing w:before="0" w:after="0" w:line="240" w:lineRule="auto"/>
        <w:ind w:left="4680" w:firstLine="0"/>
      </w:pPr>
      <w:r>
        <w:t xml:space="preserve">Air Force Appellate Defense Division</w:t>
      </w:r>
    </w:p>
    <w:p>
      <w:pPr>
        <w:keepNext/>
        <w:keepLines/>
        <w:spacing w:before="0" w:after="0" w:line="240" w:lineRule="auto"/>
        <w:ind w:left="4680" w:firstLine="0"/>
      </w:pPr>
      <w:r>
        <w:t xml:space="preserve">1500 West Perimeter Road, Suite 1100</w:t>
      </w:r>
    </w:p>
    <w:p>
      <w:pPr>
        <w:keepNext/>
        <w:keepLines/>
        <w:spacing w:before="0" w:after="0" w:line="240" w:lineRule="auto"/>
        <w:ind w:left="4680" w:firstLine="0"/>
      </w:pPr>
      <w:r>
        <w:t xml:space="preserve">Joint Base Andrews, MD 20762</w:t>
      </w:r>
    </w:p>
    <w:p>
      <w:pPr>
        <w:keepNext/>
        <w:keepLines/>
        <w:spacing w:before="0" w:after="0" w:line="240" w:lineRule="auto"/>
        <w:ind w:left="4680" w:firstLine="0"/>
      </w:pPr>
      <w:r>
        <w:t xml:space="preserve">240-612-4770</w:t>
      </w:r>
    </w:p>
    <w:p>
      <w:pPr>
        <w:keepNext/>
        <w:keepLines/>
        <w:spacing w:before="0" w:after="0" w:line="240" w:lineRule="auto"/>
        <w:ind w:left="4680" w:firstLine="0"/>
      </w:pPr>
      <w:r>
        <w:t xml:space="preserve">paige.markley_denton@us.af.mil</w:t>
      </w:r>
    </w:p>
    <w:p>
      <w:pPr>
        <w:keepNext/>
        <w:keepLines/>
        <w:spacing w:before="0" w:after="0" w:line="240" w:lineRule="auto"/>
        <w:ind w:left="4680" w:firstLine="0"/>
      </w:pPr>
      <w:r>
        <w:t xml:space="preserve">USCAAF Bar Number 38255</w:t>
      </w:r>
    </w:p>
    <w:p>
      <w:pPr>
        <w:keepNext/>
        <w:keepLines/>
        <w:spacing w:before="0" w:after="0" w:line="240" w:lineRule="auto"/>
        <w:ind w:left="4680" w:firstLine="0"/>
      </w:pPr>
      <w:r>
        <w:t xml:space="preserve">Counsel for Appellant</w:t>
      </w:r>
    </w:p>
    <w:p>
      <w:pPr>
        <w:spacing w:before="0" w:after="0" w:line="224" w:lineRule="exact"/>
      </w:pPr>
    </w:p>
    <w:p>
      <w:pPr>
        <w:spacing w:before="0" w:after="0" w:line="240" w:lineRule="auto"/>
        <w:ind w:left="4680" w:firstLine="0"/>
      </w:pPr>
      <w:r>
        <w:t xml:space="preserve">Dated: September 1, 2026</w:t>
      </w:r>
    </w:p>
    <w:p>
      <w:r>
        <w:br w:type="page"/>
      </w:r>
    </w:p>
    <w:p>
      <w:pPr>
        <w:keepNext/>
        <w:keepLines/>
        <w:tabs>
          <w:tab w:val="right" w:leader="dot" w:pos="9360"/>
        </w:tabs>
        <w:spacing w:before="420" w:after="308" w:line="240" w:lineRule="auto"/>
        <w:jc w:val="center"/>
      </w:pPr>
      <w:r>
        <w:rPr>
          <w:b/>
          <w:bCs/>
        </w:rPr>
        <w:t xml:space="preserve">Certificate of Compliance</w:t>
      </w:r>
    </w:p>
    <w:p>
      <w:pPr>
        <w:keepNext/>
        <w:keepLines/>
        <w:spacing w:before="0" w:after="280" w:line="240" w:lineRule="auto"/>
      </w:pPr>
      <w:r>
        <w:t xml:space="preserve">The undersigned counsel hereby certifies that: (1) this supplement complies with the type-volume limitation of Rule 21(b) because it contains 1301 words; and (2) this supplement complies with the style requirements of Rule 37.</w:t>
      </w:r>
    </w:p>
    <w:p>
      <w:pPr>
        <w:spacing w:before="0" w:after="0" w:line="336" w:lineRule="exact"/>
      </w:pPr>
    </w:p>
    <w:p>
      <w:pPr>
        <w:keepNext/>
        <w:keepLines/>
        <w:spacing w:before="392" w:after="140" w:line="240" w:lineRule="auto"/>
        <w:ind w:left="4680" w:firstLine="0"/>
      </w:pPr>
      <w:r>
        <w:t xml:space="preserve">/s/ PAIGE F. MARKLEY DENTON, Capt, USAF</w:t>
      </w:r>
    </w:p>
    <w:p>
      <w:pPr>
        <w:keepNext/>
        <w:keepLines/>
        <w:spacing w:before="0" w:after="0" w:line="240" w:lineRule="auto"/>
        <w:ind w:left="4680" w:firstLine="0"/>
      </w:pPr>
      <w:r>
        <w:t xml:space="preserve">Appellate Defense Counsel</w:t>
      </w:r>
    </w:p>
    <w:p>
      <w:pPr>
        <w:keepNext/>
        <w:keepLines/>
        <w:spacing w:before="0" w:after="0" w:line="240" w:lineRule="auto"/>
        <w:ind w:left="4680" w:firstLine="0"/>
      </w:pPr>
      <w:r>
        <w:t xml:space="preserve">Air Force Appellate Defense Division</w:t>
      </w:r>
    </w:p>
    <w:p>
      <w:pPr>
        <w:keepNext/>
        <w:keepLines/>
        <w:spacing w:before="0" w:after="0" w:line="240" w:lineRule="auto"/>
        <w:ind w:left="4680" w:firstLine="0"/>
      </w:pPr>
      <w:r>
        <w:t xml:space="preserve">1500 West Perimeter Road, Suite 1100</w:t>
      </w:r>
    </w:p>
    <w:p>
      <w:pPr>
        <w:keepNext/>
        <w:keepLines/>
        <w:spacing w:before="0" w:after="0" w:line="240" w:lineRule="auto"/>
        <w:ind w:left="4680" w:firstLine="0"/>
      </w:pPr>
      <w:r>
        <w:t xml:space="preserve">Joint Base Andrews, MD 20762</w:t>
      </w:r>
    </w:p>
    <w:p>
      <w:pPr>
        <w:keepNext/>
        <w:keepLines/>
        <w:spacing w:before="0" w:after="0" w:line="240" w:lineRule="auto"/>
        <w:ind w:left="4680" w:firstLine="0"/>
      </w:pPr>
      <w:r>
        <w:t xml:space="preserve">240-612-4770</w:t>
      </w:r>
    </w:p>
    <w:p>
      <w:pPr>
        <w:keepNext/>
        <w:keepLines/>
        <w:spacing w:before="0" w:after="0" w:line="240" w:lineRule="auto"/>
        <w:ind w:left="4680" w:firstLine="0"/>
      </w:pPr>
      <w:r>
        <w:t xml:space="preserve">paige.markley_denton@us.af.mil</w:t>
      </w:r>
    </w:p>
    <w:p>
      <w:pPr>
        <w:keepNext/>
        <w:keepLines/>
        <w:spacing w:before="0" w:after="0" w:line="240" w:lineRule="auto"/>
        <w:ind w:left="4680" w:firstLine="0"/>
      </w:pPr>
      <w:r>
        <w:t xml:space="preserve">USCAAF Bar Number 38255</w:t>
      </w:r>
    </w:p>
    <w:p>
      <w:pPr>
        <w:spacing w:before="0" w:after="0" w:line="240" w:lineRule="auto"/>
        <w:ind w:left="4680" w:firstLine="0"/>
      </w:pPr>
      <w:r>
        <w:t xml:space="preserve">Counsel for Appellant</w:t>
      </w:r>
    </w:p>
    <w:p>
      <w:r>
        <w:br w:type="page"/>
      </w:r>
    </w:p>
    <w:p>
      <w:pPr>
        <w:keepNext/>
        <w:keepLines/>
        <w:spacing w:before="420" w:after="308" w:line="240" w:lineRule="auto"/>
        <w:jc w:val="center"/>
      </w:pPr>
      <w:r>
        <w:rPr>
          <w:b/>
          <w:bCs/>
        </w:rPr>
        <w:t xml:space="preserve">Certificate of Filing and Service</w:t>
      </w:r>
    </w:p>
    <w:p>
      <w:pPr>
        <w:keepNext/>
        <w:keepLines/>
        <w:spacing w:before="0" w:after="280" w:line="240" w:lineRule="auto"/>
      </w:pPr>
      <w:r>
        <w:t xml:space="preserve">I certify that a copy of the foregoing was electronically filed with the Court and electronically served on the Air Force Government Trial and Appellate Operations Division at af.jajg.afloa.filng.workflow@us.af.mil on September 1, 2026.</w:t>
      </w:r>
    </w:p>
    <w:p>
      <w:pPr>
        <w:spacing w:before="0" w:after="0" w:line="336" w:lineRule="exact"/>
      </w:pPr>
    </w:p>
    <w:p>
      <w:pPr>
        <w:keepNext/>
        <w:keepLines/>
        <w:spacing w:before="392" w:after="140" w:line="240" w:lineRule="auto"/>
        <w:ind w:left="4680" w:firstLine="0"/>
      </w:pPr>
      <w:r>
        <w:t xml:space="preserve">/s/ PAIGE F. MARKLEY DENTON, Capt, USAF</w:t>
      </w:r>
    </w:p>
    <w:p>
      <w:pPr>
        <w:keepNext/>
        <w:keepLines/>
        <w:spacing w:before="0" w:after="0" w:line="240" w:lineRule="auto"/>
        <w:ind w:left="4680" w:firstLine="0"/>
      </w:pPr>
      <w:r>
        <w:t xml:space="preserve">Appellate Defense Counsel</w:t>
      </w:r>
    </w:p>
    <w:p>
      <w:pPr>
        <w:keepNext/>
        <w:keepLines/>
        <w:spacing w:before="0" w:after="0" w:line="240" w:lineRule="auto"/>
        <w:ind w:left="4680" w:firstLine="0"/>
      </w:pPr>
      <w:r>
        <w:t xml:space="preserve">Air Force Appellate Defense Division</w:t>
      </w:r>
    </w:p>
    <w:p>
      <w:pPr>
        <w:keepNext/>
        <w:keepLines/>
        <w:spacing w:before="0" w:after="0" w:line="240" w:lineRule="auto"/>
        <w:ind w:left="4680" w:firstLine="0"/>
      </w:pPr>
      <w:r>
        <w:t xml:space="preserve">1500 West Perimeter Road, Suite 1100</w:t>
      </w:r>
    </w:p>
    <w:p>
      <w:pPr>
        <w:keepNext/>
        <w:keepLines/>
        <w:spacing w:before="0" w:after="0" w:line="240" w:lineRule="auto"/>
        <w:ind w:left="4680" w:firstLine="0"/>
      </w:pPr>
      <w:r>
        <w:t xml:space="preserve">Joint Base Andrews, MD 20762</w:t>
      </w:r>
    </w:p>
    <w:p>
      <w:pPr>
        <w:keepNext/>
        <w:keepLines/>
        <w:spacing w:before="0" w:after="0" w:line="240" w:lineRule="auto"/>
        <w:ind w:left="4680" w:firstLine="0"/>
      </w:pPr>
      <w:r>
        <w:t xml:space="preserve">240-612-4770</w:t>
      </w:r>
    </w:p>
    <w:p>
      <w:pPr>
        <w:keepNext/>
        <w:keepLines/>
        <w:spacing w:before="0" w:after="0" w:line="240" w:lineRule="auto"/>
        <w:ind w:left="4680" w:firstLine="0"/>
      </w:pPr>
      <w:r>
        <w:t xml:space="preserve">paige.markley_denton@us.af.mil</w:t>
      </w:r>
    </w:p>
    <w:p>
      <w:pPr>
        <w:keepNext/>
        <w:keepLines/>
        <w:spacing w:before="0" w:after="0" w:line="240" w:lineRule="auto"/>
        <w:ind w:left="4680" w:firstLine="0"/>
      </w:pPr>
      <w:r>
        <w:t xml:space="preserve">USCAAF Bar Number 38255</w:t>
      </w:r>
    </w:p>
    <w:p>
      <w:pPr>
        <w:spacing w:before="0" w:after="0" w:line="240" w:lineRule="auto"/>
        <w:ind w:left="4680" w:firstLine="0"/>
      </w:pPr>
      <w:r>
        <w:t xml:space="preserve">Counsel for Appellant</w:t>
      </w:r>
    </w:p>
    <w:sectPr>
      <w:footerReference w:type="default" r:id="rId100"/>
      <w:pgSz w:w="12240" w:h="15840"/>
      <w:pgMar w:top="1440" w:right="1440" w:bottom="1440" w:left="1440" w:header="720" w:footer="720"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jc w:val="center"/>
      <w:spacing w:before="0" w:after="0" w:line="240" w:lineRule="auto"/>
      <w:ind w:firstLine="0"/>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sz w:val="28"/>
        <w:szCs w:val="28"/>
        <w:lang w:val="en-US" w:eastAsia="en-US" w:bidi="ar-SA"/>
      </w:rPr>
    </w:rPrDefault>
    <w:pPrDefault>
      <w:pPr>
        <w:spacing w:after="0" w:line="240" w:lineRule="auto"/>
      </w:pPr>
    </w:pPrDefault>
  </w:docDefaults>
  <w:latentStyles w:defLockedState="0" w:defUIPriority="0" w:defSemiHidden="0" w:defUnhideWhenUsed="0" w:defQFormat="0" w:count="276"/>
  <w:style w:type="paragraph" w:styleId="Normal">
    <w:name w:val="Normal"/>
    <w:qFormat/>
    <w:pPr>
      <w:spacing w:before="0" w:after="0" w:line="240" w:lineRule="auto"/>
      <w:jc w:val="left"/>
    </w:pPr>
    <w:rPr>
      <w:rFonts w:ascii="EB Garamond" w:hAnsi="EB Garamond" w:eastAsia="EB Garamond" w:cs="EB Garamond"/>
      <w:color w:val="000000"/>
      <w:sz w:val="28"/>
      <w:szCs w:val="28"/>
    </w:rPr>
  </w:style>
  <w:style w:type="paragraph" w:styleId="BodyText">
    <w:name w:val="Body Text"/>
    <w:basedOn w:val="Normal"/>
    <w:qFormat/>
    <w:pPr>
      <w:spacing w:before="0" w:after="0" w:line="628" w:lineRule="exact"/>
      <w:ind w:left="0" w:firstLine="720"/>
    </w:pPr>
  </w:style>
  <w:style w:type="paragraph" w:styleId="FirstParagraph">
    <w:name w:val="First Paragraph"/>
    <w:basedOn w:val="BodyText"/>
    <w:next w:val="BodyText"/>
    <w:qFormat/>
    <w:pPr>
      <w:spacing w:before="0" w:after="0" w:line="628" w:lineRule="exact"/>
      <w:ind w:left="0" w:firstLine="720"/>
    </w:pPr>
  </w:style>
  <w:style w:type="paragraph" w:styleId="Compact">
    <w:name w:val="Compact"/>
    <w:basedOn w:val="BodyText"/>
    <w:qFormat/>
    <w:pPr>
      <w:spacing w:before="0" w:after="0" w:line="628" w:lineRule="exact"/>
      <w:ind w:left="0" w:firstLine="720"/>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20" w:after="308" w:line="240" w:lineRule="auto"/>
      <w:jc w:val="center"/>
      <w:outlineLvl w:val="0"/>
    </w:pPr>
    <w:rPr>
      <w:b/>
      <w:bCs/>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Normal"/>
    <w:next w:val="BodyText"/>
    <w:qFormat/>
    <w:pPr>
      <w:keepLines/>
      <w:spacing w:before="280" w:after="280" w:line="240" w:lineRule="auto"/>
      <w:ind w:left="720" w:right="720" w:firstLine="0"/>
    </w:pPr>
  </w:style>
  <w:style w:type="paragraph" w:styleId="FootnoteText">
    <w:name w:val="footnote text"/>
    <w:basedOn w:val="Normal"/>
    <w:link w:val="FootnoteTextChar"/>
    <w:uiPriority w:val="99"/>
    <w:unhideWhenUsed/>
    <w:pPr>
      <w:spacing w:before="0" w:after="100" w:line="240" w:lineRule="auto"/>
      <w:ind w:left="0" w:firstLine="0"/>
    </w:pPr>
    <w:rPr>
      <w:rFonts w:ascii="EB Garamond" w:hAnsi="EB Garamond" w:eastAsia="EB Garamond" w:cs="EB Garamond"/>
      <w:sz w:val="28"/>
      <w:szCs w:val="28"/>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styleId="Footer">
    <w:name w:val="footer"/>
    <w:basedOn w:val="Normal"/>
    <w:uiPriority w:val="99"/>
    <w:unhideWhenUsed/>
    <w:pPr>
      <w:tabs>
        <w:tab w:val="center" w:pos="4680"/>
        <w:tab w:val="right" w:pos="9360"/>
      </w:tabs>
      <w:spacing w:before="0" w:after="0" w:line="240" w:lineRule="auto"/>
      <w:jc w:val="center"/>
    </w:pPr>
    <w:rPr>
      <w:rFonts w:ascii="EB Garamond" w:hAnsi="EB Garamond" w:eastAsia="EB Garamond" w:cs="EB Garamond"/>
      <w:sz w:val="28"/>
      <w:szCs w:val="28"/>
    </w:rPr>
  </w:style>
  <w:style w:type="paragraph" w:customStyle="1" w:styleId="PointHead">
    <w:name w:val="Point Head"/>
    <w:basedOn w:val="Normal"/>
    <w:next w:val="BodyText"/>
    <w:qFormat/>
    <w:pPr>
      <w:keepNext/>
      <w:keepLines/>
      <w:spacing w:before="336" w:after="280" w:line="240" w:lineRule="auto"/>
      <w:jc w:val="center"/>
    </w:pPr>
    <w:rPr>
      <w:b/>
      <w:bCs/>
    </w:rPr>
  </w:style>
  <w:style w:type="paragraph" w:customStyle="1" w:styleId="SectionHead">
    <w:name w:val="Section Head"/>
    <w:basedOn w:val="Normal"/>
    <w:next w:val="BodyText"/>
    <w:qFormat/>
    <w:pPr>
      <w:keepNext/>
      <w:keepLines/>
      <w:spacing w:before="420" w:after="308" w:line="240" w:lineRule="auto"/>
      <w:jc w:val="center"/>
    </w:pPr>
    <w:rPr>
      <w:b/>
      <w:bCs/>
    </w:rPr>
  </w:style>
  <w:style w:type="paragraph" w:customStyle="1" w:styleId="KeepBody">
    <w:name w:val="Keep Body"/>
    <w:basedOn w:val="BodyText"/>
    <w:qFormat/>
    <w:pPr>
      <w:keepNext/>
      <w:keepLines/>
      <w:spacing w:before="0" w:after="0" w:line="628" w:lineRule="exact"/>
      <w:ind w:left="0" w:firstLine="720"/>
    </w:pPr>
  </w:style>
  <w:style w:type="paragraph" w:customStyle="1" w:styleId="SectionHeadTop">
    <w:name w:val="Section Head Top"/>
    <w:basedOn w:val="SectionHead"/>
    <w:next w:val="BodyText"/>
    <w:qFormat/>
    <w:pPr>
      <w:keepNext/>
      <w:keepLines/>
      <w:spacing w:before="0" w:after="308" w:line="240" w:lineRule="auto"/>
      <w:jc w:val="center"/>
    </w:pPr>
    <w:rPr>
      <w:b/>
      <w:bCs/>
    </w:rPr>
  </w:style>
  <w:style w:type="paragraph" w:customStyle="1" w:styleId="Hang1">
    <w:name w:val="Hang 1"/>
    <w:basedOn w:val="Normal"/>
    <w:next w:val="BodyText"/>
    <w:qFormat/>
    <w:pPr>
      <w:keepNext/>
      <w:keepLines/>
      <w:spacing w:before="308" w:after="252" w:line="240" w:lineRule="auto"/>
      <w:ind w:left="1440" w:hanging="720"/>
      <w:jc w:val="left"/>
    </w:pPr>
    <w:rPr>
      <w:b/>
      <w:bCs/>
    </w:rPr>
  </w:style>
  <w:style w:type="paragraph" w:customStyle="1" w:styleId="Hang2">
    <w:name w:val="Hang 2"/>
    <w:basedOn w:val="Normal"/>
    <w:next w:val="BodyText"/>
    <w:qFormat/>
    <w:pPr>
      <w:keepNext/>
      <w:keepLines/>
      <w:spacing w:before="308" w:after="252" w:line="240" w:lineRule="auto"/>
      <w:ind w:left="2160" w:hanging="720"/>
      <w:jc w:val="left"/>
    </w:pPr>
    <w:rPr>
      <w:b/>
      <w:bCs/>
    </w:rPr>
  </w:style>
  <w:style w:type="paragraph" w:customStyle="1" w:styleId="Hang3">
    <w:name w:val="Hang 3"/>
    <w:basedOn w:val="Normal"/>
    <w:next w:val="BodyText"/>
    <w:qFormat/>
    <w:pPr>
      <w:keepNext/>
      <w:keepLines/>
      <w:spacing w:before="308" w:after="252" w:line="240" w:lineRule="auto"/>
      <w:ind w:left="2880" w:hanging="720"/>
      <w:jc w:val="left"/>
    </w:pPr>
    <w:rPr>
      <w:b/>
      <w:bCs/>
    </w:rPr>
  </w:style>
  <w:style w:type="paragraph" w:customStyle="1" w:styleId="Hang4">
    <w:name w:val="Hang 4"/>
    <w:basedOn w:val="Normal"/>
    <w:next w:val="BodyText"/>
    <w:qFormat/>
    <w:pPr>
      <w:keepNext/>
      <w:keepLines/>
      <w:spacing w:before="308" w:after="252" w:line="240" w:lineRule="auto"/>
      <w:ind w:left="3600" w:hanging="720"/>
      <w:jc w:val="left"/>
    </w:pPr>
    <w:rPr>
      <w:b/>
      <w:bCs/>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08" Target="numbering.xml" /><Relationship Type="http://schemas.openxmlformats.org/officeDocument/2006/relationships/styles" Id="rId107" Target="styles.xml" /><Relationship Type="http://schemas.openxmlformats.org/officeDocument/2006/relationships/settings" Id="rId106" Target="settings.xml" /><Relationship Type="http://schemas.openxmlformats.org/officeDocument/2006/relationships/webSettings" Id="rId105" Target="webSettings.xml" /><Relationship Type="http://schemas.openxmlformats.org/officeDocument/2006/relationships/fontTable" Id="rId104" Target="fontTable.xml" /><Relationship Type="http://schemas.openxmlformats.org/officeDocument/2006/relationships/theme" Id="rId103" Target="theme/theme1.xml" /><Relationship Type="http://schemas.openxmlformats.org/officeDocument/2006/relationships/footnotes" Id="rId102" Target="footnotes.xml" /><Relationship Type="http://schemas.openxmlformats.org/officeDocument/2006/relationships/comments" Id="rId101" Target="comments.xml" /><Relationship Type="http://schemas.openxmlformats.org/officeDocument/2006/relationships/footer" Id="rId100"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EB Garamond"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EB Garamond"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2026-10-15T12:29:45Z</dcterms:created>
  <dcterms:modified xsi:type="dcterms:W3CDTF">2026-10-15T12:29:45Z</dcterms:modified>
</cp:coreProperties>
</file>

<file path=docProps/custom.xml><?xml version="1.0" encoding="utf-8"?>
<Properties xmlns="http://schemas.openxmlformats.org/officeDocument/2006/custom-properties" xmlns:vt="http://schemas.openxmlformats.org/officeDocument/2006/docPropsVTypes"/>
</file>