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July 30, 2026</w:t>
      </w:r>
    </w:p>
    <w:p>
      <w:pPr>
        <w:pStyle w:val="Centered"/>
      </w:pPr>
      <w:r>
        <w:rPr>
          <w:b/>
          <w:bCs/>
        </w:rPr>
        <w:t xml:space="preserve">IN THE UNITED STATES DISTRICT COURT</w:t>
      </w:r>
    </w:p>
    <w:p>
      <w:pPr>
        <w:pStyle w:val="Centered"/>
      </w:pPr>
      <w:r>
        <w:rPr>
          <w:b/>
          <w:bCs/>
        </w:rPr>
        <w:t xml:space="preserve">FOR THE DISTRICT OF DELAWARE</w:t>
      </w:r>
    </w:p>
    <w:p>
      <w:pPr>
        <w:spacing w:before="0" w:after="0" w:line="54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432"/>
        <w:gridCol w:w="4032"/>
      </w:tblGrid>
      <w:tr>
        <w:trPr>
          <w:cantSplit/>
        </w:trPr>
        <w:tc>
          <w:tcPr>
            <w:tcW w:w="4896" w:type="dxa"/>
            <w:tcBorders>
              <w:right w:val="single" w:sz="6" w:space="0" w:color="000000"/>
              <w:bottom w:val="single" w:sz="6" w:space="0" w:color="000000"/>
            </w:tcBorders>
            <w:tcMar>
              <w:right w:w="173" w:type="dxa"/>
              <w:bottom w:w="173" w:type="dxa"/>
            </w:tcMar>
          </w:tcPr>
          <w:p>
            <w:pPr>
              <w:pStyle w:val="Single"/>
            </w:pPr>
            <w:r>
              <w:t xml:space="preserve">STEWART</w:t>
            </w:r>
            <w:r>
              <w:t xml:space="preserve"> </w:t>
            </w:r>
            <w:r>
              <w:t xml:space="preserve">ABRAMSON,</w:t>
            </w:r>
            <w:r>
              <w:t xml:space="preserve"> </w:t>
            </w:r>
            <w:r>
              <w:t xml:space="preserve">individually</w:t>
            </w:r>
            <w:r>
              <w:t xml:space="preserve"> </w:t>
            </w:r>
            <w:r>
              <w:t xml:space="preserve">and</w:t>
            </w:r>
            <w:r>
              <w:t xml:space="preserve"> </w:t>
            </w:r>
            <w:r>
              <w:t xml:space="preserve">on</w:t>
            </w:r>
            <w:r>
              <w:t xml:space="preserve"> </w:t>
            </w:r>
            <w:r>
              <w:t xml:space="preserve">behalf</w:t>
            </w:r>
            <w:r>
              <w:t xml:space="preserve"> </w:t>
            </w:r>
            <w:r>
              <w:t xml:space="preserve">of</w:t>
            </w:r>
            <w:r>
              <w:t xml:space="preserve"> </w:t>
            </w:r>
            <w:r>
              <w:t xml:space="preserve">a</w:t>
            </w:r>
            <w:r>
              <w:t xml:space="preserve"> </w:t>
            </w:r>
            <w:r>
              <w:t xml:space="preserve">class</w:t>
            </w:r>
            <w:r>
              <w:t xml:space="preserve"> </w:t>
            </w:r>
            <w:r>
              <w:t xml:space="preserve">of</w:t>
            </w:r>
            <w:r>
              <w:t xml:space="preserve"> </w:t>
            </w:r>
            <w:r>
              <w:t xml:space="preserve">all</w:t>
            </w:r>
            <w:r>
              <w:t xml:space="preserve"> </w:t>
            </w:r>
            <w:r>
              <w:t xml:space="preserve">person</w:t>
            </w:r>
            <w:r>
              <w:t xml:space="preserve"> </w:t>
            </w:r>
            <w:r>
              <w:t xml:space="preserve">and</w:t>
            </w:r>
            <w:r>
              <w:t xml:space="preserve"> </w:t>
            </w:r>
            <w:r>
              <w:t xml:space="preserve">entities</w:t>
            </w:r>
            <w:r>
              <w:t xml:space="preserve"> </w:t>
            </w:r>
            <w:r>
              <w:t xml:space="preserve">similarly</w:t>
            </w:r>
            <w:r>
              <w:t xml:space="preserve"> </w:t>
            </w:r>
            <w:r>
              <w:t xml:space="preserve">situated,</w:t>
            </w:r>
          </w:p>
          <w:p>
            <w:pPr>
              <w:pStyle w:val="Single"/>
            </w:pPr>
            <w:r>
              <w:t xml:space="preserve">Plaintiff,</w:t>
            </w:r>
          </w:p>
          <w:p>
            <w:pPr>
              <w:pStyle w:val="Single"/>
            </w:pPr>
            <w:r>
              <w:t xml:space="preserve">v.</w:t>
            </w:r>
          </w:p>
          <w:p>
            <w:pPr>
              <w:pStyle w:val="Single"/>
            </w:pPr>
            <w:r>
              <w:t xml:space="preserve">SAFE</w:t>
            </w:r>
            <w:r>
              <w:t xml:space="preserve"> </w:t>
            </w:r>
            <w:r>
              <w:t xml:space="preserve">LIFE</w:t>
            </w:r>
            <w:r>
              <w:t xml:space="preserve"> </w:t>
            </w:r>
            <w:r>
              <w:t xml:space="preserve">POLICY,</w:t>
            </w:r>
            <w:r>
              <w:t xml:space="preserve"> </w:t>
            </w:r>
            <w:r>
              <w:t xml:space="preserve">LLC,</w:t>
            </w:r>
          </w:p>
          <w:p>
            <w:pPr>
              <w:pStyle w:val="Single"/>
            </w:pPr>
            <w:r>
              <w:t xml:space="preserve">Defendant.</w:t>
            </w:r>
          </w:p>
        </w:tc>
        <w:tc>
          <w:tcPr>
            <w:tcW w:w="432" w:type="dxa"/>
          </w:tcPr>
          <w:p/>
        </w:tc>
        <w:tc>
          <w:tcPr>
            <w:tcW w:w="4032" w:type="dxa"/>
          </w:tcPr>
          <w:p>
            <w:pPr>
              <w:pStyle w:val="Single"/>
              <w:spacing w:before="270" w:after="0" w:line="240" w:lineRule="auto"/>
              <w:ind w:left="216" w:firstLine="0"/>
            </w:pPr>
            <w:r>
              <w:t xml:space="preserve">C.A. No. 26-772-MN</w:t>
            </w:r>
          </w:p>
        </w:tc>
      </w:tr>
    </w:tbl>
    <w:p>
      <w:pPr>
        <w:spacing w:before="0" w:after="0" w:line="540" w:lineRule="exact"/>
      </w:pPr>
    </w:p>
    <w:p>
      <w:pPr>
        <w:pStyle w:val="Centered"/>
      </w:pPr>
      <w:r>
        <w:rPr>
          <w:b/>
          <w:bCs/>
          <w:caps/>
        </w:rPr>
        <w:t xml:space="preserve">DEFENDANT’S</w:t>
      </w:r>
      <w:r>
        <w:rPr>
          <w:b/>
          <w:bCs/>
          <w:caps/>
        </w:rPr>
        <w:t xml:space="preserve"> </w:t>
      </w:r>
      <w:r>
        <w:rPr>
          <w:b/>
          <w:bCs/>
          <w:caps/>
        </w:rPr>
        <w:t xml:space="preserve">OPENING</w:t>
      </w:r>
      <w:r>
        <w:rPr>
          <w:b/>
          <w:bCs/>
          <w:caps/>
        </w:rPr>
        <w:t xml:space="preserve"> </w:t>
      </w:r>
      <w:r>
        <w:rPr>
          <w:b/>
          <w:bCs/>
          <w:caps/>
        </w:rPr>
        <w:t xml:space="preserve">BRIEF</w:t>
      </w:r>
      <w:r>
        <w:rPr>
          <w:b/>
          <w:bCs/>
          <w:caps/>
        </w:rPr>
        <w:t xml:space="preserve"> </w:t>
      </w:r>
      <w:r>
        <w:rPr>
          <w:b/>
          <w:bCs/>
          <w:caps/>
        </w:rPr>
        <w:t xml:space="preserve">IN</w:t>
      </w:r>
      <w:r>
        <w:rPr>
          <w:b/>
          <w:bCs/>
          <w:caps/>
        </w:rPr>
        <w:t xml:space="preserve"> </w:t>
      </w:r>
      <w:r>
        <w:rPr>
          <w:b/>
          <w:bCs/>
          <w:caps/>
        </w:rPr>
        <w:t xml:space="preserve">SUPPORT</w:t>
      </w:r>
      <w:r>
        <w:rPr>
          <w:b/>
          <w:bCs/>
          <w:caps/>
        </w:rPr>
        <w:t xml:space="preserve"> </w:t>
      </w:r>
      <w:r>
        <w:rPr>
          <w:b/>
          <w:bCs/>
          <w:caps/>
        </w:rPr>
        <w:t xml:space="preserve">OF</w:t>
      </w:r>
      <w:r>
        <w:rPr>
          <w:b/>
          <w:bCs/>
          <w:caps/>
        </w:rPr>
        <w:t xml:space="preserve"> </w:t>
      </w:r>
      <w:r>
        <w:rPr>
          <w:b/>
          <w:bCs/>
          <w:caps/>
        </w:rPr>
        <w:t xml:space="preserve">MOTION</w:t>
      </w:r>
      <w:r>
        <w:rPr>
          <w:b/>
          <w:bCs/>
          <w:caps/>
        </w:rPr>
        <w:t xml:space="preserve"> </w:t>
      </w:r>
      <w:r>
        <w:rPr>
          <w:b/>
          <w:bCs/>
          <w:caps/>
        </w:rPr>
        <w:t xml:space="preserve">TO</w:t>
      </w:r>
      <w:r>
        <w:rPr>
          <w:b/>
          <w:bCs/>
          <w:caps/>
        </w:rPr>
        <w:t xml:space="preserve"> </w:t>
      </w:r>
      <w:r>
        <w:rPr>
          <w:b/>
          <w:bCs/>
          <w:caps/>
        </w:rPr>
        <w:t xml:space="preserve">DISMISS</w:t>
      </w:r>
    </w:p>
    <w:p>
      <w:pPr>
        <w:spacing w:before="0" w:after="0" w:line="54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4464"/>
        <w:gridCol w:w="432"/>
        <w:gridCol w:w="4464"/>
      </w:tblGrid>
      <w:tr>
        <w:trPr>
          <w:cantSplit/>
        </w:trPr>
        <w:tc>
          <w:tcPr>
            <w:tcW w:w="4464" w:type="dxa"/>
          </w:tcPr>
          <w:p>
            <w:pPr>
              <w:pStyle w:val="Single"/>
              <w:spacing w:before="0" w:after="120" w:line="240" w:lineRule="auto"/>
            </w:pPr>
            <w:r>
              <w:t xml:space="preserve">OF COUNSEL:</w:t>
            </w:r>
          </w:p>
          <w:p>
            <w:pPr>
              <w:pStyle w:val="Single"/>
            </w:pPr>
            <w:r>
              <w:t xml:space="preserve">FELLOWS</w:t>
            </w:r>
            <w:r>
              <w:t xml:space="preserve"> </w:t>
            </w:r>
            <w:r>
              <w:t xml:space="preserve">LABRIOLA</w:t>
            </w:r>
            <w:r>
              <w:t xml:space="preserve"> </w:t>
            </w:r>
            <w:r>
              <w:t xml:space="preserve">LLP</w:t>
            </w:r>
          </w:p>
          <w:p>
            <w:pPr>
              <w:pStyle w:val="Single"/>
            </w:pPr>
            <w:r>
              <w:t xml:space="preserve">Steven</w:t>
            </w:r>
            <w:r>
              <w:t xml:space="preserve"> </w:t>
            </w:r>
            <w:r>
              <w:t xml:space="preserve">M.</w:t>
            </w:r>
            <w:r>
              <w:t xml:space="preserve"> </w:t>
            </w:r>
            <w:r>
              <w:t xml:space="preserve">Kushner</w:t>
            </w:r>
          </w:p>
          <w:p>
            <w:pPr>
              <w:pStyle w:val="Single"/>
            </w:pPr>
            <w:r>
              <w:t xml:space="preserve">233</w:t>
            </w:r>
            <w:r>
              <w:t xml:space="preserve"> </w:t>
            </w:r>
            <w:r>
              <w:t xml:space="preserve">Peachtree</w:t>
            </w:r>
            <w:r>
              <w:t xml:space="preserve"> </w:t>
            </w:r>
            <w:r>
              <w:t xml:space="preserve">Street</w:t>
            </w:r>
            <w:r>
              <w:t xml:space="preserve"> </w:t>
            </w:r>
            <w:r>
              <w:t xml:space="preserve">NW</w:t>
            </w:r>
            <w:r>
              <w:t xml:space="preserve"> </w:t>
            </w:r>
            <w:r>
              <w:t xml:space="preserve">Suite</w:t>
            </w:r>
            <w:r>
              <w:t xml:space="preserve"> </w:t>
            </w:r>
            <w:r>
              <w:t xml:space="preserve">2400</w:t>
            </w:r>
          </w:p>
          <w:p>
            <w:pPr>
              <w:pStyle w:val="Single"/>
            </w:pPr>
            <w:r>
              <w:t xml:space="preserve">Atlanta,</w:t>
            </w:r>
            <w:r>
              <w:t xml:space="preserve"> </w:t>
            </w:r>
            <w:r>
              <w:t xml:space="preserve">GA</w:t>
            </w:r>
            <w:r>
              <w:t xml:space="preserve"> </w:t>
            </w:r>
            <w:r>
              <w:t xml:space="preserve">30303</w:t>
            </w:r>
          </w:p>
          <w:p>
            <w:pPr>
              <w:pStyle w:val="Single"/>
            </w:pPr>
            <w:r>
              <w:t xml:space="preserve">404-586-9200</w:t>
            </w:r>
          </w:p>
        </w:tc>
        <w:tc>
          <w:tcPr>
            <w:tcW w:w="432" w:type="dxa"/>
          </w:tcPr>
          <w:p/>
        </w:tc>
        <w:tc>
          <w:tcPr>
            <w:tcW w:w="4464" w:type="dxa"/>
          </w:tcPr>
          <w:p>
            <w:pPr>
              <w:pStyle w:val="Single"/>
            </w:pPr>
            <w:r>
              <w:t xml:space="preserve">HEYMAN</w:t>
            </w:r>
            <w:r>
              <w:t xml:space="preserve"> </w:t>
            </w:r>
            <w:r>
              <w:t xml:space="preserve">ENERIO</w:t>
            </w:r>
            <w:r>
              <w:t xml:space="preserve"> </w:t>
            </w:r>
            <w:r>
              <w:t xml:space="preserve">GATTUSO</w:t>
            </w:r>
            <w:r>
              <w:t xml:space="preserve"> </w:t>
            </w:r>
            <w:r>
              <w:t xml:space="preserve">&amp;</w:t>
            </w:r>
            <w:r>
              <w:t xml:space="preserve"> </w:t>
            </w:r>
            <w:r>
              <w:t xml:space="preserve">HIRZEL</w:t>
            </w:r>
            <w:r>
              <w:t xml:space="preserve"> </w:t>
            </w:r>
            <w:r>
              <w:t xml:space="preserve">LLP</w:t>
            </w:r>
          </w:p>
          <w:p>
            <w:pPr>
              <w:pStyle w:val="Single"/>
            </w:pPr>
            <w:r>
              <w:t xml:space="preserve">Aaron</w:t>
            </w:r>
            <w:r>
              <w:t xml:space="preserve"> </w:t>
            </w:r>
            <w:r>
              <w:t xml:space="preserve">M.</w:t>
            </w:r>
            <w:r>
              <w:t xml:space="preserve"> </w:t>
            </w:r>
            <w:r>
              <w:t xml:space="preserve">Nelson</w:t>
            </w:r>
            <w:r>
              <w:t xml:space="preserve"> </w:t>
            </w:r>
            <w:r>
              <w:t xml:space="preserve">(#5941)</w:t>
            </w:r>
          </w:p>
          <w:p>
            <w:pPr>
              <w:pStyle w:val="Single"/>
            </w:pPr>
            <w:r>
              <w:t xml:space="preserve">Denise</w:t>
            </w:r>
            <w:r>
              <w:t xml:space="preserve"> </w:t>
            </w:r>
            <w:r>
              <w:t xml:space="preserve">S.</w:t>
            </w:r>
            <w:r>
              <w:t xml:space="preserve"> </w:t>
            </w:r>
            <w:r>
              <w:t xml:space="preserve">Kraft</w:t>
            </w:r>
            <w:r>
              <w:t xml:space="preserve"> </w:t>
            </w:r>
            <w:r>
              <w:t xml:space="preserve">(#2778)</w:t>
            </w:r>
          </w:p>
          <w:p>
            <w:pPr>
              <w:pStyle w:val="Single"/>
            </w:pPr>
            <w:r>
              <w:t xml:space="preserve">Catherine</w:t>
            </w:r>
            <w:r>
              <w:t xml:space="preserve"> </w:t>
            </w:r>
            <w:r>
              <w:t xml:space="preserve">M.</w:t>
            </w:r>
            <w:r>
              <w:t xml:space="preserve"> </w:t>
            </w:r>
            <w:r>
              <w:t xml:space="preserve">Lynch</w:t>
            </w:r>
            <w:r>
              <w:t xml:space="preserve"> </w:t>
            </w:r>
            <w:r>
              <w:t xml:space="preserve">(#7326)</w:t>
            </w:r>
          </w:p>
          <w:p>
            <w:pPr>
              <w:pStyle w:val="Single"/>
            </w:pPr>
            <w:r>
              <w:t xml:space="preserve">222</w:t>
            </w:r>
            <w:r>
              <w:t xml:space="preserve"> </w:t>
            </w:r>
            <w:r>
              <w:t xml:space="preserve">Delaware</w:t>
            </w:r>
            <w:r>
              <w:t xml:space="preserve"> </w:t>
            </w:r>
            <w:r>
              <w:t xml:space="preserve">Avenue,</w:t>
            </w:r>
            <w:r>
              <w:t xml:space="preserve"> </w:t>
            </w:r>
            <w:r>
              <w:t xml:space="preserve">Ste.</w:t>
            </w:r>
            <w:r>
              <w:t xml:space="preserve"> </w:t>
            </w:r>
            <w:r>
              <w:t xml:space="preserve">900</w:t>
            </w:r>
          </w:p>
          <w:p>
            <w:pPr>
              <w:pStyle w:val="Single"/>
            </w:pPr>
            <w:r>
              <w:t xml:space="preserve">Wilmington,</w:t>
            </w:r>
            <w:r>
              <w:t xml:space="preserve"> </w:t>
            </w:r>
            <w:r>
              <w:t xml:space="preserve">DE</w:t>
            </w:r>
            <w:r>
              <w:t xml:space="preserve"> </w:t>
            </w:r>
            <w:r>
              <w:t xml:space="preserve">19801</w:t>
            </w:r>
          </w:p>
          <w:p>
            <w:pPr>
              <w:pStyle w:val="Single"/>
            </w:pPr>
            <w:r>
              <w:t xml:space="preserve">302-472-7300</w:t>
            </w:r>
          </w:p>
          <w:p>
            <w:pPr>
              <w:pStyle w:val="Single"/>
            </w:pPr>
          </w:p>
          <w:p>
            <w:pPr>
              <w:pStyle w:val="Single"/>
            </w:pPr>
            <w:r>
              <w:rPr>
                <w:i/>
                <w:iCs/>
              </w:rPr>
              <w:t xml:space="preserve">Attorneys</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Safe</w:t>
            </w:r>
            <w:r>
              <w:rPr>
                <w:i/>
                <w:iCs/>
              </w:rPr>
              <w:t xml:space="preserve"> </w:t>
            </w:r>
            <w:r>
              <w:rPr>
                <w:i/>
                <w:iCs/>
              </w:rPr>
              <w:t xml:space="preserve">Life</w:t>
            </w:r>
            <w:r>
              <w:rPr>
                <w:i/>
                <w:iCs/>
              </w:rPr>
              <w:t xml:space="preserve"> </w:t>
            </w:r>
            <w:r>
              <w:rPr>
                <w:i/>
                <w:iCs/>
              </w:rPr>
              <w:t xml:space="preserve">Policy,</w:t>
            </w:r>
            <w:r>
              <w:rPr>
                <w:i/>
                <w:iCs/>
              </w:rPr>
              <w:t xml:space="preserve"> </w:t>
            </w:r>
            <w:r>
              <w:rPr>
                <w:i/>
                <w:iCs/>
              </w:rPr>
              <w:t xml:space="preserve">LLC</w:t>
            </w:r>
          </w:p>
        </w:tc>
      </w:tr>
    </w:tbl>
    <w:p>
      <w:pPr>
        <w:spacing w:before="0" w:after="0" w:line="540" w:lineRule="exact"/>
      </w:pPr>
    </w:p>
    <w:p>
      <w:pPr>
        <w:pStyle w:val="Single"/>
      </w:pPr>
      <w:r>
        <w:t xml:space="preserve">Dated: July 30, 2026</w:t>
      </w:r>
    </w:p>
    <w:p>
      <w:pPr>
        <w:spacing w:before="0" w:after="0" w:line="240" w:lineRule="auto"/>
        <w:sectPr>
          <w:pgSz w:w="12240" w:h="15840"/>
          <w:pgMar w:top="1440" w:right="1440" w:bottom="1440" w:left="1440" w:header="720" w:footer="720" w:gutter="0"/>
        </w:sectPr>
      </w:pPr>
    </w:p>
    <w:p>
      <w:pPr>
        <w:pStyle w:val="FrontHeading"/>
      </w:pPr>
      <w:r>
        <w:t xml:space="preserve">Table of Contents</w:t>
      </w:r>
    </w:p>
    <w:p>
      <w:pPr>
        <w:pStyle w:val="Single"/>
        <w:jc w:val="right"/>
      </w:pPr>
      <w:r>
        <w:rPr>
          <w:b/>
          <w:bCs/>
        </w:rPr>
        <w:t xml:space="preserve">Page</w:t>
      </w:r>
    </w:p>
    <w:p>
      <w:pPr>
        <w:pStyle w:val="Single"/>
        <w:spacing w:before="0" w:after="200" w:line="240" w:lineRule="auto"/>
        <w:ind w:left="0" w:hanging="0"/>
      </w:pPr>
      <w:r>
        <w:fldChar w:fldCharType="begin"/>
      </w:r>
      <w:r>
        <w:instrText xml:space="preserve"> TOC \o "1-4" \h </w:instrText>
      </w:r>
      <w:r>
        <w:fldChar w:fldCharType="separate"/>
      </w:r>
      <w:r>
        <w:t xml:space="preserve">FACTUAL ALLEGATIONS</w:t>
      </w:r>
    </w:p>
    <w:p>
      <w:pPr>
        <w:pStyle w:val="Single"/>
        <w:spacing w:before="0" w:after="200" w:line="240" w:lineRule="auto"/>
        <w:ind w:left="0" w:hanging="0"/>
      </w:pPr>
      <w:r>
        <w:t xml:space="preserve">ARGUMENT</w:t>
      </w:r>
    </w:p>
    <w:p>
      <w:pPr>
        <w:pStyle w:val="Single"/>
        <w:spacing w:before="0" w:after="200" w:line="240" w:lineRule="auto"/>
        <w:ind w:left="720" w:hanging="720"/>
      </w:pPr>
      <w:r>
        <w:t xml:space="preserve">I.</w:t>
      </w:r>
      <w:r>
        <w:tab/>
      </w:r>
      <w:r>
        <w:t xml:space="preserve">THE COMPLAINT DOES NOT ALLEGE THAT SAFE LIFE “INITIATED” THE CALLS.</w:t>
      </w:r>
    </w:p>
    <w:p>
      <w:pPr>
        <w:pStyle w:val="Single"/>
        <w:spacing w:before="0" w:after="200" w:line="240" w:lineRule="auto"/>
        <w:ind w:left="720" w:hanging="720"/>
      </w:pPr>
      <w:r>
        <w:t xml:space="preserve">II.</w:t>
      </w:r>
      <w:r>
        <w:tab/>
      </w:r>
      <w:r>
        <w:t xml:space="preserve">THE COMPLAINT DOES NOT ALLEGES ANY FACTS ESTABLISHING AN AGENCY RELATIONSHIP</w:t>
      </w:r>
    </w:p>
    <w:p>
      <w:pPr>
        <w:pStyle w:val="Single"/>
        <w:spacing w:before="0" w:after="200" w:line="240" w:lineRule="auto"/>
        <w:ind w:left="1440" w:hanging="720"/>
      </w:pPr>
      <w:r>
        <w:t xml:space="preserve">A.</w:t>
      </w:r>
      <w:r>
        <w:tab/>
      </w:r>
      <w:r>
        <w:t xml:space="preserve">Plaintiff Pleads No Facts Showing Actual Authority—I.E., Safe Life’s Control Over The Manner And Means Of The Calls</w:t>
      </w:r>
    </w:p>
    <w:p>
      <w:pPr>
        <w:pStyle w:val="Single"/>
        <w:spacing w:before="0" w:after="200" w:line="240" w:lineRule="auto"/>
        <w:ind w:left="1440" w:hanging="720"/>
      </w:pPr>
      <w:r>
        <w:t xml:space="preserve">B.</w:t>
      </w:r>
      <w:r>
        <w:tab/>
      </w:r>
      <w:r>
        <w:t xml:space="preserve">Plaintiff Pleads No Facts Showing Apparent Authority, Because The Calls Never Identified Safe Life.</w:t>
      </w:r>
    </w:p>
    <w:p>
      <w:pPr>
        <w:pStyle w:val="Single"/>
        <w:spacing w:before="0" w:after="200" w:line="240" w:lineRule="auto"/>
        <w:ind w:left="1440" w:hanging="720"/>
      </w:pPr>
      <w:r>
        <w:t xml:space="preserve">C.</w:t>
      </w:r>
      <w:r>
        <w:tab/>
      </w:r>
      <w:r>
        <w:t xml:space="preserve">Plaintiff Pleads No Facts Showing Ratification, Which In Any Event Presupposes An Agency Relationship He Has Not Alleged</w:t>
      </w:r>
    </w:p>
    <w:p>
      <w:pPr>
        <w:pStyle w:val="Single"/>
        <w:spacing w:before="0" w:after="200" w:line="240" w:lineRule="auto"/>
        <w:ind w:left="1440" w:hanging="720"/>
      </w:pPr>
      <w:r>
        <w:t xml:space="preserve">D.</w:t>
      </w:r>
      <w:r>
        <w:tab/>
      </w:r>
      <w:r>
        <w:t xml:space="preserve">The Transfer Of Interested Consumers To Safe Life Does Not Create Agency, And The Contrary Cases Are Readily Distinguishable</w:t>
      </w:r>
    </w:p>
    <w:p>
      <w:pPr>
        <w:pStyle w:val="Single"/>
        <w:spacing w:before="0" w:after="200" w:line="240" w:lineRule="auto"/>
        <w:ind w:left="0" w:hanging="0"/>
      </w:pPr>
      <w:r>
        <w:t xml:space="preserve">CONCLUSION</w:t>
      </w:r>
      <w:r>
        <w:fldChar w:fldCharType="end"/>
      </w:r>
    </w:p>
    <w:p>
      <w:r>
        <w:br w:type="page"/>
      </w:r>
    </w:p>
    <w:p>
      <w:pPr>
        <w:pStyle w:val="FrontHeading"/>
      </w:pPr>
      <w:r>
        <w:t xml:space="preserve">Table of Citations</w:t>
      </w:r>
    </w:p>
    <w:p>
      <w:pPr>
        <w:pStyle w:val="Single"/>
        <w:jc w:val="right"/>
      </w:pPr>
      <w:r>
        <w:rPr>
          <w:b/>
          <w:bCs/>
        </w:rPr>
        <w:t xml:space="preserve">Page(s)</w:t>
      </w:r>
    </w:p>
    <w:p>
      <w:pPr>
        <w:pStyle w:val="Single"/>
        <w:keepNext/>
        <w:spacing w:before="240" w:after="120" w:line="240" w:lineRule="auto"/>
        <w:ind w:firstLine="0"/>
      </w:pPr>
      <w:r>
        <w:rPr>
          <w:b/>
          <w:bCs/>
        </w:rPr>
        <w:t xml:space="preserve">Cases</w:t>
      </w:r>
    </w:p>
    <w:p>
      <w:pPr>
        <w:pStyle w:val="Single"/>
        <w:spacing w:before="0" w:after="120" w:line="240" w:lineRule="auto"/>
        <w:ind w:left="504" w:hanging="504"/>
      </w:pPr>
      <w:r>
        <w:rPr>
          <w:i/>
          <w:iCs/>
        </w:rPr>
        <w:t xml:space="preserve">Abramson</w:t>
      </w:r>
      <w:r>
        <w:rPr>
          <w:i/>
          <w:iCs/>
        </w:rPr>
        <w:t xml:space="preserve"> </w:t>
      </w:r>
      <w:r>
        <w:rPr>
          <w:i/>
          <w:iCs/>
        </w:rPr>
        <w:t xml:space="preserve">v.</w:t>
      </w:r>
      <w:r>
        <w:rPr>
          <w:i/>
          <w:iCs/>
        </w:rPr>
        <w:t xml:space="preserve"> </w:t>
      </w:r>
      <w:r>
        <w:rPr>
          <w:i/>
          <w:iCs/>
        </w:rPr>
        <w:t xml:space="preserve">1</w:t>
      </w:r>
      <w:r>
        <w:rPr>
          <w:i/>
          <w:iCs/>
        </w:rPr>
        <w:t xml:space="preserve"> </w:t>
      </w:r>
      <w:r>
        <w:rPr>
          <w:i/>
          <w:iCs/>
        </w:rPr>
        <w:t xml:space="preserve">Global</w:t>
      </w:r>
      <w:r>
        <w:rPr>
          <w:i/>
          <w:iCs/>
        </w:rPr>
        <w:t xml:space="preserve"> </w:t>
      </w:r>
      <w:r>
        <w:rPr>
          <w:i/>
          <w:iCs/>
        </w:rPr>
        <w:t xml:space="preserve">Capital,</w:t>
      </w:r>
      <w:r>
        <w:rPr>
          <w:i/>
          <w:iCs/>
        </w:rPr>
        <w:t xml:space="preserve"> </w:t>
      </w:r>
      <w:r>
        <w:rPr>
          <w:i/>
          <w:iCs/>
        </w:rPr>
        <w:t xml:space="preserve">LLC,</w:t>
      </w:r>
      <w:r>
        <w:t xml:space="preserve"> </w:t>
      </w:r>
      <w:r>
        <w:t xml:space="preserve">2015</w:t>
      </w:r>
      <w:r>
        <w:t xml:space="preserve"> </w:t>
      </w:r>
      <w:r>
        <w:t xml:space="preserve">WL</w:t>
      </w:r>
      <w:r>
        <w:t xml:space="preserve"> </w:t>
      </w:r>
      <w:r>
        <w:t xml:space="preserve">12564318</w:t>
      </w:r>
      <w:r>
        <w:t xml:space="preserve"> </w:t>
      </w:r>
      <w:r>
        <w:t xml:space="preserve">(S.D.</w:t>
      </w:r>
      <w:r>
        <w:t xml:space="preserve"> </w:t>
      </w:r>
      <w:r>
        <w:t xml:space="preserve">Fla.</w:t>
      </w:r>
      <w:r>
        <w:t xml:space="preserve"> </w:t>
      </w:r>
      <w:r>
        <w:t xml:space="preserve">Sept. 23,</w:t>
      </w:r>
      <w:r>
        <w:t xml:space="preserve"> </w:t>
      </w:r>
      <w:r>
        <w:t xml:space="preserve">2015)</w:t>
      </w:r>
    </w:p>
    <w:p>
      <w:pPr>
        <w:pStyle w:val="Single"/>
        <w:spacing w:before="0" w:after="120" w:line="240" w:lineRule="auto"/>
        <w:ind w:left="504" w:hanging="504"/>
      </w:pPr>
      <w:r>
        <w:rPr>
          <w:i/>
          <w:iCs/>
        </w:rPr>
        <w:t xml:space="preserve">Abramson</w:t>
      </w:r>
      <w:r>
        <w:rPr>
          <w:i/>
          <w:iCs/>
        </w:rPr>
        <w:t xml:space="preserve"> </w:t>
      </w:r>
      <w:r>
        <w:rPr>
          <w:i/>
          <w:iCs/>
        </w:rPr>
        <w:t xml:space="preserve">v.</w:t>
      </w:r>
      <w:r>
        <w:rPr>
          <w:i/>
          <w:iCs/>
        </w:rPr>
        <w:t xml:space="preserve"> </w:t>
      </w:r>
      <w:r>
        <w:rPr>
          <w:i/>
          <w:iCs/>
        </w:rPr>
        <w:t xml:space="preserve">Agentra,</w:t>
      </w:r>
      <w:r>
        <w:rPr>
          <w:i/>
          <w:iCs/>
        </w:rPr>
        <w:t xml:space="preserve"> </w:t>
      </w:r>
      <w:r>
        <w:rPr>
          <w:i/>
          <w:iCs/>
        </w:rPr>
        <w:t xml:space="preserve">LLC,</w:t>
      </w:r>
      <w:r>
        <w:t xml:space="preserve"> </w:t>
      </w:r>
      <w:r>
        <w:t xml:space="preserve">2020</w:t>
      </w:r>
      <w:r>
        <w:t xml:space="preserve"> </w:t>
      </w:r>
      <w:r>
        <w:t xml:space="preserve">WL</w:t>
      </w:r>
      <w:r>
        <w:t xml:space="preserve"> </w:t>
      </w:r>
      <w:r>
        <w:t xml:space="preserve">7335897</w:t>
      </w:r>
      <w:r>
        <w:t xml:space="preserve"> </w:t>
      </w:r>
      <w:r>
        <w:t xml:space="preserve">(W.D.</w:t>
      </w:r>
      <w:r>
        <w:t xml:space="preserve"> </w:t>
      </w:r>
      <w:r>
        <w:t xml:space="preserve">Pa.</w:t>
      </w:r>
      <w:r>
        <w:t xml:space="preserve"> </w:t>
      </w:r>
      <w:r>
        <w:t xml:space="preserve">Dec. 14,</w:t>
      </w:r>
      <w:r>
        <w:t xml:space="preserve"> </w:t>
      </w:r>
      <w:r>
        <w:t xml:space="preserve">2020)</w:t>
      </w:r>
    </w:p>
    <w:p>
      <w:pPr>
        <w:pStyle w:val="Single"/>
        <w:spacing w:before="0" w:after="120" w:line="240" w:lineRule="auto"/>
        <w:ind w:left="504" w:hanging="504"/>
      </w:pPr>
      <w:r>
        <w:rPr>
          <w:i/>
          <w:iCs/>
        </w:rPr>
        <w:t xml:space="preserve">Abramson</w:t>
      </w:r>
      <w:r>
        <w:rPr>
          <w:i/>
          <w:iCs/>
        </w:rPr>
        <w:t xml:space="preserve"> </w:t>
      </w:r>
      <w:r>
        <w:rPr>
          <w:i/>
          <w:iCs/>
        </w:rPr>
        <w:t xml:space="preserve">v.</w:t>
      </w:r>
      <w:r>
        <w:rPr>
          <w:i/>
          <w:iCs/>
        </w:rPr>
        <w:t xml:space="preserve"> </w:t>
      </w:r>
      <w:r>
        <w:rPr>
          <w:i/>
          <w:iCs/>
        </w:rPr>
        <w:t xml:space="preserve">AP</w:t>
      </w:r>
      <w:r>
        <w:rPr>
          <w:i/>
          <w:iCs/>
        </w:rPr>
        <w:t xml:space="preserve"> </w:t>
      </w:r>
      <w:r>
        <w:rPr>
          <w:i/>
          <w:iCs/>
        </w:rPr>
        <w:t xml:space="preserve">Gas</w:t>
      </w:r>
      <w:r>
        <w:rPr>
          <w:i/>
          <w:iCs/>
        </w:rPr>
        <w:t xml:space="preserve"> </w:t>
      </w:r>
      <w:r>
        <w:rPr>
          <w:i/>
          <w:iCs/>
        </w:rPr>
        <w:t xml:space="preserve">&amp;</w:t>
      </w:r>
      <w:r>
        <w:rPr>
          <w:i/>
          <w:iCs/>
        </w:rPr>
        <w:t xml:space="preserve"> </w:t>
      </w:r>
      <w:r>
        <w:rPr>
          <w:i/>
          <w:iCs/>
        </w:rPr>
        <w:t xml:space="preserve">Elec.</w:t>
      </w:r>
      <w:r>
        <w:rPr>
          <w:i/>
          <w:iCs/>
        </w:rPr>
        <w:t xml:space="preserve"> </w:t>
      </w:r>
      <w:r>
        <w:rPr>
          <w:i/>
          <w:iCs/>
        </w:rPr>
        <w:t xml:space="preserve">(PA),</w:t>
      </w:r>
      <w:r>
        <w:rPr>
          <w:i/>
          <w:iCs/>
        </w:rPr>
        <w:t xml:space="preserve"> </w:t>
      </w:r>
      <w:r>
        <w:rPr>
          <w:i/>
          <w:iCs/>
        </w:rPr>
        <w:t xml:space="preserve">LLC,</w:t>
      </w:r>
      <w:r>
        <w:t xml:space="preserve"> </w:t>
      </w:r>
      <w:r>
        <w:t xml:space="preserve">2023</w:t>
      </w:r>
      <w:r>
        <w:t xml:space="preserve"> </w:t>
      </w:r>
      <w:r>
        <w:t xml:space="preserve">WL</w:t>
      </w:r>
      <w:r>
        <w:t xml:space="preserve"> </w:t>
      </w:r>
      <w:r>
        <w:t xml:space="preserve">1782728</w:t>
      </w:r>
      <w:r>
        <w:t xml:space="preserve"> </w:t>
      </w:r>
      <w:r>
        <w:t xml:space="preserve">(W.D.</w:t>
      </w:r>
      <w:r>
        <w:t xml:space="preserve"> </w:t>
      </w:r>
      <w:r>
        <w:t xml:space="preserve">Pa.</w:t>
      </w:r>
      <w:r>
        <w:t xml:space="preserve"> </w:t>
      </w:r>
      <w:r>
        <w:t xml:space="preserve">Feb. 6,</w:t>
      </w:r>
      <w:r>
        <w:t xml:space="preserve"> </w:t>
      </w:r>
      <w:r>
        <w:t xml:space="preserve">2023)</w:t>
      </w:r>
    </w:p>
    <w:p>
      <w:pPr>
        <w:pStyle w:val="Single"/>
        <w:spacing w:before="0" w:after="120" w:line="240" w:lineRule="auto"/>
        <w:ind w:left="504" w:hanging="504"/>
      </w:pPr>
      <w:r>
        <w:rPr>
          <w:i/>
          <w:iCs/>
        </w:rPr>
        <w:t xml:space="preserve">Abramson</w:t>
      </w:r>
      <w:r>
        <w:rPr>
          <w:i/>
          <w:iCs/>
        </w:rPr>
        <w:t xml:space="preserve"> </w:t>
      </w:r>
      <w:r>
        <w:rPr>
          <w:i/>
          <w:iCs/>
        </w:rPr>
        <w:t xml:space="preserve">v.</w:t>
      </w:r>
      <w:r>
        <w:rPr>
          <w:i/>
          <w:iCs/>
        </w:rPr>
        <w:t xml:space="preserve"> </w:t>
      </w:r>
      <w:r>
        <w:rPr>
          <w:i/>
          <w:iCs/>
        </w:rPr>
        <w:t xml:space="preserve">Connected</w:t>
      </w:r>
      <w:r>
        <w:rPr>
          <w:i/>
          <w:iCs/>
        </w:rPr>
        <w:t xml:space="preserve"> </w:t>
      </w:r>
      <w:r>
        <w:rPr>
          <w:i/>
          <w:iCs/>
        </w:rPr>
        <w:t xml:space="preserve">Mktg.,</w:t>
      </w:r>
      <w:r>
        <w:rPr>
          <w:i/>
          <w:iCs/>
        </w:rPr>
        <w:t xml:space="preserve"> </w:t>
      </w:r>
      <w:r>
        <w:rPr>
          <w:i/>
          <w:iCs/>
        </w:rPr>
        <w:t xml:space="preserve">LLC,</w:t>
      </w:r>
      <w:r>
        <w:t xml:space="preserve"> </w:t>
      </w:r>
      <w:r>
        <w:t xml:space="preserve">2020</w:t>
      </w:r>
      <w:r>
        <w:t xml:space="preserve"> </w:t>
      </w:r>
      <w:r>
        <w:t xml:space="preserve">WL</w:t>
      </w:r>
      <w:r>
        <w:t xml:space="preserve"> </w:t>
      </w:r>
      <w:r>
        <w:t xml:space="preserve">1139251</w:t>
      </w:r>
      <w:r>
        <w:t xml:space="preserve"> </w:t>
      </w:r>
      <w:r>
        <w:t xml:space="preserve">(N.D.</w:t>
      </w:r>
      <w:r>
        <w:t xml:space="preserve"> </w:t>
      </w:r>
      <w:r>
        <w:t xml:space="preserve">Ill.</w:t>
      </w:r>
      <w:r>
        <w:t xml:space="preserve"> </w:t>
      </w:r>
      <w:r>
        <w:t xml:space="preserve">Mar. 9,</w:t>
      </w:r>
      <w:r>
        <w:t xml:space="preserve"> </w:t>
      </w:r>
      <w:r>
        <w:t xml:space="preserve">2020)</w:t>
      </w:r>
    </w:p>
    <w:p>
      <w:pPr>
        <w:pStyle w:val="Single"/>
        <w:spacing w:before="0" w:after="120" w:line="240" w:lineRule="auto"/>
        <w:ind w:left="504" w:hanging="504"/>
      </w:pPr>
      <w:r>
        <w:rPr>
          <w:i/>
          <w:iCs/>
        </w:rPr>
        <w:t xml:space="preserve">Abramson</w:t>
      </w:r>
      <w:r>
        <w:rPr>
          <w:i/>
          <w:iCs/>
        </w:rPr>
        <w:t xml:space="preserve"> </w:t>
      </w:r>
      <w:r>
        <w:rPr>
          <w:i/>
          <w:iCs/>
        </w:rPr>
        <w:t xml:space="preserve">v.</w:t>
      </w:r>
      <w:r>
        <w:rPr>
          <w:i/>
          <w:iCs/>
        </w:rPr>
        <w:t xml:space="preserve"> </w:t>
      </w:r>
      <w:r>
        <w:rPr>
          <w:i/>
          <w:iCs/>
        </w:rPr>
        <w:t xml:space="preserve">CWS</w:t>
      </w:r>
      <w:r>
        <w:rPr>
          <w:i/>
          <w:iCs/>
        </w:rPr>
        <w:t xml:space="preserve"> </w:t>
      </w:r>
      <w:r>
        <w:rPr>
          <w:i/>
          <w:iCs/>
        </w:rPr>
        <w:t xml:space="preserve">Apartment</w:t>
      </w:r>
      <w:r>
        <w:rPr>
          <w:i/>
          <w:iCs/>
        </w:rPr>
        <w:t xml:space="preserve"> </w:t>
      </w:r>
      <w:r>
        <w:rPr>
          <w:i/>
          <w:iCs/>
        </w:rPr>
        <w:t xml:space="preserve">Homes,</w:t>
      </w:r>
      <w:r>
        <w:rPr>
          <w:i/>
          <w:iCs/>
        </w:rPr>
        <w:t xml:space="preserve"> </w:t>
      </w:r>
      <w:r>
        <w:rPr>
          <w:i/>
          <w:iCs/>
        </w:rPr>
        <w:t xml:space="preserve">LLC,</w:t>
      </w:r>
      <w:r>
        <w:t xml:space="preserve"> </w:t>
      </w:r>
      <w:r>
        <w:t xml:space="preserve">2016</w:t>
      </w:r>
      <w:r>
        <w:t xml:space="preserve"> </w:t>
      </w:r>
      <w:r>
        <w:t xml:space="preserve">WL</w:t>
      </w:r>
      <w:r>
        <w:t xml:space="preserve"> </w:t>
      </w:r>
      <w:r>
        <w:t xml:space="preserve">6634933</w:t>
      </w:r>
      <w:r>
        <w:t xml:space="preserve"> </w:t>
      </w:r>
      <w:r>
        <w:t xml:space="preserve">(W.D.</w:t>
      </w:r>
      <w:r>
        <w:t xml:space="preserve"> </w:t>
      </w:r>
      <w:r>
        <w:t xml:space="preserve">Pa.</w:t>
      </w:r>
      <w:r>
        <w:t xml:space="preserve"> </w:t>
      </w:r>
      <w:r>
        <w:t xml:space="preserve">Nov. 8,</w:t>
      </w:r>
      <w:r>
        <w:t xml:space="preserve"> </w:t>
      </w:r>
      <w:r>
        <w:t xml:space="preserve">2016)</w:t>
      </w:r>
    </w:p>
    <w:p>
      <w:pPr>
        <w:pStyle w:val="Single"/>
        <w:spacing w:before="0" w:after="120" w:line="240" w:lineRule="auto"/>
        <w:ind w:left="504" w:hanging="504"/>
      </w:pPr>
      <w:r>
        <w:rPr>
          <w:i/>
          <w:iCs/>
        </w:rPr>
        <w:t xml:space="preserve">Abramson</w:t>
      </w:r>
      <w:r>
        <w:rPr>
          <w:i/>
          <w:iCs/>
        </w:rPr>
        <w:t xml:space="preserve"> </w:t>
      </w:r>
      <w:r>
        <w:rPr>
          <w:i/>
          <w:iCs/>
        </w:rPr>
        <w:t xml:space="preserve">v.</w:t>
      </w:r>
      <w:r>
        <w:rPr>
          <w:i/>
          <w:iCs/>
        </w:rPr>
        <w:t xml:space="preserve"> </w:t>
      </w:r>
      <w:r>
        <w:rPr>
          <w:i/>
          <w:iCs/>
        </w:rPr>
        <w:t xml:space="preserve">First</w:t>
      </w:r>
      <w:r>
        <w:rPr>
          <w:i/>
          <w:iCs/>
        </w:rPr>
        <w:t xml:space="preserve"> </w:t>
      </w:r>
      <w:r>
        <w:rPr>
          <w:i/>
          <w:iCs/>
        </w:rPr>
        <w:t xml:space="preserve">Am.</w:t>
      </w:r>
      <w:r>
        <w:rPr>
          <w:i/>
          <w:iCs/>
        </w:rPr>
        <w:t xml:space="preserve"> </w:t>
      </w:r>
      <w:r>
        <w:rPr>
          <w:i/>
          <w:iCs/>
        </w:rPr>
        <w:t xml:space="preserve">Home</w:t>
      </w:r>
      <w:r>
        <w:rPr>
          <w:i/>
          <w:iCs/>
        </w:rPr>
        <w:t xml:space="preserve"> </w:t>
      </w:r>
      <w:r>
        <w:rPr>
          <w:i/>
          <w:iCs/>
        </w:rPr>
        <w:t xml:space="preserve">Warranty</w:t>
      </w:r>
      <w:r>
        <w:rPr>
          <w:i/>
          <w:iCs/>
        </w:rPr>
        <w:t xml:space="preserve"> </w:t>
      </w:r>
      <w:r>
        <w:rPr>
          <w:i/>
          <w:iCs/>
        </w:rPr>
        <w:t xml:space="preserve">Corp.,</w:t>
      </w:r>
      <w:r>
        <w:t xml:space="preserve"> </w:t>
      </w:r>
      <w:r>
        <w:t xml:space="preserve">2023</w:t>
      </w:r>
      <w:r>
        <w:t xml:space="preserve"> </w:t>
      </w:r>
      <w:r>
        <w:t xml:space="preserve">WL</w:t>
      </w:r>
      <w:r>
        <w:t xml:space="preserve"> </w:t>
      </w:r>
      <w:r>
        <w:t xml:space="preserve">2214248</w:t>
      </w:r>
      <w:r>
        <w:t xml:space="preserve"> </w:t>
      </w:r>
      <w:r>
        <w:t xml:space="preserve">(W.D.</w:t>
      </w:r>
      <w:r>
        <w:t xml:space="preserve"> </w:t>
      </w:r>
      <w:r>
        <w:t xml:space="preserve">Pa.</w:t>
      </w:r>
      <w:r>
        <w:t xml:space="preserve"> </w:t>
      </w:r>
      <w:r>
        <w:t xml:space="preserve">Feb. 24,</w:t>
      </w:r>
      <w:r>
        <w:t xml:space="preserve"> </w:t>
      </w:r>
      <w:r>
        <w:t xml:space="preserve">2023)</w:t>
      </w:r>
    </w:p>
    <w:p>
      <w:pPr>
        <w:pStyle w:val="Single"/>
        <w:spacing w:before="0" w:after="120" w:line="240" w:lineRule="auto"/>
        <w:ind w:left="504" w:hanging="504"/>
      </w:pPr>
      <w:r>
        <w:rPr>
          <w:i/>
          <w:iCs/>
        </w:rPr>
        <w:t xml:space="preserve">Abramson</w:t>
      </w:r>
      <w:r>
        <w:rPr>
          <w:i/>
          <w:iCs/>
        </w:rPr>
        <w:t xml:space="preserve"> </w:t>
      </w:r>
      <w:r>
        <w:rPr>
          <w:i/>
          <w:iCs/>
        </w:rPr>
        <w:t xml:space="preserve">v.</w:t>
      </w:r>
      <w:r>
        <w:rPr>
          <w:i/>
          <w:iCs/>
        </w:rPr>
        <w:t xml:space="preserve"> </w:t>
      </w:r>
      <w:r>
        <w:rPr>
          <w:i/>
          <w:iCs/>
        </w:rPr>
        <w:t xml:space="preserve">Line</w:t>
      </w:r>
      <w:r>
        <w:rPr>
          <w:i/>
          <w:iCs/>
        </w:rPr>
        <w:t xml:space="preserve"> </w:t>
      </w:r>
      <w:r>
        <w:rPr>
          <w:i/>
          <w:iCs/>
        </w:rPr>
        <w:t xml:space="preserve">5,</w:t>
      </w:r>
      <w:r>
        <w:rPr>
          <w:i/>
          <w:iCs/>
        </w:rPr>
        <w:t xml:space="preserve"> </w:t>
      </w:r>
      <w:r>
        <w:rPr>
          <w:i/>
          <w:iCs/>
        </w:rPr>
        <w:t xml:space="preserve">LLC,</w:t>
      </w:r>
      <w:r>
        <w:t xml:space="preserve"> </w:t>
      </w:r>
      <w:r>
        <w:t xml:space="preserve">2025</w:t>
      </w:r>
      <w:r>
        <w:t xml:space="preserve"> </w:t>
      </w:r>
      <w:r>
        <w:t xml:space="preserve">WL</w:t>
      </w:r>
      <w:r>
        <w:t xml:space="preserve"> </w:t>
      </w:r>
      <w:r>
        <w:t xml:space="preserve">4071777</w:t>
      </w:r>
      <w:r>
        <w:t xml:space="preserve"> </w:t>
      </w:r>
      <w:r>
        <w:t xml:space="preserve">(W.D.</w:t>
      </w:r>
      <w:r>
        <w:t xml:space="preserve"> </w:t>
      </w:r>
      <w:r>
        <w:t xml:space="preserve">Pa.</w:t>
      </w:r>
      <w:r>
        <w:t xml:space="preserve"> </w:t>
      </w:r>
      <w:r>
        <w:t xml:space="preserve">Sept. 19,</w:t>
      </w:r>
      <w:r>
        <w:t xml:space="preserve"> </w:t>
      </w:r>
      <w:r>
        <w:t xml:space="preserve">2025)</w:t>
      </w:r>
    </w:p>
    <w:p>
      <w:pPr>
        <w:pStyle w:val="Single"/>
        <w:spacing w:before="0" w:after="120" w:line="240" w:lineRule="auto"/>
        <w:ind w:left="504" w:hanging="504"/>
      </w:pPr>
      <w:r>
        <w:rPr>
          <w:i/>
          <w:iCs/>
        </w:rPr>
        <w:t xml:space="preserve">Ashcroft</w:t>
      </w:r>
      <w:r>
        <w:rPr>
          <w:i/>
          <w:iCs/>
        </w:rPr>
        <w:t xml:space="preserve"> </w:t>
      </w:r>
      <w:r>
        <w:rPr>
          <w:i/>
          <w:iCs/>
        </w:rPr>
        <w:t xml:space="preserve">v.</w:t>
      </w:r>
      <w:r>
        <w:rPr>
          <w:i/>
          <w:iCs/>
        </w:rPr>
        <w:t xml:space="preserve"> </w:t>
      </w:r>
      <w:r>
        <w:rPr>
          <w:i/>
          <w:iCs/>
        </w:rPr>
        <w:t xml:space="preserve">Iqbal,</w:t>
      </w:r>
      <w:r>
        <w:t xml:space="preserve"> </w:t>
      </w:r>
      <w:r>
        <w:t xml:space="preserve">556</w:t>
      </w:r>
      <w:r>
        <w:t xml:space="preserve"> </w:t>
      </w:r>
      <w:r>
        <w:t xml:space="preserve">U.S.</w:t>
      </w:r>
      <w:r>
        <w:t xml:space="preserve"> </w:t>
      </w:r>
      <w:r>
        <w:t xml:space="preserve">662</w:t>
      </w:r>
      <w:r>
        <w:t xml:space="preserve"> </w:t>
      </w:r>
      <w:r>
        <w:t xml:space="preserve">(2009)</w:t>
      </w:r>
    </w:p>
    <w:p>
      <w:pPr>
        <w:pStyle w:val="Single"/>
        <w:spacing w:before="0" w:after="120" w:line="240" w:lineRule="auto"/>
        <w:ind w:left="504" w:hanging="504"/>
      </w:pPr>
      <w:r>
        <w:rPr>
          <w:i/>
          <w:iCs/>
        </w:rPr>
        <w:t xml:space="preserve">Bank</w:t>
      </w:r>
      <w:r>
        <w:rPr>
          <w:i/>
          <w:iCs/>
        </w:rPr>
        <w:t xml:space="preserve"> </w:t>
      </w:r>
      <w:r>
        <w:rPr>
          <w:i/>
          <w:iCs/>
        </w:rPr>
        <w:t xml:space="preserve">v.</w:t>
      </w:r>
      <w:r>
        <w:rPr>
          <w:i/>
          <w:iCs/>
        </w:rPr>
        <w:t xml:space="preserve"> </w:t>
      </w:r>
      <w:r>
        <w:rPr>
          <w:i/>
          <w:iCs/>
        </w:rPr>
        <w:t xml:space="preserve">Consumer</w:t>
      </w:r>
      <w:r>
        <w:rPr>
          <w:i/>
          <w:iCs/>
        </w:rPr>
        <w:t xml:space="preserve"> </w:t>
      </w:r>
      <w:r>
        <w:rPr>
          <w:i/>
          <w:iCs/>
        </w:rPr>
        <w:t xml:space="preserve">Tax</w:t>
      </w:r>
      <w:r>
        <w:rPr>
          <w:i/>
          <w:iCs/>
        </w:rPr>
        <w:t xml:space="preserve"> </w:t>
      </w:r>
      <w:r>
        <w:rPr>
          <w:i/>
          <w:iCs/>
        </w:rPr>
        <w:t xml:space="preserve">Advocate,</w:t>
      </w:r>
      <w:r>
        <w:rPr>
          <w:i/>
          <w:iCs/>
        </w:rPr>
        <w:t xml:space="preserve"> </w:t>
      </w:r>
      <w:r>
        <w:rPr>
          <w:i/>
          <w:iCs/>
        </w:rPr>
        <w:t xml:space="preserve">LLC,</w:t>
      </w:r>
      <w:r>
        <w:t xml:space="preserve"> </w:t>
      </w:r>
      <w:r>
        <w:t xml:space="preserve">2025</w:t>
      </w:r>
      <w:r>
        <w:t xml:space="preserve"> </w:t>
      </w:r>
      <w:r>
        <w:t xml:space="preserve">WL</w:t>
      </w:r>
      <w:r>
        <w:t xml:space="preserve"> </w:t>
      </w:r>
      <w:r>
        <w:t xml:space="preserve">1640500</w:t>
      </w:r>
      <w:r>
        <w:t xml:space="preserve"> </w:t>
      </w:r>
      <w:r>
        <w:t xml:space="preserve">(E.D.N.Y.</w:t>
      </w:r>
      <w:r>
        <w:t xml:space="preserve"> </w:t>
      </w:r>
      <w:r>
        <w:t xml:space="preserve">Feb. 5,</w:t>
      </w:r>
      <w:r>
        <w:t xml:space="preserve"> </w:t>
      </w:r>
      <w:r>
        <w:t xml:space="preserve">2025)</w:t>
      </w:r>
    </w:p>
    <w:p>
      <w:pPr>
        <w:pStyle w:val="Single"/>
        <w:spacing w:before="0" w:after="120" w:line="240" w:lineRule="auto"/>
        <w:ind w:left="504" w:hanging="504"/>
      </w:pPr>
      <w:r>
        <w:rPr>
          <w:i/>
          <w:iCs/>
        </w:rPr>
        <w:t xml:space="preserve">Bank</w:t>
      </w:r>
      <w:r>
        <w:rPr>
          <w:i/>
          <w:iCs/>
        </w:rPr>
        <w:t xml:space="preserve"> </w:t>
      </w:r>
      <w:r>
        <w:rPr>
          <w:i/>
          <w:iCs/>
        </w:rPr>
        <w:t xml:space="preserve">v.</w:t>
      </w:r>
      <w:r>
        <w:rPr>
          <w:i/>
          <w:iCs/>
        </w:rPr>
        <w:t xml:space="preserve"> </w:t>
      </w:r>
      <w:r>
        <w:rPr>
          <w:i/>
          <w:iCs/>
        </w:rPr>
        <w:t xml:space="preserve">Spark</w:t>
      </w:r>
      <w:r>
        <w:rPr>
          <w:i/>
          <w:iCs/>
        </w:rPr>
        <w:t xml:space="preserve"> </w:t>
      </w:r>
      <w:r>
        <w:rPr>
          <w:i/>
          <w:iCs/>
        </w:rPr>
        <w:t xml:space="preserve">Energy,</w:t>
      </w:r>
      <w:r>
        <w:rPr>
          <w:i/>
          <w:iCs/>
        </w:rPr>
        <w:t xml:space="preserve"> </w:t>
      </w:r>
      <w:r>
        <w:rPr>
          <w:i/>
          <w:iCs/>
        </w:rPr>
        <w:t xml:space="preserve">LLC,</w:t>
      </w:r>
      <w:r>
        <w:t xml:space="preserve"> </w:t>
      </w:r>
      <w:r>
        <w:t xml:space="preserve">2020</w:t>
      </w:r>
      <w:r>
        <w:t xml:space="preserve"> </w:t>
      </w:r>
      <w:r>
        <w:t xml:space="preserve">WL</w:t>
      </w:r>
      <w:r>
        <w:t xml:space="preserve"> </w:t>
      </w:r>
      <w:r>
        <w:t xml:space="preserve">5752185</w:t>
      </w:r>
      <w:r>
        <w:t xml:space="preserve"> </w:t>
      </w:r>
      <w:r>
        <w:t xml:space="preserve">(E.D.N.Y.</w:t>
      </w:r>
      <w:r>
        <w:t xml:space="preserve"> </w:t>
      </w:r>
      <w:r>
        <w:t xml:space="preserve">Sept. 24,</w:t>
      </w:r>
      <w:r>
        <w:t xml:space="preserve"> </w:t>
      </w:r>
      <w:r>
        <w:t xml:space="preserve">2020)</w:t>
      </w:r>
    </w:p>
    <w:p>
      <w:pPr>
        <w:pStyle w:val="Single"/>
        <w:spacing w:before="0" w:after="120" w:line="240" w:lineRule="auto"/>
        <w:ind w:left="504" w:hanging="504"/>
      </w:pPr>
      <w:r>
        <w:rPr>
          <w:i/>
          <w:iCs/>
        </w:rPr>
        <w:t xml:space="preserve">Bell</w:t>
      </w:r>
      <w:r>
        <w:rPr>
          <w:i/>
          <w:iCs/>
        </w:rPr>
        <w:t xml:space="preserve"> </w:t>
      </w:r>
      <w:r>
        <w:rPr>
          <w:i/>
          <w:iCs/>
        </w:rPr>
        <w:t xml:space="preserve">Atlantic</w:t>
      </w:r>
      <w:r>
        <w:rPr>
          <w:i/>
          <w:iCs/>
        </w:rPr>
        <w:t xml:space="preserve"> </w:t>
      </w:r>
      <w:r>
        <w:rPr>
          <w:i/>
          <w:iCs/>
        </w:rPr>
        <w:t xml:space="preserve">Corp. v.</w:t>
      </w:r>
      <w:r>
        <w:rPr>
          <w:i/>
          <w:iCs/>
        </w:rPr>
        <w:t xml:space="preserve"> </w:t>
      </w:r>
      <w:r>
        <w:rPr>
          <w:i/>
          <w:iCs/>
        </w:rPr>
        <w:t xml:space="preserve">Twombly,</w:t>
      </w:r>
      <w:r>
        <w:t xml:space="preserve"> </w:t>
      </w:r>
      <w:r>
        <w:t xml:space="preserve">550</w:t>
      </w:r>
      <w:r>
        <w:t xml:space="preserve"> </w:t>
      </w:r>
      <w:r>
        <w:t xml:space="preserve">U.S.</w:t>
      </w:r>
      <w:r>
        <w:t xml:space="preserve"> </w:t>
      </w:r>
      <w:r>
        <w:t xml:space="preserve">544</w:t>
      </w:r>
      <w:r>
        <w:t xml:space="preserve"> </w:t>
      </w:r>
      <w:r>
        <w:t xml:space="preserve">(2007)</w:t>
      </w:r>
    </w:p>
    <w:p>
      <w:pPr>
        <w:pStyle w:val="Single"/>
        <w:spacing w:before="0" w:after="120" w:line="240" w:lineRule="auto"/>
        <w:ind w:left="504" w:hanging="504"/>
      </w:pPr>
      <w:r>
        <w:rPr>
          <w:i/>
          <w:iCs/>
        </w:rPr>
        <w:t xml:space="preserve">Bradley</w:t>
      </w:r>
      <w:r>
        <w:rPr>
          <w:i/>
          <w:iCs/>
        </w:rPr>
        <w:t xml:space="preserve"> </w:t>
      </w:r>
      <w:r>
        <w:rPr>
          <w:i/>
          <w:iCs/>
        </w:rPr>
        <w:t xml:space="preserve">v.</w:t>
      </w:r>
      <w:r>
        <w:rPr>
          <w:i/>
          <w:iCs/>
        </w:rPr>
        <w:t xml:space="preserve"> </w:t>
      </w:r>
      <w:r>
        <w:rPr>
          <w:i/>
          <w:iCs/>
        </w:rPr>
        <w:t xml:space="preserve">DentalPlans.com,</w:t>
      </w:r>
      <w:r>
        <w:t xml:space="preserve"> </w:t>
      </w:r>
      <w:r>
        <w:t xml:space="preserve">617</w:t>
      </w:r>
      <w:r>
        <w:t xml:space="preserve"> </w:t>
      </w:r>
      <w:r>
        <w:t xml:space="preserve">F.</w:t>
      </w:r>
      <w:r>
        <w:t xml:space="preserve"> </w:t>
      </w:r>
      <w:r>
        <w:t xml:space="preserve">Supp.</w:t>
      </w:r>
      <w:r>
        <w:t xml:space="preserve"> </w:t>
      </w:r>
      <w:r>
        <w:t xml:space="preserve">3d</w:t>
      </w:r>
      <w:r>
        <w:t xml:space="preserve"> </w:t>
      </w:r>
      <w:r>
        <w:t xml:space="preserve">326</w:t>
      </w:r>
      <w:r>
        <w:t xml:space="preserve"> </w:t>
      </w:r>
      <w:r>
        <w:t xml:space="preserve">(D.</w:t>
      </w:r>
      <w:r>
        <w:t xml:space="preserve"> </w:t>
      </w:r>
      <w:r>
        <w:t xml:space="preserve">Md.</w:t>
      </w:r>
      <w:r>
        <w:t xml:space="preserve"> </w:t>
      </w:r>
      <w:r>
        <w:t xml:space="preserve">2022)</w:t>
      </w:r>
    </w:p>
    <w:p>
      <w:pPr>
        <w:pStyle w:val="Single"/>
        <w:spacing w:before="0" w:after="120" w:line="240" w:lineRule="auto"/>
        <w:ind w:left="504" w:hanging="504"/>
      </w:pPr>
      <w:r>
        <w:rPr>
          <w:i/>
          <w:iCs/>
        </w:rPr>
        <w:t xml:space="preserve">Cabrera</w:t>
      </w:r>
      <w:r>
        <w:rPr>
          <w:i/>
          <w:iCs/>
        </w:rPr>
        <w:t xml:space="preserve"> </w:t>
      </w:r>
      <w:r>
        <w:rPr>
          <w:i/>
          <w:iCs/>
        </w:rPr>
        <w:t xml:space="preserve">v.</w:t>
      </w:r>
      <w:r>
        <w:rPr>
          <w:i/>
          <w:iCs/>
        </w:rPr>
        <w:t xml:space="preserve"> </w:t>
      </w:r>
      <w:r>
        <w:rPr>
          <w:i/>
          <w:iCs/>
        </w:rPr>
        <w:t xml:space="preserve">Gov’t</w:t>
      </w:r>
      <w:r>
        <w:rPr>
          <w:i/>
          <w:iCs/>
        </w:rPr>
        <w:t xml:space="preserve"> </w:t>
      </w:r>
      <w:r>
        <w:rPr>
          <w:i/>
          <w:iCs/>
        </w:rPr>
        <w:t xml:space="preserve">Emps.</w:t>
      </w:r>
      <w:r>
        <w:rPr>
          <w:i/>
          <w:iCs/>
        </w:rPr>
        <w:t xml:space="preserve"> </w:t>
      </w:r>
      <w:r>
        <w:rPr>
          <w:i/>
          <w:iCs/>
        </w:rPr>
        <w:t xml:space="preserve">Ins.</w:t>
      </w:r>
      <w:r>
        <w:rPr>
          <w:i/>
          <w:iCs/>
        </w:rPr>
        <w:t xml:space="preserve"> </w:t>
      </w:r>
      <w:r>
        <w:rPr>
          <w:i/>
          <w:iCs/>
        </w:rPr>
        <w:t xml:space="preserve">Co.,</w:t>
      </w:r>
      <w:r>
        <w:t xml:space="preserve"> </w:t>
      </w:r>
      <w:r>
        <w:t xml:space="preserve">452</w:t>
      </w:r>
      <w:r>
        <w:t xml:space="preserve"> </w:t>
      </w:r>
      <w:r>
        <w:t xml:space="preserve">F.</w:t>
      </w:r>
      <w:r>
        <w:t xml:space="preserve"> </w:t>
      </w:r>
      <w:r>
        <w:t xml:space="preserve">Supp.</w:t>
      </w:r>
      <w:r>
        <w:t xml:space="preserve"> </w:t>
      </w:r>
      <w:r>
        <w:t xml:space="preserve">3d</w:t>
      </w:r>
      <w:r>
        <w:t xml:space="preserve"> </w:t>
      </w:r>
      <w:r>
        <w:t xml:space="preserve">1305</w:t>
      </w:r>
      <w:r>
        <w:t xml:space="preserve"> </w:t>
      </w:r>
      <w:r>
        <w:t xml:space="preserve">(S.D.</w:t>
      </w:r>
      <w:r>
        <w:t xml:space="preserve"> </w:t>
      </w:r>
      <w:r>
        <w:t xml:space="preserve">Fla.</w:t>
      </w:r>
      <w:r>
        <w:t xml:space="preserve"> </w:t>
      </w:r>
      <w:r>
        <w:t xml:space="preserve">2014)</w:t>
      </w:r>
    </w:p>
    <w:p>
      <w:pPr>
        <w:pStyle w:val="Single"/>
        <w:spacing w:before="0" w:after="120" w:line="240" w:lineRule="auto"/>
        <w:ind w:left="504" w:hanging="504"/>
      </w:pPr>
      <w:r>
        <w:rPr>
          <w:i/>
          <w:iCs/>
        </w:rPr>
        <w:t xml:space="preserve">Childress</w:t>
      </w:r>
      <w:r>
        <w:rPr>
          <w:i/>
          <w:iCs/>
        </w:rPr>
        <w:t xml:space="preserve"> </w:t>
      </w:r>
      <w:r>
        <w:rPr>
          <w:i/>
          <w:iCs/>
        </w:rPr>
        <w:t xml:space="preserve">v.</w:t>
      </w:r>
      <w:r>
        <w:rPr>
          <w:i/>
          <w:iCs/>
        </w:rPr>
        <w:t xml:space="preserve"> </w:t>
      </w:r>
      <w:r>
        <w:rPr>
          <w:i/>
          <w:iCs/>
        </w:rPr>
        <w:t xml:space="preserve">Liberty</w:t>
      </w:r>
      <w:r>
        <w:rPr>
          <w:i/>
          <w:iCs/>
        </w:rPr>
        <w:t xml:space="preserve"> </w:t>
      </w:r>
      <w:r>
        <w:rPr>
          <w:i/>
          <w:iCs/>
        </w:rPr>
        <w:t xml:space="preserve">Mut.</w:t>
      </w:r>
      <w:r>
        <w:rPr>
          <w:i/>
          <w:iCs/>
        </w:rPr>
        <w:t xml:space="preserve"> </w:t>
      </w:r>
      <w:r>
        <w:rPr>
          <w:i/>
          <w:iCs/>
        </w:rPr>
        <w:t xml:space="preserve">Ins.</w:t>
      </w:r>
      <w:r>
        <w:rPr>
          <w:i/>
          <w:iCs/>
        </w:rPr>
        <w:t xml:space="preserve"> </w:t>
      </w:r>
      <w:r>
        <w:rPr>
          <w:i/>
          <w:iCs/>
        </w:rPr>
        <w:t xml:space="preserve">Co.,</w:t>
      </w:r>
      <w:r>
        <w:t xml:space="preserve"> </w:t>
      </w:r>
      <w:r>
        <w:t xml:space="preserve">2018</w:t>
      </w:r>
      <w:r>
        <w:t xml:space="preserve"> </w:t>
      </w:r>
      <w:r>
        <w:t xml:space="preserve">WL</w:t>
      </w:r>
      <w:r>
        <w:t xml:space="preserve"> </w:t>
      </w:r>
      <w:r>
        <w:t xml:space="preserve">4684209</w:t>
      </w:r>
      <w:r>
        <w:t xml:space="preserve"> </w:t>
      </w:r>
      <w:r>
        <w:t xml:space="preserve">(D.N.M.</w:t>
      </w:r>
      <w:r>
        <w:t xml:space="preserve"> </w:t>
      </w:r>
      <w:r>
        <w:t xml:space="preserve">Sept. 28,</w:t>
      </w:r>
      <w:r>
        <w:t xml:space="preserve"> </w:t>
      </w:r>
      <w:r>
        <w:t xml:space="preserve">2018)</w:t>
      </w:r>
    </w:p>
    <w:p>
      <w:pPr>
        <w:pStyle w:val="Single"/>
        <w:spacing w:before="0" w:after="120" w:line="240" w:lineRule="auto"/>
        <w:ind w:left="504" w:hanging="504"/>
      </w:pPr>
      <w:r>
        <w:rPr>
          <w:i/>
          <w:iCs/>
        </w:rPr>
        <w:t xml:space="preserve">Hossfeld</w:t>
      </w:r>
      <w:r>
        <w:rPr>
          <w:i/>
          <w:iCs/>
        </w:rPr>
        <w:t xml:space="preserve"> </w:t>
      </w:r>
      <w:r>
        <w:rPr>
          <w:i/>
          <w:iCs/>
        </w:rPr>
        <w:t xml:space="preserve">v.</w:t>
      </w:r>
      <w:r>
        <w:rPr>
          <w:i/>
          <w:iCs/>
        </w:rPr>
        <w:t xml:space="preserve"> </w:t>
      </w:r>
      <w:r>
        <w:rPr>
          <w:i/>
          <w:iCs/>
        </w:rPr>
        <w:t xml:space="preserve">Allstate</w:t>
      </w:r>
      <w:r>
        <w:rPr>
          <w:i/>
          <w:iCs/>
        </w:rPr>
        <w:t xml:space="preserve"> </w:t>
      </w:r>
      <w:r>
        <w:rPr>
          <w:i/>
          <w:iCs/>
        </w:rPr>
        <w:t xml:space="preserve">Ins.</w:t>
      </w:r>
      <w:r>
        <w:rPr>
          <w:i/>
          <w:iCs/>
        </w:rPr>
        <w:t xml:space="preserve"> </w:t>
      </w:r>
      <w:r>
        <w:rPr>
          <w:i/>
          <w:iCs/>
        </w:rPr>
        <w:t xml:space="preserve">Co.,</w:t>
      </w:r>
      <w:r>
        <w:t xml:space="preserve"> </w:t>
      </w:r>
      <w:r>
        <w:t xml:space="preserve">179</w:t>
      </w:r>
      <w:r>
        <w:t xml:space="preserve"> </w:t>
      </w:r>
      <w:r>
        <w:t xml:space="preserve">F.4th</w:t>
      </w:r>
      <w:r>
        <w:t xml:space="preserve"> </w:t>
      </w:r>
      <w:r>
        <w:t xml:space="preserve">1046</w:t>
      </w:r>
      <w:r>
        <w:t xml:space="preserve"> </w:t>
      </w:r>
      <w:r>
        <w:t xml:space="preserve">(7th</w:t>
      </w:r>
      <w:r>
        <w:t xml:space="preserve"> </w:t>
      </w:r>
      <w:r>
        <w:t xml:space="preserve">Cir.</w:t>
      </w:r>
      <w:r>
        <w:t xml:space="preserve"> </w:t>
      </w:r>
      <w:r>
        <w:t xml:space="preserve">2026)</w:t>
      </w:r>
    </w:p>
    <w:p>
      <w:pPr>
        <w:pStyle w:val="Single"/>
        <w:spacing w:before="0" w:after="120" w:line="240" w:lineRule="auto"/>
        <w:ind w:left="504" w:hanging="504"/>
      </w:pPr>
      <w:r>
        <w:rPr>
          <w:i/>
          <w:iCs/>
        </w:rPr>
        <w:t xml:space="preserve">Hossfeld</w:t>
      </w:r>
      <w:r>
        <w:rPr>
          <w:i/>
          <w:iCs/>
        </w:rPr>
        <w:t xml:space="preserve"> </w:t>
      </w:r>
      <w:r>
        <w:rPr>
          <w:i/>
          <w:iCs/>
        </w:rPr>
        <w:t xml:space="preserve">v.</w:t>
      </w:r>
      <w:r>
        <w:rPr>
          <w:i/>
          <w:iCs/>
        </w:rPr>
        <w:t xml:space="preserve"> </w:t>
      </w:r>
      <w:r>
        <w:rPr>
          <w:i/>
          <w:iCs/>
        </w:rPr>
        <w:t xml:space="preserve">Am.</w:t>
      </w:r>
      <w:r>
        <w:rPr>
          <w:i/>
          <w:iCs/>
        </w:rPr>
        <w:t xml:space="preserve"> </w:t>
      </w:r>
      <w:r>
        <w:rPr>
          <w:i/>
          <w:iCs/>
        </w:rPr>
        <w:t xml:space="preserve">Fin.</w:t>
      </w:r>
      <w:r>
        <w:rPr>
          <w:i/>
          <w:iCs/>
        </w:rPr>
        <w:t xml:space="preserve"> </w:t>
      </w:r>
      <w:r>
        <w:rPr>
          <w:i/>
          <w:iCs/>
        </w:rPr>
        <w:t xml:space="preserve">Sec.</w:t>
      </w:r>
      <w:r>
        <w:rPr>
          <w:i/>
          <w:iCs/>
        </w:rPr>
        <w:t xml:space="preserve"> </w:t>
      </w:r>
      <w:r>
        <w:rPr>
          <w:i/>
          <w:iCs/>
        </w:rPr>
        <w:t xml:space="preserve">Life</w:t>
      </w:r>
      <w:r>
        <w:rPr>
          <w:i/>
          <w:iCs/>
        </w:rPr>
        <w:t xml:space="preserve"> </w:t>
      </w:r>
      <w:r>
        <w:rPr>
          <w:i/>
          <w:iCs/>
        </w:rPr>
        <w:t xml:space="preserve">Ins.</w:t>
      </w:r>
      <w:r>
        <w:rPr>
          <w:i/>
          <w:iCs/>
        </w:rPr>
        <w:t xml:space="preserve"> </w:t>
      </w:r>
      <w:r>
        <w:rPr>
          <w:i/>
          <w:iCs/>
        </w:rPr>
        <w:t xml:space="preserve">Co.,</w:t>
      </w:r>
      <w:r>
        <w:t xml:space="preserve"> </w:t>
      </w:r>
      <w:r>
        <w:t xml:space="preserve">544</w:t>
      </w:r>
      <w:r>
        <w:t xml:space="preserve"> </w:t>
      </w:r>
      <w:r>
        <w:t xml:space="preserve">F.</w:t>
      </w:r>
      <w:r>
        <w:t xml:space="preserve"> </w:t>
      </w:r>
      <w:r>
        <w:t xml:space="preserve">Supp.</w:t>
      </w:r>
      <w:r>
        <w:t xml:space="preserve"> </w:t>
      </w:r>
      <w:r>
        <w:t xml:space="preserve">3d</w:t>
      </w:r>
      <w:r>
        <w:t xml:space="preserve"> </w:t>
      </w:r>
      <w:r>
        <w:t xml:space="preserve">1323</w:t>
      </w:r>
      <w:r>
        <w:t xml:space="preserve"> </w:t>
      </w:r>
      <w:r>
        <w:t xml:space="preserve">(S.D.</w:t>
      </w:r>
      <w:r>
        <w:t xml:space="preserve"> </w:t>
      </w:r>
      <w:r>
        <w:t xml:space="preserve">Fla.</w:t>
      </w:r>
      <w:r>
        <w:t xml:space="preserve"> </w:t>
      </w:r>
      <w:r>
        <w:t xml:space="preserve">2021)</w:t>
      </w:r>
    </w:p>
    <w:p>
      <w:pPr>
        <w:pStyle w:val="Single"/>
        <w:spacing w:before="0" w:after="120" w:line="240" w:lineRule="auto"/>
        <w:ind w:left="504" w:hanging="504"/>
      </w:pPr>
      <w:r>
        <w:rPr>
          <w:i/>
          <w:iCs/>
        </w:rPr>
        <w:t xml:space="preserve">In</w:t>
      </w:r>
      <w:r>
        <w:rPr>
          <w:i/>
          <w:iCs/>
        </w:rPr>
        <w:t xml:space="preserve"> </w:t>
      </w:r>
      <w:r>
        <w:rPr>
          <w:i/>
          <w:iCs/>
        </w:rPr>
        <w:t xml:space="preserve">re</w:t>
      </w:r>
      <w:r>
        <w:rPr>
          <w:i/>
          <w:iCs/>
        </w:rPr>
        <w:t xml:space="preserve"> </w:t>
      </w:r>
      <w:r>
        <w:rPr>
          <w:i/>
          <w:iCs/>
        </w:rPr>
        <w:t xml:space="preserve">Dish</w:t>
      </w:r>
      <w:r>
        <w:rPr>
          <w:i/>
          <w:iCs/>
        </w:rPr>
        <w:t xml:space="preserve"> </w:t>
      </w:r>
      <w:r>
        <w:rPr>
          <w:i/>
          <w:iCs/>
        </w:rPr>
        <w:t xml:space="preserve">Network,</w:t>
      </w:r>
      <w:r>
        <w:rPr>
          <w:i/>
          <w:iCs/>
        </w:rPr>
        <w:t xml:space="preserve"> </w:t>
      </w:r>
      <w:r>
        <w:rPr>
          <w:i/>
          <w:iCs/>
        </w:rPr>
        <w:t xml:space="preserve">LLC,</w:t>
      </w:r>
      <w:r>
        <w:t xml:space="preserve"> </w:t>
      </w:r>
      <w:r>
        <w:t xml:space="preserve">28</w:t>
      </w:r>
      <w:r>
        <w:t xml:space="preserve"> </w:t>
      </w:r>
      <w:r>
        <w:t xml:space="preserve">FCC</w:t>
      </w:r>
      <w:r>
        <w:t xml:space="preserve"> </w:t>
      </w:r>
      <w:r>
        <w:t xml:space="preserve">Rcd.</w:t>
      </w:r>
      <w:r>
        <w:t xml:space="preserve"> </w:t>
      </w:r>
      <w:r>
        <w:t xml:space="preserve">6574</w:t>
      </w:r>
      <w:r>
        <w:t xml:space="preserve"> </w:t>
      </w:r>
      <w:r>
        <w:t xml:space="preserve">(2013)</w:t>
      </w:r>
    </w:p>
    <w:p>
      <w:pPr>
        <w:pStyle w:val="Single"/>
        <w:spacing w:before="0" w:after="120" w:line="240" w:lineRule="auto"/>
        <w:ind w:left="504" w:hanging="504"/>
      </w:pPr>
      <w:r>
        <w:rPr>
          <w:i/>
          <w:iCs/>
        </w:rPr>
        <w:t xml:space="preserve">Jones</w:t>
      </w:r>
      <w:r>
        <w:rPr>
          <w:i/>
          <w:iCs/>
        </w:rPr>
        <w:t xml:space="preserve"> </w:t>
      </w:r>
      <w:r>
        <w:rPr>
          <w:i/>
          <w:iCs/>
        </w:rPr>
        <w:t xml:space="preserve">v.</w:t>
      </w:r>
      <w:r>
        <w:rPr>
          <w:i/>
          <w:iCs/>
        </w:rPr>
        <w:t xml:space="preserve"> </w:t>
      </w:r>
      <w:r>
        <w:rPr>
          <w:i/>
          <w:iCs/>
        </w:rPr>
        <w:t xml:space="preserve">Mutual</w:t>
      </w:r>
      <w:r>
        <w:rPr>
          <w:i/>
          <w:iCs/>
        </w:rPr>
        <w:t xml:space="preserve"> </w:t>
      </w:r>
      <w:r>
        <w:rPr>
          <w:i/>
          <w:iCs/>
        </w:rPr>
        <w:t xml:space="preserve">of</w:t>
      </w:r>
      <w:r>
        <w:rPr>
          <w:i/>
          <w:iCs/>
        </w:rPr>
        <w:t xml:space="preserve"> </w:t>
      </w:r>
      <w:r>
        <w:rPr>
          <w:i/>
          <w:iCs/>
        </w:rPr>
        <w:t xml:space="preserve">Omaha</w:t>
      </w:r>
      <w:r>
        <w:rPr>
          <w:i/>
          <w:iCs/>
        </w:rPr>
        <w:t xml:space="preserve"> </w:t>
      </w:r>
      <w:r>
        <w:rPr>
          <w:i/>
          <w:iCs/>
        </w:rPr>
        <w:t xml:space="preserve">Insurance</w:t>
      </w:r>
      <w:r>
        <w:rPr>
          <w:i/>
          <w:iCs/>
        </w:rPr>
        <w:t xml:space="preserve"> </w:t>
      </w:r>
      <w:r>
        <w:rPr>
          <w:i/>
          <w:iCs/>
        </w:rPr>
        <w:t xml:space="preserve">Co.,</w:t>
      </w:r>
      <w:r>
        <w:t xml:space="preserve"> </w:t>
      </w:r>
      <w:r>
        <w:t xml:space="preserve">639</w:t>
      </w:r>
      <w:r>
        <w:t xml:space="preserve"> </w:t>
      </w:r>
      <w:r>
        <w:t xml:space="preserve">F.</w:t>
      </w:r>
      <w:r>
        <w:t xml:space="preserve"> </w:t>
      </w:r>
      <w:r>
        <w:t xml:space="preserve">Supp.</w:t>
      </w:r>
      <w:r>
        <w:t xml:space="preserve"> </w:t>
      </w:r>
      <w:r>
        <w:t xml:space="preserve">3d</w:t>
      </w:r>
      <w:r>
        <w:t xml:space="preserve"> </w:t>
      </w:r>
      <w:r>
        <w:t xml:space="preserve">537</w:t>
      </w:r>
      <w:r>
        <w:t xml:space="preserve"> </w:t>
      </w:r>
      <w:r>
        <w:t xml:space="preserve">(D.</w:t>
      </w:r>
      <w:r>
        <w:t xml:space="preserve"> </w:t>
      </w:r>
      <w:r>
        <w:t xml:space="preserve">Md.</w:t>
      </w:r>
      <w:r>
        <w:t xml:space="preserve"> </w:t>
      </w:r>
      <w:r>
        <w:t xml:space="preserve">2022)</w:t>
      </w:r>
    </w:p>
    <w:p>
      <w:pPr>
        <w:pStyle w:val="Single"/>
        <w:spacing w:before="0" w:after="120" w:line="240" w:lineRule="auto"/>
        <w:ind w:left="504" w:hanging="504"/>
      </w:pPr>
      <w:r>
        <w:rPr>
          <w:i/>
          <w:iCs/>
        </w:rPr>
        <w:t xml:space="preserve">Jones</w:t>
      </w:r>
      <w:r>
        <w:rPr>
          <w:i/>
          <w:iCs/>
        </w:rPr>
        <w:t xml:space="preserve"> </w:t>
      </w:r>
      <w:r>
        <w:rPr>
          <w:i/>
          <w:iCs/>
        </w:rPr>
        <w:t xml:space="preserve">v.</w:t>
      </w:r>
      <w:r>
        <w:rPr>
          <w:i/>
          <w:iCs/>
        </w:rPr>
        <w:t xml:space="preserve"> </w:t>
      </w:r>
      <w:r>
        <w:rPr>
          <w:i/>
          <w:iCs/>
        </w:rPr>
        <w:t xml:space="preserve">Royal</w:t>
      </w:r>
      <w:r>
        <w:rPr>
          <w:i/>
          <w:iCs/>
        </w:rPr>
        <w:t xml:space="preserve"> </w:t>
      </w:r>
      <w:r>
        <w:rPr>
          <w:i/>
          <w:iCs/>
        </w:rPr>
        <w:t xml:space="preserve">Admin.</w:t>
      </w:r>
      <w:r>
        <w:rPr>
          <w:i/>
          <w:iCs/>
        </w:rPr>
        <w:t xml:space="preserve"> </w:t>
      </w:r>
      <w:r>
        <w:rPr>
          <w:i/>
          <w:iCs/>
        </w:rPr>
        <w:t xml:space="preserve">Servs.,</w:t>
      </w:r>
      <w:r>
        <w:rPr>
          <w:i/>
          <w:iCs/>
        </w:rPr>
        <w:t xml:space="preserve"> </w:t>
      </w:r>
      <w:r>
        <w:rPr>
          <w:i/>
          <w:iCs/>
        </w:rPr>
        <w:t xml:space="preserve">Inc.,</w:t>
      </w:r>
      <w:r>
        <w:t xml:space="preserve"> </w:t>
      </w:r>
      <w:r>
        <w:t xml:space="preserve">887</w:t>
      </w:r>
      <w:r>
        <w:t xml:space="preserve"> </w:t>
      </w:r>
      <w:r>
        <w:t xml:space="preserve">F.3d</w:t>
      </w:r>
      <w:r>
        <w:t xml:space="preserve"> </w:t>
      </w:r>
      <w:r>
        <w:t xml:space="preserve">443</w:t>
      </w:r>
      <w:r>
        <w:t xml:space="preserve"> </w:t>
      </w:r>
      <w:r>
        <w:t xml:space="preserve">(9th</w:t>
      </w:r>
      <w:r>
        <w:t xml:space="preserve"> </w:t>
      </w:r>
      <w:r>
        <w:t xml:space="preserve">Cir.</w:t>
      </w:r>
      <w:r>
        <w:t xml:space="preserve"> </w:t>
      </w:r>
      <w:r>
        <w:t xml:space="preserve">2018)</w:t>
      </w:r>
    </w:p>
    <w:p>
      <w:pPr>
        <w:pStyle w:val="Single"/>
        <w:spacing w:before="0" w:after="120" w:line="240" w:lineRule="auto"/>
        <w:ind w:left="504" w:hanging="504"/>
      </w:pPr>
      <w:r>
        <w:rPr>
          <w:i/>
          <w:iCs/>
        </w:rPr>
        <w:t xml:space="preserve">Kalu</w:t>
      </w:r>
      <w:r>
        <w:rPr>
          <w:i/>
          <w:iCs/>
        </w:rPr>
        <w:t xml:space="preserve"> </w:t>
      </w:r>
      <w:r>
        <w:rPr>
          <w:i/>
          <w:iCs/>
        </w:rPr>
        <w:t xml:space="preserve">v.</w:t>
      </w:r>
      <w:r>
        <w:rPr>
          <w:i/>
          <w:iCs/>
        </w:rPr>
        <w:t xml:space="preserve"> </w:t>
      </w:r>
      <w:r>
        <w:rPr>
          <w:i/>
          <w:iCs/>
        </w:rPr>
        <w:t xml:space="preserve">Spaulding,</w:t>
      </w:r>
      <w:r>
        <w:t xml:space="preserve"> </w:t>
      </w:r>
      <w:r>
        <w:t xml:space="preserve">113</w:t>
      </w:r>
      <w:r>
        <w:t xml:space="preserve"> </w:t>
      </w:r>
      <w:r>
        <w:t xml:space="preserve">F.4th</w:t>
      </w:r>
      <w:r>
        <w:t xml:space="preserve"> </w:t>
      </w:r>
      <w:r>
        <w:t xml:space="preserve">311</w:t>
      </w:r>
      <w:r>
        <w:t xml:space="preserve"> </w:t>
      </w:r>
      <w:r>
        <w:t xml:space="preserve">(3d</w:t>
      </w:r>
      <w:r>
        <w:t xml:space="preserve"> </w:t>
      </w:r>
      <w:r>
        <w:t xml:space="preserve">Cir.</w:t>
      </w:r>
      <w:r>
        <w:t xml:space="preserve"> </w:t>
      </w:r>
      <w:r>
        <w:t xml:space="preserve">2024)</w:t>
      </w:r>
    </w:p>
    <w:p>
      <w:pPr>
        <w:pStyle w:val="Single"/>
        <w:spacing w:before="0" w:after="120" w:line="240" w:lineRule="auto"/>
        <w:ind w:left="504" w:hanging="504"/>
      </w:pPr>
      <w:r>
        <w:rPr>
          <w:i/>
          <w:iCs/>
        </w:rPr>
        <w:t xml:space="preserve">Nelums</w:t>
      </w:r>
      <w:r>
        <w:rPr>
          <w:i/>
          <w:iCs/>
        </w:rPr>
        <w:t xml:space="preserve"> </w:t>
      </w:r>
      <w:r>
        <w:rPr>
          <w:i/>
          <w:iCs/>
        </w:rPr>
        <w:t xml:space="preserve">v.</w:t>
      </w:r>
      <w:r>
        <w:rPr>
          <w:i/>
          <w:iCs/>
        </w:rPr>
        <w:t xml:space="preserve"> </w:t>
      </w:r>
      <w:r>
        <w:rPr>
          <w:i/>
          <w:iCs/>
        </w:rPr>
        <w:t xml:space="preserve">Mandu</w:t>
      </w:r>
      <w:r>
        <w:rPr>
          <w:i/>
          <w:iCs/>
        </w:rPr>
        <w:t xml:space="preserve"> </w:t>
      </w:r>
      <w:r>
        <w:rPr>
          <w:i/>
          <w:iCs/>
        </w:rPr>
        <w:t xml:space="preserve">Wellness,</w:t>
      </w:r>
      <w:r>
        <w:rPr>
          <w:i/>
          <w:iCs/>
        </w:rPr>
        <w:t xml:space="preserve"> </w:t>
      </w:r>
      <w:r>
        <w:rPr>
          <w:i/>
          <w:iCs/>
        </w:rPr>
        <w:t xml:space="preserve">LLC,</w:t>
      </w:r>
      <w:r>
        <w:t xml:space="preserve"> </w:t>
      </w:r>
      <w:r>
        <w:t xml:space="preserve">2023</w:t>
      </w:r>
      <w:r>
        <w:t xml:space="preserve"> </w:t>
      </w:r>
      <w:r>
        <w:t xml:space="preserve">WL</w:t>
      </w:r>
      <w:r>
        <w:t xml:space="preserve"> </w:t>
      </w:r>
      <w:r>
        <w:t xml:space="preserve">5607594</w:t>
      </w:r>
      <w:r>
        <w:t xml:space="preserve"> </w:t>
      </w:r>
      <w:r>
        <w:t xml:space="preserve">(D.N.M.</w:t>
      </w:r>
      <w:r>
        <w:t xml:space="preserve"> </w:t>
      </w:r>
      <w:r>
        <w:t xml:space="preserve">Aug. 30,</w:t>
      </w:r>
      <w:r>
        <w:t xml:space="preserve"> </w:t>
      </w:r>
      <w:r>
        <w:t xml:space="preserve">2023)</w:t>
      </w:r>
    </w:p>
    <w:p>
      <w:pPr>
        <w:pStyle w:val="Single"/>
        <w:spacing w:before="0" w:after="120" w:line="240" w:lineRule="auto"/>
        <w:ind w:left="504" w:hanging="504"/>
      </w:pPr>
      <w:r>
        <w:rPr>
          <w:i/>
          <w:iCs/>
        </w:rPr>
        <w:t xml:space="preserve">Ortega</w:t>
      </w:r>
      <w:r>
        <w:rPr>
          <w:i/>
          <w:iCs/>
        </w:rPr>
        <w:t xml:space="preserve"> </w:t>
      </w:r>
      <w:r>
        <w:rPr>
          <w:i/>
          <w:iCs/>
        </w:rPr>
        <w:t xml:space="preserve">v.</w:t>
      </w:r>
      <w:r>
        <w:rPr>
          <w:i/>
          <w:iCs/>
        </w:rPr>
        <w:t xml:space="preserve"> </w:t>
      </w:r>
      <w:r>
        <w:rPr>
          <w:i/>
          <w:iCs/>
        </w:rPr>
        <w:t xml:space="preserve">DiTommaso</w:t>
      </w:r>
      <w:r>
        <w:rPr>
          <w:i/>
          <w:iCs/>
        </w:rPr>
        <w:t xml:space="preserve"> </w:t>
      </w:r>
      <w:r>
        <w:rPr>
          <w:i/>
          <w:iCs/>
        </w:rPr>
        <w:t xml:space="preserve">Inc.,</w:t>
      </w:r>
      <w:r>
        <w:t xml:space="preserve"> </w:t>
      </w:r>
      <w:r>
        <w:t xml:space="preserve">2025</w:t>
      </w:r>
      <w:r>
        <w:t xml:space="preserve"> </w:t>
      </w:r>
      <w:r>
        <w:t xml:space="preserve">WL</w:t>
      </w:r>
      <w:r>
        <w:t xml:space="preserve"> </w:t>
      </w:r>
      <w:r>
        <w:t xml:space="preserve">440278</w:t>
      </w:r>
      <w:r>
        <w:t xml:space="preserve"> </w:t>
      </w:r>
      <w:r>
        <w:t xml:space="preserve">(W.D.</w:t>
      </w:r>
      <w:r>
        <w:t xml:space="preserve"> </w:t>
      </w:r>
      <w:r>
        <w:t xml:space="preserve">Tex.</w:t>
      </w:r>
      <w:r>
        <w:t xml:space="preserve"> </w:t>
      </w:r>
      <w:r>
        <w:t xml:space="preserve">Feb. 6,</w:t>
      </w:r>
      <w:r>
        <w:t xml:space="preserve"> </w:t>
      </w:r>
      <w:r>
        <w:t xml:space="preserve">2025)</w:t>
      </w:r>
    </w:p>
    <w:p>
      <w:pPr>
        <w:pStyle w:val="Single"/>
        <w:spacing w:before="0" w:after="120" w:line="240" w:lineRule="auto"/>
        <w:ind w:left="504" w:hanging="504"/>
      </w:pPr>
      <w:r>
        <w:rPr>
          <w:i/>
          <w:iCs/>
        </w:rPr>
        <w:t xml:space="preserve">Pascal</w:t>
      </w:r>
      <w:r>
        <w:rPr>
          <w:i/>
          <w:iCs/>
        </w:rPr>
        <w:t xml:space="preserve"> </w:t>
      </w:r>
      <w:r>
        <w:rPr>
          <w:i/>
          <w:iCs/>
        </w:rPr>
        <w:t xml:space="preserve">v.</w:t>
      </w:r>
      <w:r>
        <w:rPr>
          <w:i/>
          <w:iCs/>
        </w:rPr>
        <w:t xml:space="preserve"> </w:t>
      </w:r>
      <w:r>
        <w:rPr>
          <w:i/>
          <w:iCs/>
        </w:rPr>
        <w:t xml:space="preserve">Agentra,</w:t>
      </w:r>
      <w:r>
        <w:rPr>
          <w:i/>
          <w:iCs/>
        </w:rPr>
        <w:t xml:space="preserve"> </w:t>
      </w:r>
      <w:r>
        <w:rPr>
          <w:i/>
          <w:iCs/>
        </w:rPr>
        <w:t xml:space="preserve">LLC,</w:t>
      </w:r>
      <w:r>
        <w:t xml:space="preserve"> </w:t>
      </w:r>
      <w:r>
        <w:t xml:space="preserve">2019</w:t>
      </w:r>
      <w:r>
        <w:t xml:space="preserve"> </w:t>
      </w:r>
      <w:r>
        <w:t xml:space="preserve">WL</w:t>
      </w:r>
      <w:r>
        <w:t xml:space="preserve"> </w:t>
      </w:r>
      <w:r>
        <w:t xml:space="preserve">5212961</w:t>
      </w:r>
      <w:r>
        <w:t xml:space="preserve"> </w:t>
      </w:r>
      <w:r>
        <w:t xml:space="preserve">(N.D.</w:t>
      </w:r>
      <w:r>
        <w:t xml:space="preserve"> </w:t>
      </w:r>
      <w:r>
        <w:t xml:space="preserve">Cal.</w:t>
      </w:r>
      <w:r>
        <w:t xml:space="preserve"> </w:t>
      </w:r>
      <w:r>
        <w:t xml:space="preserve">Oct. 16,</w:t>
      </w:r>
      <w:r>
        <w:t xml:space="preserve"> </w:t>
      </w:r>
      <w:r>
        <w:t xml:space="preserve">2019)</w:t>
      </w:r>
    </w:p>
    <w:p>
      <w:pPr>
        <w:pStyle w:val="Single"/>
        <w:spacing w:before="0" w:after="120" w:line="240" w:lineRule="auto"/>
        <w:ind w:left="504" w:hanging="504"/>
      </w:pPr>
      <w:r>
        <w:rPr>
          <w:i/>
          <w:iCs/>
        </w:rPr>
        <w:t xml:space="preserve">Smith</w:t>
      </w:r>
      <w:r>
        <w:rPr>
          <w:i/>
          <w:iCs/>
        </w:rPr>
        <w:t xml:space="preserve"> </w:t>
      </w:r>
      <w:r>
        <w:rPr>
          <w:i/>
          <w:iCs/>
        </w:rPr>
        <w:t xml:space="preserve">v.</w:t>
      </w:r>
      <w:r>
        <w:rPr>
          <w:i/>
          <w:iCs/>
        </w:rPr>
        <w:t xml:space="preserve"> </w:t>
      </w:r>
      <w:r>
        <w:rPr>
          <w:i/>
          <w:iCs/>
        </w:rPr>
        <w:t xml:space="preserve">Liberty</w:t>
      </w:r>
      <w:r>
        <w:rPr>
          <w:i/>
          <w:iCs/>
        </w:rPr>
        <w:t xml:space="preserve"> </w:t>
      </w:r>
      <w:r>
        <w:rPr>
          <w:i/>
          <w:iCs/>
        </w:rPr>
        <w:t xml:space="preserve">Mut.</w:t>
      </w:r>
      <w:r>
        <w:rPr>
          <w:i/>
          <w:iCs/>
        </w:rPr>
        <w:t xml:space="preserve"> </w:t>
      </w:r>
      <w:r>
        <w:rPr>
          <w:i/>
          <w:iCs/>
        </w:rPr>
        <w:t xml:space="preserve">Ins.</w:t>
      </w:r>
      <w:r>
        <w:rPr>
          <w:i/>
          <w:iCs/>
        </w:rPr>
        <w:t xml:space="preserve"> </w:t>
      </w:r>
      <w:r>
        <w:rPr>
          <w:i/>
          <w:iCs/>
        </w:rPr>
        <w:t xml:space="preserve">Co.,</w:t>
      </w:r>
      <w:r>
        <w:t xml:space="preserve"> </w:t>
      </w:r>
      <w:r>
        <w:t xml:space="preserve">2021</w:t>
      </w:r>
      <w:r>
        <w:t xml:space="preserve"> </w:t>
      </w:r>
      <w:r>
        <w:t xml:space="preserve">WL</w:t>
      </w:r>
      <w:r>
        <w:t xml:space="preserve"> </w:t>
      </w:r>
      <w:r>
        <w:t xml:space="preserve">1581017</w:t>
      </w:r>
      <w:r>
        <w:t xml:space="preserve"> </w:t>
      </w:r>
      <w:r>
        <w:t xml:space="preserve">(D.</w:t>
      </w:r>
      <w:r>
        <w:t xml:space="preserve"> </w:t>
      </w:r>
      <w:r>
        <w:t xml:space="preserve">Mass.</w:t>
      </w:r>
      <w:r>
        <w:t xml:space="preserve"> </w:t>
      </w:r>
      <w:r>
        <w:t xml:space="preserve">Apr. 22,</w:t>
      </w:r>
      <w:r>
        <w:t xml:space="preserve"> </w:t>
      </w:r>
      <w:r>
        <w:t xml:space="preserve">2021)</w:t>
      </w:r>
    </w:p>
    <w:p>
      <w:pPr>
        <w:pStyle w:val="Single"/>
        <w:spacing w:before="0" w:after="120" w:line="240" w:lineRule="auto"/>
        <w:ind w:left="504" w:hanging="504"/>
      </w:pPr>
      <w:r>
        <w:rPr>
          <w:i/>
          <w:iCs/>
        </w:rPr>
        <w:t xml:space="preserve">Tuso</w:t>
      </w:r>
      <w:r>
        <w:rPr>
          <w:i/>
          <w:iCs/>
        </w:rPr>
        <w:t xml:space="preserve"> </w:t>
      </w:r>
      <w:r>
        <w:rPr>
          <w:i/>
          <w:iCs/>
        </w:rPr>
        <w:t xml:space="preserve">v.</w:t>
      </w:r>
      <w:r>
        <w:rPr>
          <w:i/>
          <w:iCs/>
        </w:rPr>
        <w:t xml:space="preserve"> </w:t>
      </w:r>
      <w:r>
        <w:rPr>
          <w:i/>
          <w:iCs/>
        </w:rPr>
        <w:t xml:space="preserve">Lennar</w:t>
      </w:r>
      <w:r>
        <w:rPr>
          <w:i/>
          <w:iCs/>
        </w:rPr>
        <w:t xml:space="preserve"> </w:t>
      </w:r>
      <w:r>
        <w:rPr>
          <w:i/>
          <w:iCs/>
        </w:rPr>
        <w:t xml:space="preserve">Corp.,</w:t>
      </w:r>
      <w:r>
        <w:t xml:space="preserve"> </w:t>
      </w:r>
      <w:r>
        <w:t xml:space="preserve">2024</w:t>
      </w:r>
      <w:r>
        <w:t xml:space="preserve"> </w:t>
      </w:r>
      <w:r>
        <w:t xml:space="preserve">WL</w:t>
      </w:r>
      <w:r>
        <w:t xml:space="preserve"> </w:t>
      </w:r>
      <w:r>
        <w:t xml:space="preserve">1239474</w:t>
      </w:r>
      <w:r>
        <w:t xml:space="preserve"> </w:t>
      </w:r>
      <w:r>
        <w:t xml:space="preserve">(S.D.</w:t>
      </w:r>
      <w:r>
        <w:t xml:space="preserve"> </w:t>
      </w:r>
      <w:r>
        <w:t xml:space="preserve">Fla.</w:t>
      </w:r>
      <w:r>
        <w:t xml:space="preserve"> </w:t>
      </w:r>
      <w:r>
        <w:t xml:space="preserve">Mar. 22,</w:t>
      </w:r>
      <w:r>
        <w:t xml:space="preserve"> </w:t>
      </w:r>
      <w:r>
        <w:t xml:space="preserve">2024)</w:t>
      </w:r>
    </w:p>
    <w:p>
      <w:pPr>
        <w:pStyle w:val="Single"/>
        <w:spacing w:before="0" w:after="120" w:line="240" w:lineRule="auto"/>
        <w:ind w:left="504" w:hanging="504"/>
      </w:pPr>
      <w:r>
        <w:rPr>
          <w:i/>
          <w:iCs/>
        </w:rPr>
        <w:t xml:space="preserve">Usanovic</w:t>
      </w:r>
      <w:r>
        <w:rPr>
          <w:i/>
          <w:iCs/>
        </w:rPr>
        <w:t xml:space="preserve"> </w:t>
      </w:r>
      <w:r>
        <w:rPr>
          <w:i/>
          <w:iCs/>
        </w:rPr>
        <w:t xml:space="preserve">v.</w:t>
      </w:r>
      <w:r>
        <w:rPr>
          <w:i/>
          <w:iCs/>
        </w:rPr>
        <w:t xml:space="preserve"> </w:t>
      </w:r>
      <w:r>
        <w:rPr>
          <w:i/>
          <w:iCs/>
        </w:rPr>
        <w:t xml:space="preserve">Americana,</w:t>
      </w:r>
      <w:r>
        <w:rPr>
          <w:i/>
          <w:iCs/>
        </w:rPr>
        <w:t xml:space="preserve"> </w:t>
      </w:r>
      <w:r>
        <w:rPr>
          <w:i/>
          <w:iCs/>
        </w:rPr>
        <w:t xml:space="preserve">L.L.C.,</w:t>
      </w:r>
      <w:r>
        <w:t xml:space="preserve"> </w:t>
      </w:r>
      <w:r>
        <w:t xml:space="preserve">775</w:t>
      </w:r>
      <w:r>
        <w:t xml:space="preserve"> </w:t>
      </w:r>
      <w:r>
        <w:t xml:space="preserve">F.</w:t>
      </w:r>
      <w:r>
        <w:t xml:space="preserve"> </w:t>
      </w:r>
      <w:r>
        <w:t xml:space="preserve">Supp.</w:t>
      </w:r>
      <w:r>
        <w:t xml:space="preserve"> </w:t>
      </w:r>
      <w:r>
        <w:t xml:space="preserve">3d</w:t>
      </w:r>
      <w:r>
        <w:t xml:space="preserve"> </w:t>
      </w:r>
      <w:r>
        <w:t xml:space="preserve">1133</w:t>
      </w:r>
      <w:r>
        <w:t xml:space="preserve"> </w:t>
      </w:r>
      <w:r>
        <w:t xml:space="preserve">(D.</w:t>
      </w:r>
      <w:r>
        <w:t xml:space="preserve"> </w:t>
      </w:r>
      <w:r>
        <w:t xml:space="preserve">Nev.</w:t>
      </w:r>
      <w:r>
        <w:t xml:space="preserve"> </w:t>
      </w:r>
      <w:r>
        <w:t xml:space="preserve">2025)</w:t>
      </w:r>
    </w:p>
    <w:p>
      <w:pPr>
        <w:pStyle w:val="Single"/>
        <w:spacing w:before="0" w:after="120" w:line="240" w:lineRule="auto"/>
        <w:ind w:left="504" w:hanging="504"/>
      </w:pPr>
      <w:r>
        <w:rPr>
          <w:i/>
          <w:iCs/>
        </w:rPr>
        <w:t xml:space="preserve">Worsham</w:t>
      </w:r>
      <w:r>
        <w:rPr>
          <w:i/>
          <w:iCs/>
        </w:rPr>
        <w:t xml:space="preserve"> </w:t>
      </w:r>
      <w:r>
        <w:rPr>
          <w:i/>
          <w:iCs/>
        </w:rPr>
        <w:t xml:space="preserve">v.</w:t>
      </w:r>
      <w:r>
        <w:rPr>
          <w:i/>
          <w:iCs/>
        </w:rPr>
        <w:t xml:space="preserve"> </w:t>
      </w:r>
      <w:r>
        <w:rPr>
          <w:i/>
          <w:iCs/>
        </w:rPr>
        <w:t xml:space="preserve">TSS</w:t>
      </w:r>
      <w:r>
        <w:rPr>
          <w:i/>
          <w:iCs/>
        </w:rPr>
        <w:t xml:space="preserve"> </w:t>
      </w:r>
      <w:r>
        <w:rPr>
          <w:i/>
          <w:iCs/>
        </w:rPr>
        <w:t xml:space="preserve">Consulting</w:t>
      </w:r>
      <w:r>
        <w:rPr>
          <w:i/>
          <w:iCs/>
        </w:rPr>
        <w:t xml:space="preserve"> </w:t>
      </w:r>
      <w:r>
        <w:rPr>
          <w:i/>
          <w:iCs/>
        </w:rPr>
        <w:t xml:space="preserve">Grp.,</w:t>
      </w:r>
      <w:r>
        <w:rPr>
          <w:i/>
          <w:iCs/>
        </w:rPr>
        <w:t xml:space="preserve"> </w:t>
      </w:r>
      <w:r>
        <w:rPr>
          <w:i/>
          <w:iCs/>
        </w:rPr>
        <w:t xml:space="preserve">LLC,</w:t>
      </w:r>
      <w:r>
        <w:t xml:space="preserve"> </w:t>
      </w:r>
      <w:r>
        <w:t xml:space="preserve">2023</w:t>
      </w:r>
      <w:r>
        <w:t xml:space="preserve"> </w:t>
      </w:r>
      <w:r>
        <w:t xml:space="preserve">WL</w:t>
      </w:r>
      <w:r>
        <w:t xml:space="preserve"> </w:t>
      </w:r>
      <w:r>
        <w:t xml:space="preserve">2664203</w:t>
      </w:r>
      <w:r>
        <w:t xml:space="preserve"> </w:t>
      </w:r>
      <w:r>
        <w:t xml:space="preserve">(M.D. Fla.</w:t>
      </w:r>
      <w:r>
        <w:t xml:space="preserve"> </w:t>
      </w:r>
      <w:r>
        <w:t xml:space="preserve">Mar. 28,</w:t>
      </w:r>
      <w:r>
        <w:t xml:space="preserve"> </w:t>
      </w:r>
      <w:r>
        <w:t xml:space="preserve">2023)</w:t>
      </w:r>
    </w:p>
    <w:p>
      <w:pPr>
        <w:pStyle w:val="Single"/>
        <w:keepNext/>
        <w:spacing w:before="240" w:after="120" w:line="240" w:lineRule="auto"/>
        <w:ind w:firstLine="0"/>
      </w:pPr>
      <w:r>
        <w:rPr>
          <w:b/>
          <w:bCs/>
        </w:rPr>
        <w:t xml:space="preserve">Statutes</w:t>
      </w:r>
    </w:p>
    <w:p>
      <w:pPr>
        <w:pStyle w:val="Single"/>
        <w:spacing w:before="0" w:after="120" w:line="240" w:lineRule="auto"/>
        <w:ind w:left="504" w:hanging="504"/>
      </w:pPr>
      <w:r>
        <w:t xml:space="preserve">47</w:t>
      </w:r>
      <w:r>
        <w:t xml:space="preserve"> </w:t>
      </w:r>
      <w:r>
        <w:t xml:space="preserve">U.S.C.</w:t>
      </w:r>
      <w:r>
        <w:t xml:space="preserve"> </w:t>
      </w:r>
      <w:r>
        <w:t xml:space="preserve">§</w:t>
      </w:r>
      <w:r>
        <w:t xml:space="preserve"> </w:t>
      </w:r>
      <w:r>
        <w:t xml:space="preserve">227(b)</w:t>
      </w:r>
    </w:p>
    <w:p>
      <w:pPr>
        <w:pStyle w:val="Single"/>
        <w:spacing w:before="0" w:after="120" w:line="240" w:lineRule="auto"/>
        <w:ind w:left="504" w:hanging="504"/>
      </w:pPr>
      <w:r>
        <w:t xml:space="preserve">47</w:t>
      </w:r>
      <w:r>
        <w:t xml:space="preserve"> </w:t>
      </w:r>
      <w:r>
        <w:t xml:space="preserve">U.S.C.</w:t>
      </w:r>
      <w:r>
        <w:t xml:space="preserve"> </w:t>
      </w:r>
      <w:r>
        <w:t xml:space="preserve">§</w:t>
      </w:r>
      <w:r>
        <w:t xml:space="preserve"> </w:t>
      </w:r>
      <w:r>
        <w:t xml:space="preserve">227(b)(1)</w:t>
      </w:r>
    </w:p>
    <w:p>
      <w:pPr>
        <w:pStyle w:val="Single"/>
        <w:spacing w:before="0" w:after="120" w:line="240" w:lineRule="auto"/>
        <w:ind w:left="504" w:hanging="504"/>
      </w:pPr>
      <w:r>
        <w:t xml:space="preserve">Telephone</w:t>
      </w:r>
      <w:r>
        <w:t xml:space="preserve"> </w:t>
      </w:r>
      <w:r>
        <w:t xml:space="preserve">Consumer</w:t>
      </w:r>
      <w:r>
        <w:t xml:space="preserve"> </w:t>
      </w:r>
      <w:r>
        <w:t xml:space="preserve">Protection</w:t>
      </w:r>
      <w:r>
        <w:t xml:space="preserve"> </w:t>
      </w:r>
      <w:r>
        <w:t xml:space="preserve">Act</w:t>
      </w:r>
    </w:p>
    <w:p>
      <w:pPr>
        <w:pStyle w:val="Single"/>
        <w:keepNext/>
        <w:spacing w:before="240" w:after="120" w:line="240" w:lineRule="auto"/>
        <w:ind w:firstLine="0"/>
      </w:pPr>
      <w:r>
        <w:rPr>
          <w:b/>
          <w:bCs/>
        </w:rPr>
        <w:t xml:space="preserve">Rules</w:t>
      </w:r>
    </w:p>
    <w:p>
      <w:pPr>
        <w:pStyle w:val="Single"/>
        <w:spacing w:before="0" w:after="120" w:line="240" w:lineRule="auto"/>
        <w:ind w:left="504" w:hanging="504"/>
      </w:pPr>
      <w:r>
        <w:t xml:space="preserve">Rule</w:t>
      </w:r>
      <w:r>
        <w:t xml:space="preserve"> </w:t>
      </w:r>
      <w:r>
        <w:t xml:space="preserve">12(b)(6)</w:t>
      </w:r>
    </w:p>
    <w:p>
      <w:pPr>
        <w:pStyle w:val="Single"/>
        <w:spacing w:before="0" w:after="120" w:line="240" w:lineRule="auto"/>
        <w:ind w:left="504" w:hanging="504"/>
      </w:pPr>
      <w:r>
        <w:t xml:space="preserve">Rule</w:t>
      </w:r>
      <w:r>
        <w:t xml:space="preserve"> </w:t>
      </w:r>
      <w:r>
        <w:t xml:space="preserve">8</w:t>
      </w:r>
    </w:p>
    <w:p>
      <w:pPr>
        <w:pStyle w:val="Single"/>
        <w:keepNext/>
        <w:spacing w:before="240" w:after="120" w:line="240" w:lineRule="auto"/>
        <w:ind w:firstLine="0"/>
      </w:pPr>
      <w:r>
        <w:rPr>
          <w:b/>
          <w:bCs/>
        </w:rPr>
        <w:t xml:space="preserve">Other Authorities</w:t>
      </w:r>
    </w:p>
    <w:p>
      <w:pPr>
        <w:pStyle w:val="Single"/>
        <w:spacing w:before="0" w:after="120" w:line="240" w:lineRule="auto"/>
        <w:ind w:left="504" w:hanging="504"/>
      </w:pPr>
      <w:r>
        <w:t xml:space="preserve">Restatement</w:t>
      </w:r>
      <w:r>
        <w:t xml:space="preserve"> </w:t>
      </w:r>
      <w:r>
        <w:t xml:space="preserve">(Third)</w:t>
      </w:r>
      <w:r>
        <w:t xml:space="preserve"> </w:t>
      </w:r>
      <w:r>
        <w:t xml:space="preserve">of</w:t>
      </w:r>
      <w:r>
        <w:t xml:space="preserve"> </w:t>
      </w:r>
      <w:r>
        <w:t xml:space="preserve">Agency</w:t>
      </w:r>
      <w:r>
        <w:t xml:space="preserve"> </w:t>
      </w:r>
      <w:r>
        <w:t xml:space="preserve">§</w:t>
      </w:r>
      <w:r>
        <w:t xml:space="preserve"> </w:t>
      </w:r>
      <w:r>
        <w:t xml:space="preserve">2.03</w:t>
      </w:r>
    </w:p>
    <w:p>
      <w:pPr>
        <w:pStyle w:val="Single"/>
        <w:spacing w:before="0" w:after="120" w:line="240" w:lineRule="auto"/>
        <w:ind w:left="504" w:hanging="504"/>
      </w:pPr>
      <w:r>
        <w:t xml:space="preserve">Restatement</w:t>
      </w:r>
      <w:r>
        <w:t xml:space="preserve"> </w:t>
      </w:r>
      <w:r>
        <w:t xml:space="preserve">(Third)</w:t>
      </w:r>
      <w:r>
        <w:t xml:space="preserve"> </w:t>
      </w:r>
      <w:r>
        <w:t xml:space="preserve">of</w:t>
      </w:r>
      <w:r>
        <w:t xml:space="preserve"> </w:t>
      </w:r>
      <w:r>
        <w:t xml:space="preserve">Agency</w:t>
      </w:r>
      <w:r>
        <w:t xml:space="preserve"> </w:t>
      </w:r>
      <w:r>
        <w:t xml:space="preserve">§</w:t>
      </w:r>
      <w:r>
        <w:t xml:space="preserve"> </w:t>
      </w:r>
      <w:r>
        <w:t xml:space="preserve">4.01</w:t>
      </w:r>
    </w:p>
    <w:p>
      <w:pPr>
        <w:spacing w:before="0" w:after="0" w:line="240" w:lineRule="auto"/>
        <w:sectPr>
          <w:footerReference w:type="default" r:id="rId9"/>
          <w:pgSz w:w="12240" w:h="15840"/>
          <w:pgMar w:top="1440" w:right="1440" w:bottom="1440" w:left="1440" w:header="720" w:footer="720" w:gutter="0"/>
          <w:pgNumType w:fmt="lowerRoman" w:start="1"/>
        </w:sectPr>
      </w:pPr>
    </w:p>
    <w:p>
      <w:pPr>
        <w:pStyle w:val="FirstParagraph"/>
      </w:pPr>
      <w:r>
        <w:t xml:space="preserve">Defendant Safe Life Policy, LLC (“Safe Life”) files this Motion to Dismiss Plaintiff’s Complaint pursuant to Rule 12(b)(6) for failure to state a claim upon which relief can be granted, as follows:</w:t>
      </w:r>
    </w:p>
    <w:bookmarkStart w:id="21" w:name="factual-allegations"/>
    <w:p>
      <w:pPr>
        <w:pStyle w:val="Heading1"/>
      </w:pPr>
      <w:r>
        <w:t xml:space="preserve">FACTUAL ALLEGATIONS</w:t>
      </w:r>
    </w:p>
    <w:p>
      <w:pPr>
        <w:pStyle w:val="FirstParagraph"/>
      </w:pPr>
      <w:r>
        <w:t xml:space="preserve">Plaintiff</w:t>
      </w:r>
      <w:r>
        <w:rPr>
          <w:rStyle w:val="FootnoteReference"/>
        </w:rPr>
        <w:footnoteReference w:id="20"/>
      </w:r>
      <w:r>
        <w:t xml:space="preserve"> </w:t>
      </w:r>
      <w:r>
        <w:t xml:space="preserve">alleges that on March 12, 2026, he received a call that delivered artificial and or prerecorded voice messages. Complaint, D.I. 1 ¶ 15. The pre-recorded message did not identify the caller as working for or affiliated with Safe Life.</w:t>
      </w:r>
      <w:r>
        <w:t xml:space="preserve"> </w:t>
      </w:r>
      <w:r>
        <w:rPr>
          <w:i/>
          <w:iCs/>
        </w:rPr>
        <w:t xml:space="preserve">Id.</w:t>
      </w:r>
      <w:r>
        <w:t xml:space="preserve"> </w:t>
      </w:r>
      <w:r>
        <w:t xml:space="preserve">¶ 16. The pre-recorded message did not include any statement or suggestion that the call was made by or on behalf of Safe Life.</w:t>
      </w:r>
      <w:r>
        <w:t xml:space="preserve"> </w:t>
      </w:r>
      <w:r>
        <w:rPr>
          <w:i/>
          <w:iCs/>
        </w:rPr>
        <w:t xml:space="preserve">Id.</w:t>
      </w:r>
      <w:r>
        <w:t xml:space="preserve"> </w:t>
      </w:r>
      <w:r>
        <w:t xml:space="preserve">¶ 16. Plaintiff alleges that during the call, he was transferred to a live licensed insurance agent, who subsequently sent him an email on behalf of himself and Safe Life.</w:t>
      </w:r>
      <w:r>
        <w:t xml:space="preserve"> </w:t>
      </w:r>
      <w:r>
        <w:rPr>
          <w:i/>
          <w:iCs/>
        </w:rPr>
        <w:t xml:space="preserve">Id.</w:t>
      </w:r>
      <w:r>
        <w:t xml:space="preserve"> </w:t>
      </w:r>
      <w:r>
        <w:t xml:space="preserve">¶¶ 19-20.</w:t>
      </w:r>
    </w:p>
    <w:bookmarkEnd w:id="21"/>
    <w:bookmarkStart w:id="29" w:name="argument"/>
    <w:p>
      <w:pPr>
        <w:pStyle w:val="Heading1"/>
      </w:pPr>
      <w:r>
        <w:t xml:space="preserve">ARGUMENT</w:t>
      </w:r>
    </w:p>
    <w:p>
      <w:pPr>
        <w:pStyle w:val="FirstParagraph"/>
      </w:pPr>
      <w:r>
        <w:t xml:space="preserve">To survive a motion to dismiss under Rule 12(b)(6), a complaint must plead “enough facts to state a claim to relief that is plausible on its face.”</w:t>
      </w:r>
      <w:r>
        <w:t xml:space="preserve"> </w:t>
      </w:r>
      <w:r>
        <w:rPr>
          <w:i/>
          <w:iCs/>
        </w:rPr>
        <w:t xml:space="preserve">Bell Atlantic Corp. v. Twombly</w:t>
      </w:r>
      <w:r>
        <w:t xml:space="preserve">, 550 U.S. 544, 547 (2007). A claim is plausible only when the plaintiff pleads factual content that allows the court to draw a reasonable inference that the defendant is liable for the misconduct alleged.</w:t>
      </w:r>
      <w:r>
        <w:t xml:space="preserve"> </w:t>
      </w:r>
      <w:r>
        <w:rPr>
          <w:i/>
          <w:iCs/>
        </w:rPr>
        <w:t xml:space="preserve">Ashcroft v. Iqbal</w:t>
      </w:r>
      <w:r>
        <w:t xml:space="preserve">, 556 U.S. 662, 678 (2009). “Threadbare recitals of the elements of a cause of action, supported by mere conclusory statements, do not suffice,” and a court need not accept as true legal conclusions couched as factual allegations.</w:t>
      </w:r>
      <w:r>
        <w:t xml:space="preserve"> </w:t>
      </w:r>
      <w:r>
        <w:rPr>
          <w:i/>
          <w:iCs/>
        </w:rPr>
        <w:t xml:space="preserve">Id.</w:t>
      </w:r>
      <w:r>
        <w:t xml:space="preserve"> </w:t>
      </w:r>
      <w:r>
        <w:t xml:space="preserve">Rule 8 “does not unlock the doors of discovery for a plaintiff armed with nothing more than conclusions.”</w:t>
      </w:r>
      <w:r>
        <w:t xml:space="preserve"> </w:t>
      </w:r>
      <w:r>
        <w:rPr>
          <w:i/>
          <w:iCs/>
        </w:rPr>
        <w:t xml:space="preserve">Id.</w:t>
      </w:r>
      <w:r>
        <w:t xml:space="preserve"> </w:t>
      </w:r>
      <w:r>
        <w:t xml:space="preserve">at 678–79. When deciding a motion to dismiss, a court need accept only “reasonable inference[s]” in favor of the nonmoving party.</w:t>
      </w:r>
      <w:r>
        <w:t xml:space="preserve"> </w:t>
      </w:r>
      <w:r>
        <w:rPr>
          <w:i/>
          <w:iCs/>
        </w:rPr>
        <w:t xml:space="preserve">Kalu v. Spaulding</w:t>
      </w:r>
      <w:r>
        <w:t xml:space="preserve">, 113 F.4th 311, 325 (3d Cir. 2024) (granting motion to dismiss where “the plaintiff [wa]s not entitled to relief under any reasonable reading of the complaint”).</w:t>
      </w:r>
    </w:p>
    <w:p>
      <w:pPr>
        <w:pStyle w:val="BodyText"/>
      </w:pPr>
      <w:r>
        <w:t xml:space="preserve">The Telephone Consumer Protection Act imposes liability on the party that “makes” or “initiates” a call using an artificial or prerecorded voice. 47 U.S.C. § 227(b)(1). A plaintiff may proceed on either of two theories: (i) direct liability, which “applies only to entities that ‘initiate’ the telemarketing calls,” or (ii) vicarious liability, which “in the TCPA context[] is governed by the federal common law of agency.”</w:t>
      </w:r>
      <w:r>
        <w:t xml:space="preserve"> </w:t>
      </w:r>
      <w:r>
        <w:rPr>
          <w:i/>
          <w:iCs/>
        </w:rPr>
        <w:t xml:space="preserve">Tuso v. Lennar Corp.</w:t>
      </w:r>
      <w:r>
        <w:t xml:space="preserve">, 2024 WL 1239474, at *2 (S.D. Fla. Mar. 22, 2024) (quotation omitted). The Complaint fails to plead either theory against Safe Life.</w:t>
      </w:r>
    </w:p>
    <w:bookmarkStart w:id="23" w:name="X49d56d039c99d25bcafa0f9a630aa9260fa77b0"/>
    <w:p>
      <w:pPr>
        <w:pStyle w:val="Heading2"/>
      </w:pPr>
      <w:r>
        <w:t xml:space="preserve">I.</w:t>
      </w:r>
      <w:r>
        <w:tab/>
      </w:r>
      <w:r>
        <w:t xml:space="preserve">THE COMPLAINT DOES NOT ALLEGE THAT SAFE LIFE “INITIATED” THE CALLS.</w:t>
      </w:r>
    </w:p>
    <w:p>
      <w:pPr>
        <w:pStyle w:val="FirstParagraph"/>
      </w:pPr>
      <w:r>
        <w:t xml:space="preserve">Direct liability under the TCPA reaches only the entity that physically places the call. As the FCC has held, “a seller is not directly liable for a violation of the TCPA unless it initiates a call,” and “a person or entity ‘initiates’ a telephone call when it takes the steps necessary to physically place a telephone call.”</w:t>
      </w:r>
      <w:r>
        <w:t xml:space="preserve"> </w:t>
      </w:r>
      <w:r>
        <w:rPr>
          <w:i/>
          <w:iCs/>
        </w:rPr>
        <w:t xml:space="preserve">In re Dish Network, LLC</w:t>
      </w:r>
      <w:r>
        <w:t xml:space="preserve">, 28 FCC Rcd. 6574, 6582–83 (2013)</w:t>
      </w:r>
      <w:r>
        <w:rPr>
          <w:rStyle w:val="FootnoteReference"/>
        </w:rPr>
        <w:footnoteReference w:id="22"/>
      </w:r>
      <w:r>
        <w:t xml:space="preserve">;</w:t>
      </w:r>
      <w:r>
        <w:t xml:space="preserve"> </w:t>
      </w:r>
      <w:r>
        <w:rPr>
          <w:i/>
          <w:iCs/>
        </w:rPr>
        <w:t xml:space="preserve">accord</w:t>
      </w:r>
      <w:r>
        <w:t xml:space="preserve"> </w:t>
      </w:r>
      <w:r>
        <w:rPr>
          <w:i/>
          <w:iCs/>
        </w:rPr>
        <w:t xml:space="preserve">Worsham v. TSS Consulting Grp., LLC</w:t>
      </w:r>
      <w:r>
        <w:t xml:space="preserve">, 2023 WL 2664203, at *5 (M.D. Fla. Mar. 28, 2023). Courts thus confine direct liability to “entities that ‘initiate’ the telemarketing calls,” and “[t]his generally does not include persons or entities . . . that might merely have some role, however minor, in the causal chain that results in the making of a telephone call.”</w:t>
      </w:r>
      <w:r>
        <w:t xml:space="preserve"> </w:t>
      </w:r>
      <w:r>
        <w:rPr>
          <w:i/>
          <w:iCs/>
        </w:rPr>
        <w:t xml:space="preserve">Tuso</w:t>
      </w:r>
      <w:r>
        <w:t xml:space="preserve">, 2024 WL 1239474, at *2–3 (quoting</w:t>
      </w:r>
      <w:r>
        <w:t xml:space="preserve"> </w:t>
      </w:r>
      <w:r>
        <w:rPr>
          <w:i/>
          <w:iCs/>
        </w:rPr>
        <w:t xml:space="preserve">Hossfeld v. Am. Fin. Sec. Life Ins. Co.</w:t>
      </w:r>
      <w:r>
        <w:t xml:space="preserve">, 544 F. Supp. 3d 1323, 1331 (S.D. Fla. 2021));</w:t>
      </w:r>
      <w:r>
        <w:t xml:space="preserve"> </w:t>
      </w:r>
      <w:r>
        <w:rPr>
          <w:i/>
          <w:iCs/>
        </w:rPr>
        <w:t xml:space="preserve">see also</w:t>
      </w:r>
      <w:r>
        <w:t xml:space="preserve"> </w:t>
      </w:r>
      <w:r>
        <w:rPr>
          <w:i/>
          <w:iCs/>
        </w:rPr>
        <w:t xml:space="preserve">Cabrera v. Gov’t Emps. Ins. Co.</w:t>
      </w:r>
      <w:r>
        <w:t xml:space="preserve">, 452 F. Supp. 3d 1305, 1316 (S.D. Fla. 2014) (“[B]ecause GEICO did not make or initiate any of the calls at issue in this action, there can be no direct liability against GEICO under the TCPA.”).</w:t>
      </w:r>
    </w:p>
    <w:p>
      <w:pPr>
        <w:pStyle w:val="BodyText"/>
      </w:pPr>
      <w:r>
        <w:t xml:space="preserve">The Complaint does not—and cannot—allege that Safe Life physically placed the call to Plaintiff. To the contrary, Plaintiff’s own allegations concede that he “received a call that delivered artificial and or prerecorded voice messages” with no indication of who placed the call. D.I. 1 ¶¶ 15-16. Plaintiff only attributes the calls to Safe Life’s “affiliates, agents, and/or other persons or entities acting on Defendant’s behalf.” Compl. ¶¶ 47, 49, 50. Those hedged, disjunctive allegations are an admission that Plaintiff does not know who placed the calls and cannot allege that Safe Life did. That is precisely the pleading that courts reject as insufficient for direct liability.</w:t>
      </w:r>
      <w:r>
        <w:t xml:space="preserve"> </w:t>
      </w:r>
      <w:r>
        <w:rPr>
          <w:i/>
          <w:iCs/>
        </w:rPr>
        <w:t xml:space="preserve">See</w:t>
      </w:r>
      <w:r>
        <w:t xml:space="preserve"> </w:t>
      </w:r>
      <w:r>
        <w:rPr>
          <w:i/>
          <w:iCs/>
        </w:rPr>
        <w:t xml:space="preserve">Bank v. Spark Energy, LLC</w:t>
      </w:r>
      <w:r>
        <w:t xml:space="preserve">, 2020 WL 5752185, at *5 (E.D.N.Y. Sept. 24, 2020) (dismissing § 227(b) claim where “not one single factual statement [in the complaint] connect[s] the alleged calls to Defendant”) (quotation omitted).</w:t>
      </w:r>
    </w:p>
    <w:p>
      <w:pPr>
        <w:pStyle w:val="BodyText"/>
      </w:pPr>
      <w:r>
        <w:t xml:space="preserve">The point is reinforced by the content of the call itself. The prerecorded message Plaintiff quotes—delivered by a voice identifying itself only as “Sophie” and referencing a generic “senior final expense program”—never identified Safe Life. D.I. 1 ¶ 16. A complaint that does not allege that the prerecorded call identified the defendant, and does not connect the caller or any callback number to the defendant, fails to state a direct-liability claim.</w:t>
      </w:r>
      <w:r>
        <w:t xml:space="preserve"> </w:t>
      </w:r>
      <w:r>
        <w:rPr>
          <w:i/>
          <w:iCs/>
        </w:rPr>
        <w:t xml:space="preserve">Bank v. Consumer Tax Advocate, LLC</w:t>
      </w:r>
      <w:r>
        <w:t xml:space="preserve">, 2025 WL 1640500, at *3 (E.D.N.Y. Feb. 5, 2025) (report &amp; recommendation adopted by district court) (recommending dismissal where the complaint alleged only that “a telephone call was placed” and, ultimately, that it “was made pursuant to contracts,” with “no direct allegation” connecting any defendant to the call).</w:t>
      </w:r>
    </w:p>
    <w:p>
      <w:pPr>
        <w:pStyle w:val="BodyText"/>
      </w:pPr>
      <w:r>
        <w:t xml:space="preserve">Nor can Plaintiff manufacture direct liability from the fact that, after the call, he was transferred to a separate licensed agent (“Michael Springfield”) who later referenced Safe Life. D.I. 1 ¶¶ 19–21. The transferred agent’s after-the-fact self-identification does not establish that Safe Life placed the prerecorded call.</w:t>
      </w:r>
      <w:r>
        <w:t xml:space="preserve"> </w:t>
      </w:r>
      <w:r>
        <w:rPr>
          <w:i/>
          <w:iCs/>
        </w:rPr>
        <w:t xml:space="preserve">See</w:t>
      </w:r>
      <w:r>
        <w:t xml:space="preserve"> </w:t>
      </w:r>
      <w:r>
        <w:rPr>
          <w:i/>
          <w:iCs/>
        </w:rPr>
        <w:t xml:space="preserve">Worsham</w:t>
      </w:r>
      <w:r>
        <w:t xml:space="preserve">, 2023 WL 2664203, at *5 (representations that a live speaker “worked for” the defendant were “simply not enough” and constituted inadmissible hearsay; plaintiff “had not established that either Defendant ever initiated any of the calls”). Because the Complaint does not plausibly allege that Safe Life initiated the calls, the direct-liability theory must be dismissed.</w:t>
      </w:r>
    </w:p>
    <w:bookmarkEnd w:id="23"/>
    <w:bookmarkStart w:id="28" w:name="X72929d35095143ac63d6c77b1a9c5fd2e75893f"/>
    <w:p>
      <w:pPr>
        <w:pStyle w:val="Heading2"/>
      </w:pPr>
      <w:r>
        <w:t xml:space="preserve">II.</w:t>
      </w:r>
      <w:r>
        <w:tab/>
      </w:r>
      <w:r>
        <w:t xml:space="preserve">THE COMPLAINT DOES NOT ALLEGES ANY FACTS ESTABLISHING AN AGENCY RELATIONSHIP</w:t>
      </w:r>
    </w:p>
    <w:p>
      <w:pPr>
        <w:pStyle w:val="FirstParagraph"/>
      </w:pPr>
      <w:r>
        <w:t xml:space="preserve">Because Safe Life did not place the call, Plaintiff can prevail only by adequately pleading vicarious liability under “federal common law agency principles.”</w:t>
      </w:r>
      <w:r>
        <w:t xml:space="preserve"> </w:t>
      </w:r>
      <w:r>
        <w:rPr>
          <w:i/>
          <w:iCs/>
        </w:rPr>
        <w:t xml:space="preserve">Dish Network</w:t>
      </w:r>
      <w:r>
        <w:t xml:space="preserve">, 28 FCC Rcd. at 6584. A seller is not “strictly liable for all actions taken by their telemarketers;” liability attaches only where the plaintiff pleads facts establishing agency through (a) actual authority, (b) apparent authority, or (c) ratification.</w:t>
      </w:r>
      <w:r>
        <w:t xml:space="preserve"> </w:t>
      </w:r>
      <w:r>
        <w:rPr>
          <w:i/>
          <w:iCs/>
        </w:rPr>
        <w:t xml:space="preserve">Bradley v. DentalPlans.com</w:t>
      </w:r>
      <w:r>
        <w:t xml:space="preserve">, 617 F. Supp. 3d 326, 338 (D. Md. 2022) (citing</w:t>
      </w:r>
      <w:r>
        <w:t xml:space="preserve"> </w:t>
      </w:r>
      <w:r>
        <w:rPr>
          <w:i/>
          <w:iCs/>
        </w:rPr>
        <w:t xml:space="preserve">id.</w:t>
      </w:r>
      <w:r>
        <w:t xml:space="preserve">);</w:t>
      </w:r>
      <w:r>
        <w:t xml:space="preserve"> </w:t>
      </w:r>
      <w:r>
        <w:rPr>
          <w:i/>
          <w:iCs/>
        </w:rPr>
        <w:t xml:space="preserve">see</w:t>
      </w:r>
      <w:r>
        <w:t xml:space="preserve"> </w:t>
      </w:r>
      <w:r>
        <w:rPr>
          <w:i/>
          <w:iCs/>
        </w:rPr>
        <w:t xml:space="preserve">Pascal v. Agentra, LLC</w:t>
      </w:r>
      <w:r>
        <w:t xml:space="preserve">, 2019 WL 5212961 (N.D. Cal. Oct. 16, 2019). A plaintiff “must allege some facts regarding the relationship between an alleged principal and agent” and “cannot simply allege general control in a vacuum.”</w:t>
      </w:r>
      <w:r>
        <w:t xml:space="preserve"> </w:t>
      </w:r>
      <w:r>
        <w:rPr>
          <w:i/>
          <w:iCs/>
        </w:rPr>
        <w:t xml:space="preserve">Nelums v. Mandu Wellness, LLC</w:t>
      </w:r>
      <w:r>
        <w:t xml:space="preserve">, 2023 WL 5607594, at *8 (D.N.M. Aug. 30, 2023) (quotation omitted). Plaintiff pleads no such facts here; his agency allegations are the paradigmatic “[t]hreadbare recitals” rejected in Iqbal.</w:t>
      </w:r>
    </w:p>
    <w:bookmarkStart w:id="24" w:name="Xdf32103c2fa962b1af9a6bc2dc7455817ca15cb"/>
    <w:p>
      <w:pPr>
        <w:pStyle w:val="Heading3"/>
      </w:pPr>
      <w:r>
        <w:t xml:space="preserve">A.</w:t>
      </w:r>
      <w:r>
        <w:tab/>
      </w:r>
      <w:r>
        <w:t xml:space="preserve">Plaintiff Pleads No Facts Showing Actual Authority—I.E., Safe Life’s Control Over The Manner And Means Of The Calls</w:t>
      </w:r>
    </w:p>
    <w:p>
      <w:pPr>
        <w:pStyle w:val="FirstParagraph"/>
      </w:pPr>
      <w:r>
        <w:t xml:space="preserve">Actual authority requires that the principal “controlled, or had the right to control,” the “manner and means” of the telemarketing campaign, including the power to give interim instructions.</w:t>
      </w:r>
      <w:r>
        <w:t xml:space="preserve"> </w:t>
      </w:r>
      <w:r>
        <w:rPr>
          <w:i/>
          <w:iCs/>
        </w:rPr>
        <w:t xml:space="preserve">Usanovic v. Americana, L.L.C.</w:t>
      </w:r>
      <w:r>
        <w:t xml:space="preserve">, 775 F. Supp. 3d 1133, 1140 (D. Nev. 2025);</w:t>
      </w:r>
      <w:r>
        <w:t xml:space="preserve"> </w:t>
      </w:r>
      <w:r>
        <w:rPr>
          <w:i/>
          <w:iCs/>
        </w:rPr>
        <w:t xml:space="preserve">see</w:t>
      </w:r>
      <w:r>
        <w:t xml:space="preserve"> </w:t>
      </w:r>
      <w:r>
        <w:rPr>
          <w:i/>
          <w:iCs/>
        </w:rPr>
        <w:t xml:space="preserve">Jones v. Royal Admin. Servs., Inc.</w:t>
      </w:r>
      <w:r>
        <w:t xml:space="preserve">, 887 F.3d 443, 449 (9th Cir. 2018). The Complaint contains no allegation that Safe Life directed the caller’s scripts, dialing technology, call volume, target lists, hours, or geography—nothing about control at all. It offers only the conclusion that unnamed “persons or entities” acted “on Defendant’s behalf.” D.I. 1 ¶¶ 47, 49. That is legally insufficient.</w:t>
      </w:r>
    </w:p>
    <w:p>
      <w:pPr>
        <w:pStyle w:val="BodyText"/>
      </w:pPr>
      <w:r>
        <w:t xml:space="preserve">In</w:t>
      </w:r>
      <w:r>
        <w:t xml:space="preserve"> </w:t>
      </w:r>
      <w:r>
        <w:rPr>
          <w:i/>
          <w:iCs/>
        </w:rPr>
        <w:t xml:space="preserve">Usanovic</w:t>
      </w:r>
      <w:r>
        <w:t xml:space="preserve">, the court dismissed with prejudice where the plaintiff alleged far more—trainings, recommended dialers and vendors, and scripts—because she did not allege those practices were required or that the seller supervised or directed the calls. Plaintiff here alleges even less.</w:t>
      </w:r>
    </w:p>
    <w:bookmarkEnd w:id="24"/>
    <w:bookmarkStart w:id="25" w:name="Xb353c6fc1c4c9e2a308130e14af285d3ad82547"/>
    <w:p>
      <w:pPr>
        <w:pStyle w:val="Heading3"/>
      </w:pPr>
      <w:r>
        <w:t xml:space="preserve">B.</w:t>
      </w:r>
      <w:r>
        <w:tab/>
      </w:r>
      <w:r>
        <w:t xml:space="preserve">Plaintiff Pleads No Facts Showing Apparent Authority, Because The Calls Never Identified Safe Life.</w:t>
      </w:r>
    </w:p>
    <w:p>
      <w:pPr>
        <w:pStyle w:val="FirstParagraph"/>
      </w:pPr>
      <w:r>
        <w:t xml:space="preserve">Apparent authority “arises from the principal’s manifestations to a third party” and “cannot be established merely by showing” the conduct of the purported agent.</w:t>
      </w:r>
      <w:r>
        <w:t xml:space="preserve"> </w:t>
      </w:r>
      <w:r>
        <w:rPr>
          <w:i/>
          <w:iCs/>
        </w:rPr>
        <w:t xml:space="preserve">Pascal</w:t>
      </w:r>
      <w:r>
        <w:t xml:space="preserve">, 2019 WL 5212961, at *4 (quotation omitted);</w:t>
      </w:r>
      <w:r>
        <w:t xml:space="preserve"> </w:t>
      </w:r>
      <w:r>
        <w:rPr>
          <w:i/>
          <w:iCs/>
        </w:rPr>
        <w:t xml:space="preserve">see</w:t>
      </w:r>
      <w:r>
        <w:t xml:space="preserve"> </w:t>
      </w:r>
      <w:r>
        <w:t xml:space="preserve">Restatement (Third) of Agency § 2.03. There must be “something said or done by [the principal] on which [the plaintiff] reasonably relied.”</w:t>
      </w:r>
      <w:r>
        <w:t xml:space="preserve"> </w:t>
      </w:r>
      <w:r>
        <w:rPr>
          <w:i/>
          <w:iCs/>
        </w:rPr>
        <w:t xml:space="preserve">Id.</w:t>
      </w:r>
      <w:r>
        <w:t xml:space="preserve"> </w:t>
      </w:r>
      <w:r>
        <w:t xml:space="preserve">The Complaint identifies no manifestation by Safe Life to Plaintiff. Indeed, it forecloses apparent authority: the prerecorded call did not mention Safe Life at all [D.I. 1 ¶ 16], so nothing Safe Life allegedly “said or done” could have led Plaintiff to believe the caller acted on Safe Life’s behalf.</w:t>
      </w:r>
      <w:r>
        <w:t xml:space="preserve"> </w:t>
      </w:r>
      <w:r>
        <w:rPr>
          <w:i/>
          <w:iCs/>
        </w:rPr>
        <w:t xml:space="preserve">Cf.</w:t>
      </w:r>
      <w:r>
        <w:t xml:space="preserve"> </w:t>
      </w:r>
      <w:r>
        <w:rPr>
          <w:i/>
          <w:iCs/>
        </w:rPr>
        <w:t xml:space="preserve">Nelums</w:t>
      </w:r>
      <w:r>
        <w:t xml:space="preserve">, 2023 WL 5607594, at *4 (dismissing where the messages “never identified any seller or sponsor”). The Seventh Circuit confirmed the principle: “only the words or conduct of the alleged principal, not the alleged agent, establish the . . . authority of an agent,” and a caller’s own statement that it is calling “on [the seller’s] behalf” is insufficient.</w:t>
      </w:r>
      <w:r>
        <w:t xml:space="preserve"> </w:t>
      </w:r>
      <w:r>
        <w:rPr>
          <w:i/>
          <w:iCs/>
        </w:rPr>
        <w:t xml:space="preserve">Hossfeld v. Allstate Ins. Co.</w:t>
      </w:r>
      <w:r>
        <w:t xml:space="preserve">, 179 F.4th 1046, 1056 (7th Cir. 2026). The transferred agent’s later reference to Safe Life is therefore doubly beside the point—it is the purported agent’s statement (that he works “with” not for Safe Life), not Safe Life’s, and Plaintiff alleges no manifestation by Safe Life and no reasonable reliance.</w:t>
      </w:r>
      <w:r>
        <w:t xml:space="preserve"> </w:t>
      </w:r>
      <w:r>
        <w:rPr>
          <w:i/>
          <w:iCs/>
        </w:rPr>
        <w:t xml:space="preserve">See</w:t>
      </w:r>
      <w:r>
        <w:t xml:space="preserve"> </w:t>
      </w:r>
      <w:r>
        <w:rPr>
          <w:i/>
          <w:iCs/>
        </w:rPr>
        <w:t xml:space="preserve">Smith v. Liberty Mut. Ins. Co.</w:t>
      </w:r>
      <w:r>
        <w:t xml:space="preserve">, 2021 WL 1581017, at *5 (D. Mass. Apr. 22, 2021) (no apparent authority where the complaint pleaded no manifestation by the seller and did not allege that “anyone on the calls said they were calling on behalf of Liberty Mutual”).</w:t>
      </w:r>
    </w:p>
    <w:bookmarkEnd w:id="25"/>
    <w:bookmarkStart w:id="26" w:name="Xb3823f564048ece6afb0ae8ce405b23f6a89dc5"/>
    <w:p>
      <w:pPr>
        <w:pStyle w:val="Heading3"/>
      </w:pPr>
      <w:r>
        <w:t xml:space="preserve">C.</w:t>
      </w:r>
      <w:r>
        <w:tab/>
      </w:r>
      <w:r>
        <w:t xml:space="preserve">Plaintiff Pleads No Facts Showing Ratification, Which In Any Event Presupposes An Agency Relationship He Has Not Alleged</w:t>
      </w:r>
    </w:p>
    <w:p>
      <w:pPr>
        <w:pStyle w:val="FirstParagraph"/>
      </w:pPr>
      <w:r>
        <w:t xml:space="preserve">Ratification is “the affirmance of a prior act done by another, whereby the act is given effect as if done by an agent acting with actual authority.” Restatement (Third) of Agency § 4.01. But “the principal-agent relationship is still a requisite, and ratification can have no meaning without it.”</w:t>
      </w:r>
      <w:r>
        <w:t xml:space="preserve"> </w:t>
      </w:r>
      <w:r>
        <w:rPr>
          <w:i/>
          <w:iCs/>
        </w:rPr>
        <w:t xml:space="preserve">Pascal</w:t>
      </w:r>
      <w:r>
        <w:t xml:space="preserve">, 2019 WL 5212961, at *4 (quotation omitted). Having failed to allege any agency relationship, Plaintiff cannot rest on ratification. He also pleads no facts that Safe Life knew of the specific unlawful calls and knowingly accepted their benefits—another independent deficiency.</w:t>
      </w:r>
      <w:r>
        <w:t xml:space="preserve"> </w:t>
      </w:r>
      <w:r>
        <w:rPr>
          <w:i/>
          <w:iCs/>
        </w:rPr>
        <w:t xml:space="preserve">See id.</w:t>
      </w:r>
      <w:r>
        <w:t xml:space="preserve">;</w:t>
      </w:r>
      <w:r>
        <w:t xml:space="preserve"> </w:t>
      </w:r>
      <w:r>
        <w:rPr>
          <w:i/>
          <w:iCs/>
        </w:rPr>
        <w:t xml:space="preserve">Usanovic</w:t>
      </w:r>
      <w:r>
        <w:t xml:space="preserve">, 775 F. Supp. 3d at 1140–41 (rejecting ratification absent allegations that the seller knew of the violating calls or received a benefit from them).</w:t>
      </w:r>
    </w:p>
    <w:bookmarkEnd w:id="26"/>
    <w:bookmarkStart w:id="27" w:name="X5db0c957bc135762126522fbc02bf9078eaa2de"/>
    <w:p>
      <w:pPr>
        <w:pStyle w:val="Heading3"/>
      </w:pPr>
      <w:r>
        <w:t xml:space="preserve">D.</w:t>
      </w:r>
      <w:r>
        <w:tab/>
      </w:r>
      <w:r>
        <w:t xml:space="preserve">The Transfer Of Interested Consumers To Safe Life Does Not Create Agency, And The Contrary Cases Are Readily Distinguishable</w:t>
      </w:r>
    </w:p>
    <w:p>
      <w:pPr>
        <w:pStyle w:val="FirstParagraph"/>
      </w:pPr>
      <w:r>
        <w:t xml:space="preserve">Plaintiff will likely argue that the “warm transfer” to Michael Springfield supplies the missing agency link. It does not. Courts squarely hold that a lead generator’s transfer of an interested consumer to the seller’s representative—to complete a sale—does not establish that the seller controlled, supervised, or maintained the requisite relationship with the initiator of the call.</w:t>
      </w:r>
      <w:r>
        <w:t xml:space="preserve"> </w:t>
      </w:r>
      <w:r>
        <w:rPr>
          <w:i/>
          <w:iCs/>
        </w:rPr>
        <w:t xml:space="preserve">Nelums</w:t>
      </w:r>
      <w:r>
        <w:t xml:space="preserve">, 2023 WL 5607594, at *4 (following</w:t>
      </w:r>
      <w:r>
        <w:t xml:space="preserve"> </w:t>
      </w:r>
      <w:r>
        <w:rPr>
          <w:i/>
          <w:iCs/>
        </w:rPr>
        <w:t xml:space="preserve">Childress v. Liberty Mut. Ins. Co.</w:t>
      </w:r>
      <w:r>
        <w:t xml:space="preserve">, 2018 WL 4684209 (D.N.M. Sept. 28, 2018), as quoted in</w:t>
      </w:r>
      <w:r>
        <w:t xml:space="preserve"> </w:t>
      </w:r>
      <w:r>
        <w:rPr>
          <w:i/>
          <w:iCs/>
        </w:rPr>
        <w:t xml:space="preserve">Nelums</w:t>
      </w:r>
      <w:r>
        <w:t xml:space="preserve">, 2023 WL 5607594, at *9) (holding that where “the initial telemarketer transferred the plaintiff to the defendant’s in-house representative to complete the purchase,” those facts were “insufficient to establish that the defendant exerted control over the initiator of the call”).</w:t>
      </w:r>
    </w:p>
    <w:p>
      <w:pPr>
        <w:pStyle w:val="BodyText"/>
      </w:pPr>
      <w:r>
        <w:t xml:space="preserve">That conclusion is reinforced by the Seventh Circuit’s recent decision in</w:t>
      </w:r>
      <w:r>
        <w:t xml:space="preserve"> </w:t>
      </w:r>
      <w:r>
        <w:rPr>
          <w:i/>
          <w:iCs/>
        </w:rPr>
        <w:t xml:space="preserve">Hossfeld</w:t>
      </w:r>
      <w:r>
        <w:t xml:space="preserve">, 179 F.4th, at 1055-56, which reversed a finding of liability against a seller on closely analogous facts: a telemarketer screened consumers and transferred only interested prospects, and the calling had been subcontracted down a chain the seller neither knew of nor directed. The court held the seller was not vicariously liable under any agency theory absent an affirmative manifestation of authority, emphasizing that “[a]gency relationships are not the default” and that the party asserting agency bears the burden of proving it.</w:t>
      </w:r>
      <w:r>
        <w:t xml:space="preserve"> </w:t>
      </w:r>
      <w:r>
        <w:rPr>
          <w:i/>
          <w:iCs/>
        </w:rPr>
        <w:t xml:space="preserve">Id.</w:t>
      </w:r>
      <w:r>
        <w:t xml:space="preserve"> </w:t>
      </w:r>
      <w:r>
        <w:t xml:space="preserve">at 1055. The screening-and-transfer model alleged here—in which interested consumers were routed to Safe Life or to a competitor—is the hallmark of an independent lead generator acting for its own account, not a controlled agent of Safe Life.</w:t>
      </w:r>
    </w:p>
    <w:p>
      <w:pPr>
        <w:pStyle w:val="BodyText"/>
      </w:pPr>
      <w:r>
        <w:t xml:space="preserve">The decisions denying dismissal on transfer facts only underscore what is missing here. In</w:t>
      </w:r>
      <w:r>
        <w:t xml:space="preserve"> </w:t>
      </w:r>
      <w:r>
        <w:rPr>
          <w:i/>
          <w:iCs/>
        </w:rPr>
        <w:t xml:space="preserve">Ortega v. DiTommaso Inc.</w:t>
      </w:r>
      <w:r>
        <w:t xml:space="preserve">, 2025 WL 440278, at *6 (W.D. Tex. Feb. 6, 2025), the caller transferred the plaintiff directly to an owner of the defendant, who then texted the plaintiff from the defendant’s own business—facts tracing the call to the defendant. And in</w:t>
      </w:r>
      <w:r>
        <w:t xml:space="preserve"> </w:t>
      </w:r>
      <w:r>
        <w:rPr>
          <w:i/>
          <w:iCs/>
        </w:rPr>
        <w:t xml:space="preserve">Jones v. Mutual of Omaha Insurance Co.</w:t>
      </w:r>
      <w:r>
        <w:t xml:space="preserve">, 639 F. Supp. 3d 537 (D. Md. 2022), the plaintiff alleged the seller controlled the manner and means of the campaign (dictating call volume and permissible states, requiring promotion of its products, and retaining the right to bar prerecorded technology) and was transferred to a person who identified as the seller’s employee. Here, by contrast, the prerecorded call never identified Safe Life, and Plaintiff alleges no control whatsoever. The Complaint therefore falls on the</w:t>
      </w:r>
      <w:r>
        <w:t xml:space="preserve"> </w:t>
      </w:r>
      <w:r>
        <w:rPr>
          <w:i/>
          <w:iCs/>
        </w:rPr>
        <w:t xml:space="preserve">Nelums</w:t>
      </w:r>
      <w:r>
        <w:t xml:space="preserve">/</w:t>
      </w:r>
      <w:r>
        <w:rPr>
          <w:i/>
          <w:iCs/>
        </w:rPr>
        <w:t xml:space="preserve">Childress</w:t>
      </w:r>
      <w:r>
        <w:t xml:space="preserve"> </w:t>
      </w:r>
      <w:r>
        <w:t xml:space="preserve">side of the line, not the</w:t>
      </w:r>
      <w:r>
        <w:t xml:space="preserve"> </w:t>
      </w:r>
      <w:r>
        <w:rPr>
          <w:i/>
          <w:iCs/>
        </w:rPr>
        <w:t xml:space="preserve">Ortega</w:t>
      </w:r>
      <w:r>
        <w:t xml:space="preserve">/</w:t>
      </w:r>
      <w:r>
        <w:rPr>
          <w:i/>
          <w:iCs/>
        </w:rPr>
        <w:t xml:space="preserve">Jones</w:t>
      </w:r>
      <w:r>
        <w:t xml:space="preserve"> </w:t>
      </w:r>
      <w:r>
        <w:t xml:space="preserve">side.</w:t>
      </w:r>
    </w:p>
    <w:bookmarkEnd w:id="27"/>
    <w:bookmarkEnd w:id="28"/>
    <w:bookmarkEnd w:id="29"/>
    <w:bookmarkStart w:id="30" w:name="conclusion"/>
    <w:p>
      <w:pPr>
        <w:pStyle w:val="Heading1"/>
      </w:pPr>
      <w:r>
        <w:t xml:space="preserve">CONCLUSION</w:t>
      </w:r>
    </w:p>
    <w:p>
      <w:pPr>
        <w:pStyle w:val="FirstParagraph"/>
      </w:pPr>
      <w:r>
        <w:t xml:space="preserve">Because the Complaint does not plausibly allege that Safe Life initiated the calls or that any caller acted as Safe Life’s agent, it fails to state a claim under 47 U.S.C. § 227(b). Safe Life respectfully requests that the Court dismiss the Complaint in its entirety.</w:t>
      </w:r>
    </w:p>
    <w:p>
      <w:pPr>
        <w:spacing w:before="0" w:after="0" w:line="54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4320"/>
        <w:gridCol w:w="288"/>
        <w:gridCol w:w="4752"/>
      </w:tblGrid>
      <w:tr>
        <w:trPr>
          <w:cantSplit/>
        </w:trPr>
        <w:tc>
          <w:tcPr>
            <w:tcW w:w="4320" w:type="dxa"/>
          </w:tcPr>
          <w:p>
            <w:pPr>
              <w:pStyle w:val="Single"/>
            </w:pPr>
            <w:r>
              <w:t xml:space="preserve">Dated: July 30, 2026</w:t>
            </w:r>
          </w:p>
        </w:tc>
        <w:tc>
          <w:tcPr>
            <w:tcW w:w="288" w:type="dxa"/>
          </w:tcPr>
          <w:p/>
        </w:tc>
        <w:tc>
          <w:tcPr>
            <w:tcW w:w="4752" w:type="dxa"/>
          </w:tcPr>
          <w:p>
            <w:pPr>
              <w:pStyle w:val="Single"/>
            </w:pPr>
            <w:r>
              <w:t xml:space="preserve">HEYMAN</w:t>
            </w:r>
            <w:r>
              <w:t xml:space="preserve"> </w:t>
            </w:r>
            <w:r>
              <w:t xml:space="preserve">ENERIO</w:t>
            </w:r>
            <w:r>
              <w:t xml:space="preserve"> </w:t>
            </w:r>
            <w:r>
              <w:t xml:space="preserve">GATTUSO</w:t>
            </w:r>
            <w:r>
              <w:t xml:space="preserve"> </w:t>
            </w:r>
            <w:r>
              <w:t xml:space="preserve">&amp;</w:t>
            </w:r>
            <w:r>
              <w:t xml:space="preserve"> </w:t>
            </w:r>
            <w:r>
              <w:t xml:space="preserve">HIRZEL</w:t>
            </w:r>
            <w:r>
              <w:t xml:space="preserve"> </w:t>
            </w:r>
            <w:r>
              <w:t xml:space="preserve">LLP</w:t>
            </w:r>
          </w:p>
          <w:p>
            <w:pPr>
              <w:spacing w:before="0" w:after="0" w:line="270" w:lineRule="exact"/>
            </w:pPr>
          </w:p>
          <w:p>
            <w:pPr>
              <w:pStyle w:val="Single"/>
            </w:pPr>
            <w:r>
              <w:t xml:space="preserve">/s/ Denise S. Kraft</w:t>
            </w:r>
          </w:p>
          <w:p>
            <w:pPr>
              <w:pStyle w:val="Single"/>
            </w:pPr>
            <w:r>
              <w:t xml:space="preserve">Aaron</w:t>
            </w:r>
            <w:r>
              <w:t xml:space="preserve"> </w:t>
            </w:r>
            <w:r>
              <w:t xml:space="preserve">M.</w:t>
            </w:r>
            <w:r>
              <w:t xml:space="preserve"> </w:t>
            </w:r>
            <w:r>
              <w:t xml:space="preserve">Nelson</w:t>
            </w:r>
            <w:r>
              <w:t xml:space="preserve"> </w:t>
            </w:r>
            <w:r>
              <w:t xml:space="preserve">(#5941)</w:t>
            </w:r>
          </w:p>
          <w:p>
            <w:pPr>
              <w:pStyle w:val="Single"/>
            </w:pPr>
            <w:r>
              <w:t xml:space="preserve">Denise</w:t>
            </w:r>
            <w:r>
              <w:t xml:space="preserve"> </w:t>
            </w:r>
            <w:r>
              <w:t xml:space="preserve">S.</w:t>
            </w:r>
            <w:r>
              <w:t xml:space="preserve"> </w:t>
            </w:r>
            <w:r>
              <w:t xml:space="preserve">Kraft</w:t>
            </w:r>
            <w:r>
              <w:t xml:space="preserve"> </w:t>
            </w:r>
            <w:r>
              <w:t xml:space="preserve">(#2778)</w:t>
            </w:r>
          </w:p>
          <w:p>
            <w:pPr>
              <w:pStyle w:val="Single"/>
            </w:pPr>
            <w:r>
              <w:t xml:space="preserve">Catherine</w:t>
            </w:r>
            <w:r>
              <w:t xml:space="preserve"> </w:t>
            </w:r>
            <w:r>
              <w:t xml:space="preserve">M.</w:t>
            </w:r>
            <w:r>
              <w:t xml:space="preserve"> </w:t>
            </w:r>
            <w:r>
              <w:t xml:space="preserve">Lynch</w:t>
            </w:r>
            <w:r>
              <w:t xml:space="preserve"> </w:t>
            </w:r>
            <w:r>
              <w:t xml:space="preserve">(#7326)</w:t>
            </w:r>
          </w:p>
          <w:p>
            <w:pPr>
              <w:pStyle w:val="Single"/>
            </w:pPr>
            <w:r>
              <w:t xml:space="preserve">222</w:t>
            </w:r>
            <w:r>
              <w:t xml:space="preserve"> </w:t>
            </w:r>
            <w:r>
              <w:t xml:space="preserve">Delaware</w:t>
            </w:r>
            <w:r>
              <w:t xml:space="preserve"> </w:t>
            </w:r>
            <w:r>
              <w:t xml:space="preserve">Avenue,</w:t>
            </w:r>
            <w:r>
              <w:t xml:space="preserve"> </w:t>
            </w:r>
            <w:r>
              <w:t xml:space="preserve">Ste.</w:t>
            </w:r>
            <w:r>
              <w:t xml:space="preserve"> </w:t>
            </w:r>
            <w:r>
              <w:t xml:space="preserve">900</w:t>
            </w:r>
          </w:p>
          <w:p>
            <w:pPr>
              <w:pStyle w:val="Single"/>
            </w:pPr>
            <w:r>
              <w:t xml:space="preserve">Wilmington,</w:t>
            </w:r>
            <w:r>
              <w:t xml:space="preserve"> </w:t>
            </w:r>
            <w:r>
              <w:t xml:space="preserve">DE</w:t>
            </w:r>
            <w:r>
              <w:t xml:space="preserve"> </w:t>
            </w:r>
            <w:r>
              <w:t xml:space="preserve">19801</w:t>
            </w:r>
          </w:p>
          <w:p>
            <w:pPr>
              <w:pStyle w:val="Single"/>
            </w:pPr>
            <w:r>
              <w:t xml:space="preserve">302-472-7300</w:t>
            </w:r>
          </w:p>
          <w:p>
            <w:pPr>
              <w:pStyle w:val="Single"/>
            </w:pPr>
            <w:r>
              <w:t xml:space="preserve">anelson@hegh.law</w:t>
            </w:r>
          </w:p>
          <w:p>
            <w:pPr>
              <w:pStyle w:val="Single"/>
            </w:pPr>
            <w:r>
              <w:t xml:space="preserve">dkraft@hegh.law</w:t>
            </w:r>
          </w:p>
          <w:p>
            <w:pPr>
              <w:pStyle w:val="Single"/>
            </w:pPr>
            <w:r>
              <w:t xml:space="preserve">clynch@hegh.law</w:t>
            </w:r>
          </w:p>
          <w:p>
            <w:pPr>
              <w:pStyle w:val="Single"/>
            </w:pPr>
          </w:p>
          <w:p>
            <w:pPr>
              <w:pStyle w:val="Single"/>
            </w:pPr>
            <w:r>
              <w:rPr>
                <w:i/>
                <w:iCs/>
              </w:rPr>
              <w:t xml:space="preserve">Attorneys</w:t>
            </w:r>
            <w:r>
              <w:rPr>
                <w:i/>
                <w:iCs/>
              </w:rPr>
              <w:t xml:space="preserve"> </w:t>
            </w:r>
            <w:r>
              <w:rPr>
                <w:i/>
                <w:iCs/>
              </w:rPr>
              <w:t xml:space="preserve">for</w:t>
            </w:r>
            <w:r>
              <w:rPr>
                <w:i/>
                <w:iCs/>
              </w:rPr>
              <w:t xml:space="preserve"> </w:t>
            </w:r>
            <w:r>
              <w:rPr>
                <w:i/>
                <w:iCs/>
              </w:rPr>
              <w:t xml:space="preserve">Defendant</w:t>
            </w:r>
            <w:r>
              <w:rPr>
                <w:i/>
                <w:iCs/>
              </w:rPr>
              <w:t xml:space="preserve"> </w:t>
            </w:r>
            <w:r>
              <w:rPr>
                <w:i/>
                <w:iCs/>
              </w:rPr>
              <w:t xml:space="preserve">Safe</w:t>
            </w:r>
            <w:r>
              <w:rPr>
                <w:i/>
                <w:iCs/>
              </w:rPr>
              <w:t xml:space="preserve"> </w:t>
            </w:r>
            <w:r>
              <w:rPr>
                <w:i/>
                <w:iCs/>
              </w:rPr>
              <w:t xml:space="preserve">Life</w:t>
            </w:r>
            <w:r>
              <w:rPr>
                <w:i/>
                <w:iCs/>
              </w:rPr>
              <w:t xml:space="preserve"> </w:t>
            </w:r>
            <w:r>
              <w:rPr>
                <w:i/>
                <w:iCs/>
              </w:rPr>
              <w:t xml:space="preserve">Policy,</w:t>
            </w:r>
            <w:r>
              <w:rPr>
                <w:i/>
                <w:iCs/>
              </w:rPr>
              <w:t xml:space="preserve"> </w:t>
            </w:r>
            <w:r>
              <w:rPr>
                <w:i/>
                <w:iCs/>
              </w:rPr>
              <w:t xml:space="preserve">LLC</w:t>
            </w:r>
          </w:p>
        </w:tc>
      </w:tr>
    </w:tbl>
    <w:bookmarkEnd w:id="30"/>
    <w:sectPr>
      <w:footerReference r:id="rId9" w:type="default"/>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sz w:val="26"/>
      </w:rPr>
      <w:fldChar w:fldCharType="begin"/>
    </w:r>
    <w:r>
      <w:rPr>
        <w:sz w:val="26"/>
      </w:rPr>
      <w:instrText xml:space="preserve"> PAGE </w:instrText>
    </w:r>
    <w:r>
      <w:rPr>
        <w:sz w:val="26"/>
      </w:rPr>
      <w:fldChar w:fldCharType="separate"/>
    </w:r>
    <w:r>
      <w:rPr>
        <w:sz w:val="26"/>
      </w:rPr>
      <w:t>1</w:t>
    </w:r>
    <w:r>
      <w:rPr>
        <w:sz w:val="2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Plaintiff has filed multiple similar actions with virtually identical complaints over the last eleven years, including:</w:t>
      </w:r>
      <w:r>
        <w:t xml:space="preserve"> </w:t>
      </w:r>
      <w:r>
        <w:rPr>
          <w:i/>
          <w:iCs/>
        </w:rPr>
        <w:t xml:space="preserve">Abramson v. Line 5, LLC</w:t>
      </w:r>
      <w:r>
        <w:t xml:space="preserve">, 2025 WL 4071777 (W.D. Pa. Sept. 19, 2025);</w:t>
      </w:r>
      <w:r>
        <w:t xml:space="preserve"> </w:t>
      </w:r>
      <w:r>
        <w:rPr>
          <w:i/>
          <w:iCs/>
        </w:rPr>
        <w:t xml:space="preserve">Abramson v. AP Gas &amp; Elec. (PA), LLC</w:t>
      </w:r>
      <w:r>
        <w:t xml:space="preserve">, 2023 WL 1782728 (W.D. Pa. Feb. 6, 2023);</w:t>
      </w:r>
      <w:r>
        <w:t xml:space="preserve"> </w:t>
      </w:r>
      <w:r>
        <w:rPr>
          <w:i/>
          <w:iCs/>
        </w:rPr>
        <w:t xml:space="preserve">Abramson v. First Am. Home Warranty Corp.</w:t>
      </w:r>
      <w:r>
        <w:t xml:space="preserve">, 2023 WL 2214248 (W.D. Pa. Feb. 24, 2023);</w:t>
      </w:r>
      <w:r>
        <w:t xml:space="preserve"> </w:t>
      </w:r>
      <w:r>
        <w:rPr>
          <w:i/>
          <w:iCs/>
        </w:rPr>
        <w:t xml:space="preserve">Abramson v. Agentra, LLC</w:t>
      </w:r>
      <w:r>
        <w:t xml:space="preserve">, 2020 WL 7335897 (W.D. Pa. Dec. 14, 2020);</w:t>
      </w:r>
      <w:r>
        <w:t xml:space="preserve"> </w:t>
      </w:r>
      <w:r>
        <w:rPr>
          <w:i/>
          <w:iCs/>
        </w:rPr>
        <w:t xml:space="preserve">Abramson v. Connected Mktg., LLC</w:t>
      </w:r>
      <w:r>
        <w:t xml:space="preserve">, 2020 WL 1139251 (N.D. Ill. Mar. 9, 2020);</w:t>
      </w:r>
      <w:r>
        <w:t xml:space="preserve"> </w:t>
      </w:r>
      <w:r>
        <w:rPr>
          <w:i/>
          <w:iCs/>
        </w:rPr>
        <w:t xml:space="preserve">Abramson v. CWS Apartment Homes, LLC</w:t>
      </w:r>
      <w:r>
        <w:t xml:space="preserve">, 2016 WL 6634933 (W.D. Pa. Nov. 8, 2016);</w:t>
      </w:r>
      <w:r>
        <w:t xml:space="preserve"> </w:t>
      </w:r>
      <w:r>
        <w:rPr>
          <w:i/>
          <w:iCs/>
        </w:rPr>
        <w:t xml:space="preserve">Abramson v. 1 Global Capital, LLC</w:t>
      </w:r>
      <w:r>
        <w:t xml:space="preserve">, 2015 WL 12564318 (S.D. Fla. Sept. 23, 2015).</w:t>
      </w:r>
    </w:p>
  </w:footnote>
  <w:footnote w:id="22">
    <w:p>
      <w:pPr>
        <w:pStyle w:val="FootnoteText"/>
      </w:pPr>
      <w:r>
        <w:rPr>
          <w:rStyle w:val="FootnoteReference"/>
        </w:rPr>
        <w:footnoteRef/>
      </w:r>
      <w:r>
        <w:t xml:space="preserve"> </w:t>
      </w:r>
      <w:r>
        <w:t xml:space="preserve">Case attached as Exhibit A for ease of reference since it was an FCC Proceeding.</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before="0" w:line="240" w:lineRule="auto"/>
      </w:pPr>
    </w:pPrDefault>
  </w:docDefaults>
  <w:latentStyles w:count="276" w:defLockedState="0" w:defQFormat="0" w:defSemiHidden="0" w:defUIPriority="0" w:defUnhideWhenUsed="0"/>
  <w:style w:styleId="Normal" w:type="paragraph">
    <w:name w:val="Normal"/>
    <w:qFormat/>
    <w:pPr>
      <w:spacing w:after="0" w:before="0" w:line="240" w:lineRule="auto"/>
    </w:pPr>
  </w:style>
  <w:style w:styleId="BodyText" w:type="paragraph">
    <w:name w:val="Body Text"/>
    <w:basedOn w:val="Normal"/>
    <w:qFormat/>
    <w:pPr>
      <w:spacing w:after="0" w:before="0" w:line="540" w:lineRule="exact"/>
      <w:ind w:firstLine="720"/>
    </w:pPr>
  </w:style>
  <w:style w:styleId="FirstParagraph" w:type="paragraph">
    <w:name w:val="First Paragraph"/>
    <w:basedOn w:val="BodyText"/>
    <w:qFormat/>
  </w:style>
  <w:style w:styleId="Compact" w:type="paragraph">
    <w:name w:val="Compact"/>
    <w:basedOn w:val="BodyText"/>
    <w:qFormat/>
    <w:pPr>
      <w:spacing w:after="0" w:before="0" w:line="540" w:lineRule="exact"/>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qFormat/>
    <w:pPr>
      <w:keepNext/>
      <w:keepLines/>
      <w:spacing w:after="270" w:before="270" w:line="240" w:lineRule="auto"/>
      <w:ind w:firstLine="0"/>
      <w:jc w:val="center"/>
      <w:outlineLvl w:val="0"/>
    </w:pPr>
    <w:rPr>
      <w:b/>
      <w:bCs/>
      <w:caps/>
      <w:color w:val="000000"/>
    </w:rPr>
  </w:style>
  <w:style w:styleId="Heading2" w:type="paragraph">
    <w:name w:val="heading 2"/>
    <w:basedOn w:val="Normal"/>
    <w:qFormat/>
    <w:pPr>
      <w:keepNext/>
      <w:keepLines/>
      <w:spacing w:after="270" w:before="270" w:line="240" w:lineRule="auto"/>
      <w:ind w:hanging="720" w:left="720"/>
      <w:jc w:val="left"/>
      <w:outlineLvl w:val="1"/>
    </w:pPr>
    <w:rPr>
      <w:b/>
      <w:bCs/>
      <w:color w:val="000000"/>
    </w:rPr>
  </w:style>
  <w:style w:styleId="Heading3" w:type="paragraph">
    <w:name w:val="heading 3"/>
    <w:basedOn w:val="Normal"/>
    <w:qFormat/>
    <w:pPr>
      <w:keepNext/>
      <w:keepLines/>
      <w:spacing w:after="270" w:before="270" w:line="240" w:lineRule="auto"/>
      <w:ind w:hanging="720" w:left="1440"/>
      <w:jc w:val="left"/>
      <w:outlineLvl w:val="2"/>
    </w:pPr>
    <w:rPr>
      <w:b/>
      <w:bCs/>
      <w:color w:val="000000"/>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qFormat/>
    <w:pPr>
      <w:spacing w:after="240" w:before="0" w:line="240" w:lineRule="auto"/>
      <w:ind w:firstLine="0" w:left="720" w:right="720"/>
    </w:pPr>
  </w:style>
  <w:style w:styleId="FootnoteText" w:type="paragraph">
    <w:name w:val="footnote text"/>
    <w:basedOn w:val="Normal"/>
    <w:qFormat/>
    <w:pPr>
      <w:spacing w:after="100" w:before="0" w:line="240" w:lineRule="auto"/>
      <w:ind w:firstLine="0"/>
    </w:pPr>
    <w:rPr>
      <w:sz w:val="26"/>
      <w:szCs w:val="26"/>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Normal"/>
    <w:qFormat/>
    <w:pPr>
      <w:spacing w:after="0" w:before="0" w:line="240" w:lineRule="auto"/>
      <w:ind w:firstLine="0"/>
      <w:jc w:val="center"/>
    </w:pPr>
  </w:style>
  <w:style w:styleId="Footer" w:type="paragraph">
    <w:name w:val="footer"/>
    <w:basedOn w:val="Normal"/>
    <w:qFormat/>
    <w:pPr>
      <w:tabs>
        <w:tab w:pos="4680" w:val="center"/>
      </w:tabs>
      <w:spacing w:after="0" w:before="0" w:line="240" w:lineRule="auto"/>
      <w:ind w:firstLine="0"/>
      <w:jc w:val="center"/>
    </w:pPr>
  </w:style>
  <w:style w:customStyle="1" w:styleId="FrontHeading" w:type="paragraph">
    <w:name w:val="Front Heading"/>
    <w:basedOn w:val="Normal"/>
    <w:qFormat/>
    <w:pPr>
      <w:keepNext/>
      <w:keepLines/>
      <w:spacing w:after="270" w:before="0" w:line="240" w:lineRule="auto"/>
      <w:ind w:firstLine="0"/>
      <w:jc w:val="center"/>
    </w:pPr>
    <w:rPr>
      <w:b/>
      <w:bCs/>
      <w:caps/>
    </w:rPr>
  </w:style>
  <w:style w:styleId="ListLetter" w:type="paragraph">
    <w:name w:val="List Letter"/>
    <w:basedOn w:val="BodyText"/>
    <w:qFormat/>
    <w:pPr>
      <w:spacing w:after="0" w:before="0" w:line="540" w:lineRule="exact"/>
      <w:ind w:hanging="576" w:left="1296"/>
    </w:pPr>
  </w:style>
  <w:style w:customStyle="1" w:styleId="Single" w:type="paragraph">
    <w:name w:val="Single"/>
    <w:basedOn w:val="Normal"/>
    <w:qFormat/>
    <w:pPr>
      <w:spacing w:after="0" w:before="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2026-10-15T12:53:09Z</dcterms:created>
  <dcterms:modified xsi:type="dcterms:W3CDTF">2026-10-15T12:53:09Z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DEFENDANT’S OPENING BRIEF IN SUPPORT OF MOTION TO DISMISS</vt:lpwstr>
  </property>
  <property fmtid="{D5CDD505-2E9C-101B-9397-08002B2CF9AE}" pid="4" name="caption">
    <vt:lpwstr/>
  </property>
  <property fmtid="{D5CDD505-2E9C-101B-9397-08002B2CF9AE}" pid="5" name="case_number">
    <vt:lpwstr>26-772-MN</vt:lpwstr>
  </property>
  <property fmtid="{D5CDD505-2E9C-101B-9397-08002B2CF9AE}" pid="6" name="counsel">
    <vt:lpwstr/>
  </property>
  <property fmtid="{D5CDD505-2E9C-101B-9397-08002B2CF9AE}" pid="7" name="date">
    <vt:lpwstr>July 30, 2026</vt:lpwstr>
  </property>
  <property fmtid="{D5CDD505-2E9C-101B-9397-08002B2CF9AE}" pid="8" name="of_counsel">
    <vt:lpwstr/>
  </property>
  <property fmtid="{D5CDD505-2E9C-101B-9397-08002B2CF9AE}" pid="9" name="signature">
    <vt:lpwstr/>
  </property>
</Properties>
</file>