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Override PartName="/word/hdr-own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8640" w:type="dxa"/>
        <w:tblInd w:w="0" w:type="dxa"/>
        <w:tblBorders>
          <w:top w:val="nil"/>
          <w:left w:val="nil"/>
          <w:bottom w:val="nil"/>
          <w:right w:val="nil"/>
        </w:tblBorders>
        <w:tblLayout w:type="fixed"/>
        <w:tblCellMar>
          <w:top w:w="0" w:type="dxa"/>
          <w:left w:w="0" w:type="dxa"/>
          <w:bottom w:w="0" w:type="dxa"/>
          <w:right w:w="0" w:type="dxa"/>
        </w:tblCellMar>
        <w:tblLook w:val="0000" w:firstRow="0" w:lastRow="0" w:firstColumn="0" w:lastColumn="0" w:noHBand="0" w:noVBand="0"/>
      </w:tblPr>
      <w:tblGrid>
        <w:gridCol w:w="8640"/>
      </w:tblGrid>
      <w:tr>
        <w:trPr>
          <w:cantSplit/>
          <w:trHeight w:val="2880" w:hRule="atLeast"/>
        </w:trPr>
        <w:tc>
          <w:tcPr>
            <w:tcW w:w="8640" w:type="dxa"/>
          </w:tcPr>
          <w:p>
            <w:pPr>
              <w:spacing w:before="0" w:after="0" w:line="240" w:lineRule="exact"/>
              <w:ind w:left="0" w:firstLine="0"/>
              <w:jc w:val="left"/>
            </w:pPr>
            <w:r>
              <w:t xml:space="preserve">REBECCA</w:t>
            </w:r>
            <w:r>
              <w:t xml:space="preserve"> </w:t>
            </w:r>
            <w:r>
              <w:t xml:space="preserve">J.</w:t>
            </w:r>
            <w:r>
              <w:t xml:space="preserve"> </w:t>
            </w:r>
            <w:r>
              <w:t xml:space="preserve">WINTHROP</w:t>
            </w:r>
            <w:r>
              <w:t xml:space="preserve"> </w:t>
            </w:r>
            <w:r>
              <w:t xml:space="preserve">(SBN</w:t>
            </w:r>
            <w:r>
              <w:t xml:space="preserve"> </w:t>
            </w:r>
            <w:r>
              <w:t xml:space="preserve">116386)</w:t>
            </w:r>
          </w:p>
          <w:p>
            <w:pPr>
              <w:spacing w:before="0" w:after="0" w:line="240" w:lineRule="exact"/>
              <w:ind w:left="0" w:firstLine="0"/>
              <w:jc w:val="left"/>
            </w:pPr>
            <w:r>
              <w:t xml:space="preserve">NORTON</w:t>
            </w:r>
            <w:r>
              <w:t xml:space="preserve"> </w:t>
            </w:r>
            <w:r>
              <w:t xml:space="preserve">ROSE</w:t>
            </w:r>
            <w:r>
              <w:t xml:space="preserve"> </w:t>
            </w:r>
            <w:r>
              <w:t xml:space="preserve">FULBRIGHT</w:t>
            </w:r>
            <w:r>
              <w:t xml:space="preserve"> </w:t>
            </w:r>
            <w:r>
              <w:t xml:space="preserve">US</w:t>
            </w:r>
            <w:r>
              <w:t xml:space="preserve"> </w:t>
            </w:r>
            <w:r>
              <w:t xml:space="preserve">LLP</w:t>
            </w:r>
          </w:p>
          <w:p>
            <w:pPr>
              <w:spacing w:before="0" w:after="0" w:line="240" w:lineRule="exact"/>
              <w:ind w:left="0" w:firstLine="0"/>
              <w:jc w:val="left"/>
            </w:pPr>
            <w:r>
              <w:t xml:space="preserve">555</w:t>
            </w:r>
            <w:r>
              <w:t xml:space="preserve"> </w:t>
            </w:r>
            <w:r>
              <w:t xml:space="preserve">South</w:t>
            </w:r>
            <w:r>
              <w:t xml:space="preserve"> </w:t>
            </w:r>
            <w:r>
              <w:t xml:space="preserve">Flower</w:t>
            </w:r>
            <w:r>
              <w:t xml:space="preserve"> </w:t>
            </w:r>
            <w:r>
              <w:t xml:space="preserve">Street,</w:t>
            </w:r>
            <w:r>
              <w:t xml:space="preserve"> </w:t>
            </w:r>
            <w:r>
              <w:t xml:space="preserve">Forty-First</w:t>
            </w:r>
            <w:r>
              <w:t xml:space="preserve"> </w:t>
            </w:r>
            <w:r>
              <w:t xml:space="preserve">Floor</w:t>
            </w:r>
          </w:p>
          <w:p>
            <w:pPr>
              <w:spacing w:before="0" w:after="0" w:line="240" w:lineRule="exact"/>
              <w:ind w:left="0" w:firstLine="0"/>
              <w:jc w:val="left"/>
            </w:pPr>
            <w:r>
              <w:t xml:space="preserve">Los</w:t>
            </w:r>
            <w:r>
              <w:t xml:space="preserve"> </w:t>
            </w:r>
            <w:r>
              <w:t xml:space="preserve">Angeles,</w:t>
            </w:r>
            <w:r>
              <w:t xml:space="preserve"> </w:t>
            </w:r>
            <w:r>
              <w:t xml:space="preserve">California</w:t>
            </w:r>
            <w:r>
              <w:t xml:space="preserve"> </w:t>
            </w:r>
            <w:r>
              <w:t xml:space="preserve">90071</w:t>
            </w:r>
          </w:p>
          <w:p>
            <w:pPr>
              <w:spacing w:before="0" w:after="0" w:line="240" w:lineRule="exact"/>
              <w:ind w:left="0" w:firstLine="0"/>
              <w:jc w:val="left"/>
            </w:pPr>
            <w:r>
              <w:t xml:space="preserve">Telephone:</w:t>
            </w:r>
            <w:r>
              <w:t xml:space="preserve"> </w:t>
            </w:r>
            <w:r>
              <w:t xml:space="preserve">(213)</w:t>
            </w:r>
            <w:r>
              <w:t xml:space="preserve"> </w:t>
            </w:r>
            <w:r>
              <w:t xml:space="preserve">892-⁠9200</w:t>
            </w:r>
          </w:p>
          <w:p>
            <w:pPr>
              <w:spacing w:before="0" w:after="0" w:line="240" w:lineRule="exact"/>
              <w:ind w:left="0" w:firstLine="0"/>
              <w:jc w:val="left"/>
            </w:pPr>
            <w:r>
              <w:t xml:space="preserve">Facsimile:</w:t>
            </w:r>
            <w:r>
              <w:t xml:space="preserve"> </w:t>
            </w:r>
            <w:r>
              <w:t xml:space="preserve">(213)</w:t>
            </w:r>
            <w:r>
              <w:t xml:space="preserve"> </w:t>
            </w:r>
            <w:r>
              <w:t xml:space="preserve">892-⁠9494</w:t>
            </w:r>
          </w:p>
          <w:p>
            <w:pPr>
              <w:spacing w:before="0" w:after="0" w:line="240" w:lineRule="exact"/>
              <w:ind w:left="0" w:firstLine="0"/>
              <w:jc w:val="left"/>
            </w:pPr>
            <w:r>
              <w:t xml:space="preserve">rebecca.winthrop@nortonrosefulbright.com</w:t>
            </w:r>
          </w:p>
          <w:p>
            <w:pPr>
              <w:spacing w:before="0" w:after="0" w:line="240" w:lineRule="exact"/>
              <w:ind w:left="0" w:firstLine="0"/>
              <w:jc w:val="left"/>
            </w:pPr>
            <w:r>
              <w:t xml:space="preserve">RYAN</w:t>
            </w:r>
            <w:r>
              <w:t xml:space="preserve"> </w:t>
            </w:r>
            <w:r>
              <w:t xml:space="preserve">E.</w:t>
            </w:r>
            <w:r>
              <w:t xml:space="preserve"> </w:t>
            </w:r>
            <w:r>
              <w:t xml:space="preserve">MANNS</w:t>
            </w:r>
            <w:r>
              <w:t xml:space="preserve"> </w:t>
            </w:r>
            <w:r>
              <w:t xml:space="preserve">(pro</w:t>
            </w:r>
            <w:r>
              <w:t xml:space="preserve"> </w:t>
            </w:r>
            <w:r>
              <w:t xml:space="preserve">hac</w:t>
            </w:r>
            <w:r>
              <w:t xml:space="preserve"> </w:t>
            </w:r>
            <w:r>
              <w:t xml:space="preserve">vice)</w:t>
            </w:r>
          </w:p>
          <w:p>
            <w:pPr>
              <w:spacing w:before="0" w:after="0" w:line="240" w:lineRule="exact"/>
              <w:ind w:left="0" w:firstLine="0"/>
              <w:jc w:val="left"/>
            </w:pPr>
            <w:r>
              <w:t xml:space="preserve">JASON</w:t>
            </w:r>
            <w:r>
              <w:t xml:space="preserve"> </w:t>
            </w:r>
            <w:r>
              <w:t xml:space="preserve">I.</w:t>
            </w:r>
            <w:r>
              <w:t xml:space="preserve"> </w:t>
            </w:r>
            <w:r>
              <w:t xml:space="preserve">BLANCHARD</w:t>
            </w:r>
            <w:r>
              <w:t xml:space="preserve"> </w:t>
            </w:r>
            <w:r>
              <w:t xml:space="preserve">(pro</w:t>
            </w:r>
            <w:r>
              <w:t xml:space="preserve"> </w:t>
            </w:r>
            <w:r>
              <w:t xml:space="preserve">hac</w:t>
            </w:r>
            <w:r>
              <w:t xml:space="preserve"> </w:t>
            </w:r>
            <w:r>
              <w:t xml:space="preserve">vice</w:t>
            </w:r>
            <w:r>
              <w:t xml:space="preserve"> </w:t>
            </w:r>
            <w:r>
              <w:t xml:space="preserve">forthcoming)</w:t>
            </w:r>
          </w:p>
          <w:p>
            <w:pPr>
              <w:spacing w:before="0" w:after="0" w:line="240" w:lineRule="exact"/>
              <w:ind w:left="0" w:firstLine="0"/>
              <w:jc w:val="left"/>
            </w:pPr>
            <w:r>
              <w:t xml:space="preserve">NORTON</w:t>
            </w:r>
            <w:r>
              <w:t xml:space="preserve"> </w:t>
            </w:r>
            <w:r>
              <w:t xml:space="preserve">ROSE</w:t>
            </w:r>
            <w:r>
              <w:t xml:space="preserve"> </w:t>
            </w:r>
            <w:r>
              <w:t xml:space="preserve">FULBRIGHT</w:t>
            </w:r>
            <w:r>
              <w:t xml:space="preserve"> </w:t>
            </w:r>
            <w:r>
              <w:t xml:space="preserve">US</w:t>
            </w:r>
            <w:r>
              <w:t xml:space="preserve"> </w:t>
            </w:r>
            <w:r>
              <w:t xml:space="preserve">LLP</w:t>
            </w:r>
          </w:p>
          <w:p>
            <w:pPr>
              <w:spacing w:before="0" w:after="0" w:line="240" w:lineRule="exact"/>
              <w:ind w:left="0" w:firstLine="0"/>
              <w:jc w:val="left"/>
            </w:pPr>
            <w:r>
              <w:t xml:space="preserve">2200</w:t>
            </w:r>
            <w:r>
              <w:t xml:space="preserve"> </w:t>
            </w:r>
            <w:r>
              <w:t xml:space="preserve">Ross</w:t>
            </w:r>
            <w:r>
              <w:t xml:space="preserve"> </w:t>
            </w:r>
            <w:r>
              <w:t xml:space="preserve">Avenue,</w:t>
            </w:r>
            <w:r>
              <w:t xml:space="preserve"> </w:t>
            </w:r>
            <w:r>
              <w:t xml:space="preserve">Suite</w:t>
            </w:r>
            <w:r>
              <w:t xml:space="preserve"> </w:t>
            </w:r>
            <w:r>
              <w:t xml:space="preserve">3600</w:t>
            </w:r>
          </w:p>
          <w:p>
            <w:pPr>
              <w:spacing w:before="0" w:after="0" w:line="240" w:lineRule="exact"/>
              <w:ind w:left="0" w:firstLine="0"/>
              <w:jc w:val="left"/>
            </w:pPr>
            <w:r>
              <w:t xml:space="preserve">Dallas,</w:t>
            </w:r>
            <w:r>
              <w:t xml:space="preserve"> </w:t>
            </w:r>
            <w:r>
              <w:t xml:space="preserve">Texas</w:t>
            </w:r>
            <w:r>
              <w:t xml:space="preserve"> </w:t>
            </w:r>
            <w:r>
              <w:t xml:space="preserve">75201</w:t>
            </w:r>
          </w:p>
          <w:p>
            <w:pPr>
              <w:spacing w:before="0" w:after="0" w:line="240" w:lineRule="exact"/>
              <w:ind w:left="0" w:firstLine="0"/>
              <w:jc w:val="left"/>
            </w:pPr>
            <w:r>
              <w:t xml:space="preserve">Telephone:</w:t>
            </w:r>
            <w:r>
              <w:t xml:space="preserve"> </w:t>
            </w:r>
            <w:r>
              <w:t xml:space="preserve">(214)</w:t>
            </w:r>
            <w:r>
              <w:t xml:space="preserve"> </w:t>
            </w:r>
            <w:r>
              <w:t xml:space="preserve">855-⁠8000</w:t>
            </w:r>
          </w:p>
          <w:p>
            <w:pPr>
              <w:spacing w:before="0" w:after="0" w:line="240" w:lineRule="exact"/>
              <w:ind w:left="0" w:firstLine="0"/>
              <w:jc w:val="left"/>
            </w:pPr>
            <w:r>
              <w:t xml:space="preserve">Facsimile:</w:t>
            </w:r>
            <w:r>
              <w:t xml:space="preserve"> </w:t>
            </w:r>
            <w:r>
              <w:t xml:space="preserve">(214)</w:t>
            </w:r>
            <w:r>
              <w:t xml:space="preserve"> </w:t>
            </w:r>
            <w:r>
              <w:t xml:space="preserve">855-⁠8200</w:t>
            </w:r>
          </w:p>
          <w:p>
            <w:pPr>
              <w:spacing w:before="0" w:after="0" w:line="240" w:lineRule="exact"/>
              <w:ind w:left="0" w:firstLine="0"/>
              <w:jc w:val="left"/>
            </w:pPr>
            <w:r>
              <w:t xml:space="preserve">ryan.manns@nortonrosefulbright.com</w:t>
            </w:r>
          </w:p>
          <w:p>
            <w:pPr>
              <w:spacing w:before="0" w:after="0" w:line="240" w:lineRule="exact"/>
              <w:ind w:left="0" w:firstLine="0"/>
              <w:jc w:val="left"/>
            </w:pPr>
            <w:r>
              <w:t xml:space="preserve">jason.blanchard@nortonrosefulbright.com</w:t>
            </w:r>
          </w:p>
          <w:p>
            <w:pPr>
              <w:spacing w:before="240" w:after="0" w:line="240" w:lineRule="exact"/>
              <w:ind w:left="0" w:firstLine="0"/>
              <w:jc w:val="left"/>
            </w:pPr>
            <w:r>
              <w:t xml:space="preserve">Attorneys</w:t>
            </w:r>
            <w:r>
              <w:t xml:space="preserve"> </w:t>
            </w:r>
            <w:r>
              <w:t xml:space="preserve">for</w:t>
            </w:r>
            <w:r>
              <w:t xml:space="preserve"> </w:t>
            </w:r>
            <w:r>
              <w:t xml:space="preserve">Roman</w:t>
            </w:r>
            <w:r>
              <w:t xml:space="preserve"> </w:t>
            </w:r>
            <w:r>
              <w:t xml:space="preserve">Catholic</w:t>
            </w:r>
            <w:r>
              <w:t xml:space="preserve"> </w:t>
            </w:r>
            <w:r>
              <w:t xml:space="preserve">Welfare</w:t>
            </w:r>
            <w:r>
              <w:t xml:space="preserve"> </w:t>
            </w:r>
            <w:r>
              <w:t xml:space="preserve">Corporation</w:t>
            </w:r>
            <w:r>
              <w:t xml:space="preserve"> </w:t>
            </w:r>
            <w:r>
              <w:t xml:space="preserve">of</w:t>
            </w:r>
          </w:p>
          <w:p>
            <w:pPr>
              <w:spacing w:before="0" w:after="0" w:line="240" w:lineRule="exact"/>
              <w:ind w:left="0" w:firstLine="0"/>
              <w:jc w:val="left"/>
            </w:pPr>
            <w:r>
              <w:t xml:space="preserve">Oakland,</w:t>
            </w:r>
            <w:r>
              <w:t xml:space="preserve"> </w:t>
            </w:r>
            <w:r>
              <w:t xml:space="preserve">Roman</w:t>
            </w:r>
            <w:r>
              <w:t xml:space="preserve"> </w:t>
            </w:r>
            <w:r>
              <w:t xml:space="preserve">Catholic</w:t>
            </w:r>
            <w:r>
              <w:t xml:space="preserve"> </w:t>
            </w:r>
            <w:r>
              <w:t xml:space="preserve">Cemeteries</w:t>
            </w:r>
            <w:r>
              <w:t xml:space="preserve"> </w:t>
            </w:r>
            <w:r>
              <w:t xml:space="preserve">of</w:t>
            </w:r>
            <w:r>
              <w:t xml:space="preserve"> </w:t>
            </w:r>
            <w:r>
              <w:t xml:space="preserve">the</w:t>
            </w:r>
            <w:r>
              <w:t xml:space="preserve"> </w:t>
            </w:r>
            <w:r>
              <w:t xml:space="preserve">Diocese</w:t>
            </w:r>
          </w:p>
          <w:p>
            <w:pPr>
              <w:spacing w:before="0" w:after="0" w:line="240" w:lineRule="exact"/>
              <w:ind w:left="0" w:firstLine="0"/>
              <w:jc w:val="left"/>
            </w:pPr>
            <w:r>
              <w:t xml:space="preserve">of</w:t>
            </w:r>
            <w:r>
              <w:t xml:space="preserve"> </w:t>
            </w:r>
            <w:r>
              <w:t xml:space="preserve">Oakland,</w:t>
            </w:r>
            <w:r>
              <w:t xml:space="preserve"> </w:t>
            </w:r>
            <w:r>
              <w:t xml:space="preserve">and</w:t>
            </w:r>
            <w:r>
              <w:t xml:space="preserve"> </w:t>
            </w:r>
            <w:r>
              <w:t xml:space="preserve">Adventus</w:t>
            </w:r>
          </w:p>
        </w:tc>
      </w:tr>
    </w:tbl>
    <w:p>
      <w:pPr>
        <w:spacing w:before="480" w:after="0" w:line="240"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spacing w:before="0" w:after="0" w:line="240" w:lineRule="exact"/>
        <w:ind w:left="0" w:firstLine="0"/>
        <w:jc w:val="center"/>
      </w:pPr>
      <w:r>
        <w:rPr>
          <w:b/>
          <w:bCs/>
        </w:rPr>
        <w:t xml:space="preserve">NORTHERN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CALIFORNIA</w:t>
      </w:r>
    </w:p>
    <w:p>
      <w:pPr>
        <w:spacing w:before="0" w:after="0" w:line="240" w:lineRule="exact"/>
        <w:ind w:left="0" w:firstLine="0"/>
        <w:jc w:val="center"/>
      </w:pPr>
      <w:r>
        <w:rPr>
          <w:b/>
          <w:bCs/>
        </w:rPr>
        <w:t xml:space="preserve">OAKLAND</w:t>
      </w:r>
      <w:r>
        <w:rPr>
          <w:b/>
          <w:bCs/>
        </w:rPr>
        <w:t xml:space="preserve"> </w:t>
      </w:r>
      <w:r>
        <w:rPr>
          <w:b/>
          <w:bCs/>
        </w:rPr>
        <w:t xml:space="preserve">DIVISION</w:t>
      </w:r>
    </w:p>
    <w:p>
      <w:pPr>
        <w:spacing w:before="0" w:after="0" w:line="48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320"/>
        <w:gridCol w:w="4320"/>
      </w:tblGrid>
      <w:tr>
        <w:trPr>
          <w:cantSplit/>
        </w:trPr>
        <w:tc>
          <w:tcPr>
            <w:tcW w:w="4320" w:type="dxa"/>
          </w:tcPr>
          <w:tbl>
            <w:tblPr>
              <w:tblW w:w="4320" w:type="dxa"/>
              <w:tblInd w:w="0" w:type="dxa"/>
              <w:tblBorders>
                <w:top w:val="nil"/>
                <w:left w:val="nil"/>
                <w:bottom w:val="single" w:sz="6" w:space="0" w:color="000000"/>
                <w:right w:val="single" w:sz="6" w:space="0" w:color="000000"/>
              </w:tblBorders>
              <w:tblLayout w:type="fixed"/>
              <w:tblCellMar>
                <w:top w:w="0" w:type="dxa"/>
                <w:left w:w="0" w:type="dxa"/>
                <w:bottom w:w="240" w:type="dxa"/>
                <w:right w:w="288" w:type="dxa"/>
              </w:tblCellMar>
              <w:tblLook w:val="0000" w:firstRow="0" w:lastRow="0" w:firstColumn="0" w:lastColumn="0" w:noHBand="0" w:noVBand="0"/>
            </w:tblPr>
            <w:tblGrid>
              <w:gridCol w:w="4320"/>
            </w:tblGrid>
            <w:tr>
              <w:trPr>
                <w:cantSplit/>
              </w:trPr>
              <w:tc>
                <w:tcPr>
                  <w:tcW w:w="4320" w:type="dxa"/>
                </w:tcPr>
                <w:p>
                  <w:pPr>
                    <w:spacing w:before="0" w:after="0" w:line="240" w:lineRule="exact"/>
                    <w:ind w:left="0" w:firstLine="0"/>
                    <w:jc w:val="left"/>
                  </w:pPr>
                  <w:r>
                    <w:t xml:space="preserve">In</w:t>
                  </w:r>
                  <w:r>
                    <w:t xml:space="preserve"> </w:t>
                  </w:r>
                  <w:r>
                    <w:t xml:space="preserve">re:</w:t>
                  </w:r>
                </w:p>
                <w:p>
                  <w:pPr>
                    <w:spacing w:before="240" w:after="0" w:line="240" w:lineRule="exact"/>
                    <w:ind w:left="0" w:firstLine="0"/>
                    <w:jc w:val="left"/>
                  </w:pPr>
                  <w:r>
                    <w:t xml:space="preserve">THE</w:t>
                  </w:r>
                  <w:r>
                    <w:t xml:space="preserve"> </w:t>
                  </w:r>
                  <w:r>
                    <w:t xml:space="preserve">ROMAN</w:t>
                  </w:r>
                  <w:r>
                    <w:t xml:space="preserve"> </w:t>
                  </w:r>
                  <w:r>
                    <w:t xml:space="preserve">CATHOLIC</w:t>
                  </w:r>
                  <w:r>
                    <w:t xml:space="preserve"> </w:t>
                  </w:r>
                  <w:r>
                    <w:t xml:space="preserve">BISHOP</w:t>
                  </w:r>
                  <w:r>
                    <w:t xml:space="preserve"> </w:t>
                  </w:r>
                  <w:r>
                    <w:t xml:space="preserve">OF</w:t>
                  </w:r>
                  <w:r>
                    <w:t xml:space="preserve"> </w:t>
                  </w:r>
                  <w:r>
                    <w:t xml:space="preserve">OAKLAND,</w:t>
                  </w:r>
                  <w:r>
                    <w:t xml:space="preserve"> </w:t>
                  </w:r>
                  <w:r>
                    <w:t xml:space="preserve">a</w:t>
                  </w:r>
                  <w:r>
                    <w:t xml:space="preserve"> </w:t>
                  </w:r>
                  <w:r>
                    <w:t xml:space="preserve">California</w:t>
                  </w:r>
                  <w:r>
                    <w:t xml:space="preserve"> </w:t>
                  </w:r>
                  <w:r>
                    <w:t xml:space="preserve">corporation</w:t>
                  </w:r>
                  <w:r>
                    <w:t xml:space="preserve"> </w:t>
                  </w:r>
                  <w:r>
                    <w:t xml:space="preserve">sole,</w:t>
                  </w:r>
                </w:p>
                <w:p>
                  <w:pPr>
                    <w:spacing w:before="240" w:after="0" w:line="240" w:lineRule="exact"/>
                    <w:ind w:left="2592" w:firstLine="0"/>
                    <w:jc w:val="left"/>
                  </w:pPr>
                  <w:r>
                    <w:t xml:space="preserve">Debtor.</w:t>
                  </w:r>
                </w:p>
                <w:p>
                  <w:pPr>
                    <w:pBdr>
                      <w:top w:val="single" w:sz="6" w:space="0" w:color="000000"/>
                    </w:pBdr>
                    <w:spacing w:before="240" w:after="0" w:line="1" w:lineRule="exact"/>
                  </w:pPr>
                </w:p>
                <w:p>
                  <w:pPr>
                    <w:spacing w:before="240" w:after="0" w:line="240" w:lineRule="exact"/>
                    <w:ind w:left="0" w:firstLine="0"/>
                    <w:jc w:val="left"/>
                  </w:pPr>
                  <w:r>
                    <w:t xml:space="preserve">THE</w:t>
                  </w:r>
                  <w:r>
                    <w:t xml:space="preserve"> </w:t>
                  </w:r>
                  <w:r>
                    <w:t xml:space="preserve">OFFICIAL</w:t>
                  </w:r>
                  <w:r>
                    <w:t xml:space="preserve"> </w:t>
                  </w:r>
                  <w:r>
                    <w:t xml:space="preserve">COMMITTEE</w:t>
                  </w:r>
                  <w:r>
                    <w:t xml:space="preserve"> </w:t>
                  </w:r>
                  <w:r>
                    <w:t xml:space="preserve">OF</w:t>
                  </w:r>
                  <w:r>
                    <w:t xml:space="preserve"> </w:t>
                  </w:r>
                  <w:r>
                    <w:t xml:space="preserve">UNSECURED</w:t>
                  </w:r>
                  <w:r>
                    <w:t xml:space="preserve"> </w:t>
                  </w:r>
                  <w:r>
                    <w:t xml:space="preserve">CREDITORS</w:t>
                  </w:r>
                  <w:r>
                    <w:t xml:space="preserve"> </w:t>
                  </w:r>
                  <w:r>
                    <w:t xml:space="preserve">OF</w:t>
                  </w:r>
                  <w:r>
                    <w:t xml:space="preserve"> </w:t>
                  </w:r>
                  <w:r>
                    <w:t xml:space="preserve">THE</w:t>
                  </w:r>
                  <w:r>
                    <w:t xml:space="preserve"> </w:t>
                  </w:r>
                  <w:r>
                    <w:t xml:space="preserve">ROMAN</w:t>
                  </w:r>
                  <w:r>
                    <w:t xml:space="preserve"> </w:t>
                  </w:r>
                  <w:r>
                    <w:t xml:space="preserve">CATHOLIC</w:t>
                  </w:r>
                  <w:r>
                    <w:t xml:space="preserve"> </w:t>
                  </w:r>
                  <w:r>
                    <w:t xml:space="preserve">BISHOP</w:t>
                  </w:r>
                  <w:r>
                    <w:t xml:space="preserve"> </w:t>
                  </w:r>
                  <w:r>
                    <w:t xml:space="preserve">OF</w:t>
                  </w:r>
                  <w:r>
                    <w:t xml:space="preserve"> </w:t>
                  </w:r>
                  <w:r>
                    <w:t xml:space="preserve">OAKLAND</w:t>
                  </w:r>
                </w:p>
                <w:p>
                  <w:pPr>
                    <w:spacing w:before="240" w:after="0" w:line="240" w:lineRule="exact"/>
                    <w:ind w:left="2592" w:firstLine="0"/>
                    <w:jc w:val="left"/>
                  </w:pPr>
                  <w:r>
                    <w:t xml:space="preserve">Plaintiff,</w:t>
                  </w:r>
                </w:p>
                <w:p>
                  <w:pPr>
                    <w:spacing w:before="240" w:after="240" w:line="240" w:lineRule="exact"/>
                    <w:ind w:left="0" w:firstLine="0"/>
                    <w:jc w:val="left"/>
                  </w:pPr>
                  <w:r>
                    <w:t xml:space="preserve">v.</w:t>
                  </w:r>
                </w:p>
                <w:p>
                  <w:pPr>
                    <w:spacing w:before="0" w:after="0" w:line="240" w:lineRule="exact"/>
                    <w:ind w:left="0" w:firstLine="0"/>
                    <w:jc w:val="left"/>
                  </w:pPr>
                  <w:r>
                    <w:t xml:space="preserve">THE</w:t>
                  </w:r>
                  <w:r>
                    <w:t xml:space="preserve"> </w:t>
                  </w:r>
                  <w:r>
                    <w:t xml:space="preserve">ROMAN</w:t>
                  </w:r>
                  <w:r>
                    <w:t xml:space="preserve"> </w:t>
                  </w:r>
                  <w:r>
                    <w:t xml:space="preserve">CATHOLIC</w:t>
                  </w:r>
                  <w:r>
                    <w:t xml:space="preserve"> </w:t>
                  </w:r>
                  <w:r>
                    <w:t xml:space="preserve">BISHOP</w:t>
                  </w:r>
                  <w:r>
                    <w:t xml:space="preserve"> </w:t>
                  </w:r>
                  <w:r>
                    <w:t xml:space="preserve">OF</w:t>
                  </w:r>
                  <w:r>
                    <w:t xml:space="preserve"> </w:t>
                  </w:r>
                  <w:r>
                    <w:t xml:space="preserve">OAKLAND,</w:t>
                  </w:r>
                  <w:r>
                    <w:t xml:space="preserve"> </w:t>
                  </w:r>
                  <w:r>
                    <w:t xml:space="preserve">ADVENTUS,</w:t>
                  </w:r>
                  <w:r>
                    <w:t xml:space="preserve"> </w:t>
                  </w:r>
                  <w:r>
                    <w:t xml:space="preserve">THE</w:t>
                  </w:r>
                  <w:r>
                    <w:t xml:space="preserve"> </w:t>
                  </w:r>
                  <w:r>
                    <w:t xml:space="preserve">ROMAN</w:t>
                  </w:r>
                  <w:r>
                    <w:t xml:space="preserve"> </w:t>
                  </w:r>
                  <w:r>
                    <w:t xml:space="preserve">CATHOLIC</w:t>
                  </w:r>
                  <w:r>
                    <w:t xml:space="preserve"> </w:t>
                  </w:r>
                  <w:r>
                    <w:t xml:space="preserve">WELFARE</w:t>
                  </w:r>
                  <w:r>
                    <w:t xml:space="preserve"> </w:t>
                  </w:r>
                  <w:r>
                    <w:t xml:space="preserve">CORPORATION</w:t>
                  </w:r>
                  <w:r>
                    <w:t xml:space="preserve"> </w:t>
                  </w:r>
                  <w:r>
                    <w:t xml:space="preserve">OF</w:t>
                  </w:r>
                  <w:r>
                    <w:t xml:space="preserve"> </w:t>
                  </w:r>
                  <w:r>
                    <w:t xml:space="preserve">OAKLAND,</w:t>
                  </w:r>
                  <w:r>
                    <w:t xml:space="preserve"> </w:t>
                  </w:r>
                  <w:r>
                    <w:t xml:space="preserve">AND</w:t>
                  </w:r>
                  <w:r>
                    <w:t xml:space="preserve"> </w:t>
                  </w:r>
                  <w:r>
                    <w:t xml:space="preserve">THE</w:t>
                  </w:r>
                  <w:r>
                    <w:t xml:space="preserve"> </w:t>
                  </w:r>
                  <w:r>
                    <w:t xml:space="preserve">ROMAN</w:t>
                  </w:r>
                  <w:r>
                    <w:t xml:space="preserve"> </w:t>
                  </w:r>
                  <w:r>
                    <w:t xml:space="preserve">CATHOLIC</w:t>
                  </w:r>
                  <w:r>
                    <w:t xml:space="preserve"> </w:t>
                  </w:r>
                  <w:r>
                    <w:t xml:space="preserve">CEMETERIES</w:t>
                  </w:r>
                  <w:r>
                    <w:t xml:space="preserve"> </w:t>
                  </w:r>
                  <w:r>
                    <w:t xml:space="preserve">OF</w:t>
                  </w:r>
                  <w:r>
                    <w:t xml:space="preserve"> </w:t>
                  </w:r>
                  <w:r>
                    <w:t xml:space="preserve">THE</w:t>
                  </w:r>
                  <w:r>
                    <w:t xml:space="preserve"> </w:t>
                  </w:r>
                  <w:r>
                    <w:t xml:space="preserve">DIOCESE</w:t>
                  </w:r>
                  <w:r>
                    <w:t xml:space="preserve"> </w:t>
                  </w:r>
                  <w:r>
                    <w:t xml:space="preserve">OF</w:t>
                  </w:r>
                  <w:r>
                    <w:t xml:space="preserve"> </w:t>
                  </w:r>
                  <w:r>
                    <w:t xml:space="preserve">OAKLAND,</w:t>
                  </w:r>
                </w:p>
                <w:p>
                  <w:pPr>
                    <w:spacing w:before="240" w:after="0" w:line="240" w:lineRule="exact"/>
                    <w:ind w:left="2592" w:firstLine="0"/>
                    <w:jc w:val="left"/>
                  </w:pPr>
                  <w:r>
                    <w:t xml:space="preserve">Defendants.</w:t>
                  </w:r>
                </w:p>
              </w:tc>
            </w:tr>
          </w:tbl>
          <w:p>
            <w:pPr>
              <w:spacing w:before="0" w:after="0" w:line="1" w:lineRule="exact"/>
            </w:pPr>
          </w:p>
        </w:tc>
        <w:tc>
          <w:tcPr>
            <w:tcW w:w="4320" w:type="dxa"/>
          </w:tcPr>
          <w:p>
            <w:pPr>
              <w:spacing w:before="0" w:after="0" w:line="240" w:lineRule="exact"/>
              <w:ind w:left="288" w:firstLine="0"/>
              <w:jc w:val="left"/>
            </w:pPr>
            <w:r>
              <w:t xml:space="preserve">Case</w:t>
            </w:r>
            <w:r>
              <w:t xml:space="preserve"> </w:t>
            </w:r>
            <w:r>
              <w:t xml:space="preserve">No.</w:t>
            </w:r>
            <w:r>
              <w:t xml:space="preserve"> </w:t>
            </w:r>
            <w:r>
              <w:t xml:space="preserve">23-⁠40523</w:t>
            </w:r>
            <w:r>
              <w:t xml:space="preserve"> </w:t>
            </w:r>
            <w:r>
              <w:t xml:space="preserve">WJL</w:t>
            </w:r>
          </w:p>
          <w:p>
            <w:pPr>
              <w:spacing w:before="0" w:after="0" w:line="240" w:lineRule="exact"/>
              <w:ind w:left="288" w:firstLine="0"/>
              <w:jc w:val="left"/>
            </w:pPr>
            <w:r>
              <w:t xml:space="preserve">Chapter</w:t>
            </w:r>
            <w:r>
              <w:t xml:space="preserve"> </w:t>
            </w:r>
            <w:r>
              <w:t xml:space="preserve">11</w:t>
            </w:r>
          </w:p>
          <w:p>
            <w:pPr>
              <w:spacing w:before="240" w:after="0" w:line="240" w:lineRule="exact"/>
              <w:ind w:left="288" w:firstLine="0"/>
              <w:jc w:val="left"/>
            </w:pPr>
            <w:r>
              <w:t xml:space="preserve">Adv.</w:t>
            </w:r>
            <w:r>
              <w:t xml:space="preserve"> </w:t>
            </w:r>
            <w:r>
              <w:t xml:space="preserve">Pro.</w:t>
            </w:r>
            <w:r>
              <w:t xml:space="preserve"> </w:t>
            </w:r>
            <w:r>
              <w:t xml:space="preserve">No.</w:t>
            </w:r>
            <w:r>
              <w:t xml:space="preserve"> </w:t>
            </w:r>
            <w:r>
              <w:t xml:space="preserve">24-⁠04053</w:t>
            </w:r>
            <w:r>
              <w:t xml:space="preserve"> </w:t>
            </w:r>
            <w:r>
              <w:t xml:space="preserve">WJL</w:t>
            </w:r>
          </w:p>
          <w:p>
            <w:pPr>
              <w:spacing w:before="480" w:after="0" w:line="240" w:lineRule="exact"/>
              <w:ind w:left="288" w:firstLine="0"/>
              <w:jc w:val="left"/>
            </w:pPr>
            <w:r>
              <w:rPr>
                <w:b/>
                <w:bCs/>
              </w:rPr>
              <w:t xml:space="preserve">MOTION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ROMAN</w:t>
            </w:r>
            <w:r>
              <w:rPr>
                <w:b/>
                <w:bCs/>
              </w:rPr>
              <w:t xml:space="preserve"> </w:t>
            </w:r>
            <w:r>
              <w:rPr>
                <w:b/>
                <w:bCs/>
              </w:rPr>
              <w:t xml:space="preserve">CATHOLIC</w:t>
            </w:r>
            <w:r>
              <w:rPr>
                <w:b/>
                <w:bCs/>
              </w:rPr>
              <w:t xml:space="preserve"> </w:t>
            </w:r>
            <w:r>
              <w:rPr>
                <w:b/>
                <w:bCs/>
              </w:rPr>
              <w:t xml:space="preserve">WELFARE</w:t>
            </w:r>
            <w:r>
              <w:rPr>
                <w:b/>
                <w:bCs/>
              </w:rPr>
              <w:t xml:space="preserve"> </w:t>
            </w:r>
            <w:r>
              <w:rPr>
                <w:b/>
                <w:bCs/>
              </w:rPr>
              <w:t xml:space="preserve">CORPORATION</w:t>
            </w:r>
            <w:r>
              <w:rPr>
                <w:b/>
                <w:bCs/>
              </w:rPr>
              <w:t xml:space="preserve"> </w:t>
            </w:r>
            <w:r>
              <w:rPr>
                <w:b/>
                <w:bCs/>
              </w:rPr>
              <w:t xml:space="preserve">OF</w:t>
            </w:r>
            <w:r>
              <w:rPr>
                <w:b/>
                <w:bCs/>
              </w:rPr>
              <w:t xml:space="preserve"> </w:t>
            </w:r>
            <w:r>
              <w:rPr>
                <w:b/>
                <w:bCs/>
              </w:rPr>
              <w:t xml:space="preserve">OAKLAND,</w:t>
            </w:r>
            <w:r>
              <w:rPr>
                <w:b/>
                <w:bCs/>
              </w:rPr>
              <w:t xml:space="preserve"> </w:t>
            </w:r>
            <w:r>
              <w:rPr>
                <w:b/>
                <w:bCs/>
              </w:rPr>
              <w:t xml:space="preserve">THE</w:t>
            </w:r>
            <w:r>
              <w:rPr>
                <w:b/>
                <w:bCs/>
              </w:rPr>
              <w:t xml:space="preserve"> </w:t>
            </w:r>
            <w:r>
              <w:rPr>
                <w:b/>
                <w:bCs/>
              </w:rPr>
              <w:t xml:space="preserve">ROMAN</w:t>
            </w:r>
            <w:r>
              <w:rPr>
                <w:b/>
                <w:bCs/>
              </w:rPr>
              <w:t xml:space="preserve"> </w:t>
            </w:r>
            <w:r>
              <w:rPr>
                <w:b/>
                <w:bCs/>
              </w:rPr>
              <w:t xml:space="preserve">CATHOLIC</w:t>
            </w:r>
            <w:r>
              <w:rPr>
                <w:b/>
                <w:bCs/>
              </w:rPr>
              <w:t xml:space="preserve"> </w:t>
            </w:r>
            <w:r>
              <w:rPr>
                <w:b/>
                <w:bCs/>
              </w:rPr>
              <w:t xml:space="preserve">CEMETERIES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DIOCESE</w:t>
            </w:r>
            <w:r>
              <w:rPr>
                <w:b/>
                <w:bCs/>
              </w:rPr>
              <w:t xml:space="preserve"> </w:t>
            </w:r>
            <w:r>
              <w:rPr>
                <w:b/>
                <w:bCs/>
              </w:rPr>
              <w:t xml:space="preserve">OF</w:t>
            </w:r>
            <w:r>
              <w:rPr>
                <w:b/>
                <w:bCs/>
              </w:rPr>
              <w:t xml:space="preserve"> </w:t>
            </w:r>
            <w:r>
              <w:rPr>
                <w:b/>
                <w:bCs/>
              </w:rPr>
              <w:t xml:space="preserve">OAKLAND</w:t>
            </w:r>
            <w:r>
              <w:rPr>
                <w:b/>
                <w:bCs/>
              </w:rPr>
              <w:t xml:space="preserve"> </w:t>
            </w:r>
            <w:r>
              <w:rPr>
                <w:b/>
                <w:bCs/>
              </w:rPr>
              <w:t xml:space="preserve">AND</w:t>
            </w:r>
            <w:r>
              <w:rPr>
                <w:b/>
                <w:bCs/>
              </w:rPr>
              <w:t xml:space="preserve"> </w:t>
            </w:r>
            <w:r>
              <w:rPr>
                <w:b/>
                <w:bCs/>
              </w:rPr>
              <w:t xml:space="preserve">ADVENTUS</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COMPLAINT</w:t>
            </w:r>
          </w:p>
          <w:p>
            <w:pPr>
              <w:spacing w:before="480" w:after="0" w:line="240" w:lineRule="exact"/>
              <w:ind w:left="288" w:firstLine="0"/>
              <w:jc w:val="left"/>
            </w:pPr>
            <w:r>
              <w:t xml:space="preserve">Date:</w:t>
            </w:r>
            <w:r>
              <w:t xml:space="preserve"> </w:t>
            </w:r>
            <w:r>
              <w:t xml:space="preserve">March</w:t>
            </w:r>
            <w:r>
              <w:t xml:space="preserve"> </w:t>
            </w:r>
            <w:r>
              <w:t xml:space="preserve">5,</w:t>
            </w:r>
            <w:r>
              <w:t xml:space="preserve"> </w:t>
            </w:r>
            <w:r>
              <w:t xml:space="preserve">2025</w:t>
            </w:r>
          </w:p>
          <w:p>
            <w:pPr>
              <w:spacing w:before="0" w:after="0" w:line="240" w:lineRule="exact"/>
              <w:ind w:left="288" w:firstLine="0"/>
              <w:jc w:val="left"/>
            </w:pPr>
            <w:r>
              <w:t xml:space="preserve">Time:</w:t>
            </w:r>
            <w:r>
              <w:t xml:space="preserve"> </w:t>
            </w:r>
            <w:r>
              <w:t xml:space="preserve">10:30</w:t>
            </w:r>
            <w:r>
              <w:t xml:space="preserve"> </w:t>
            </w:r>
            <w:r>
              <w:t xml:space="preserve">a.m.</w:t>
            </w:r>
          </w:p>
          <w:p>
            <w:pPr>
              <w:spacing w:before="0" w:after="0" w:line="240" w:lineRule="exact"/>
              <w:ind w:left="288" w:firstLine="0"/>
              <w:jc w:val="left"/>
            </w:pPr>
            <w:r>
              <w:t xml:space="preserve">Judge:</w:t>
            </w:r>
            <w:r>
              <w:t xml:space="preserve"> </w:t>
            </w:r>
            <w:r>
              <w:t xml:space="preserve">Hon.</w:t>
            </w:r>
            <w:r>
              <w:t xml:space="preserve"> </w:t>
            </w:r>
            <w:r>
              <w:t xml:space="preserve">William</w:t>
            </w:r>
            <w:r>
              <w:t xml:space="preserve"> </w:t>
            </w:r>
            <w:r>
              <w:t xml:space="preserve">J.</w:t>
            </w:r>
            <w:r>
              <w:t xml:space="preserve"> </w:t>
            </w:r>
            <w:r>
              <w:t xml:space="preserve">Lafferty,</w:t>
            </w:r>
            <w:r>
              <w:t xml:space="preserve"> </w:t>
            </w:r>
            <w:r>
              <w:t xml:space="preserve">III</w:t>
            </w:r>
          </w:p>
          <w:p>
            <w:pPr>
              <w:spacing w:before="0" w:after="0" w:line="240" w:lineRule="exact"/>
              <w:ind w:left="288" w:firstLine="0"/>
              <w:jc w:val="left"/>
            </w:pPr>
            <w:r>
              <w:t xml:space="preserve">Place: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Courtroom</w:t>
            </w:r>
            <w:r>
              <w:t xml:space="preserve"> </w:t>
            </w:r>
            <w:r>
              <w:t xml:space="preserve">220,</w:t>
            </w:r>
            <w:r>
              <w:t xml:space="preserve"> </w:t>
            </w:r>
            <w:r>
              <w:t xml:space="preserve">1300</w:t>
            </w:r>
            <w:r>
              <w:t xml:space="preserve"> </w:t>
            </w:r>
            <w:r>
              <w:t xml:space="preserve">Clay</w:t>
            </w:r>
            <w:r>
              <w:t xml:space="preserve"> </w:t>
            </w:r>
            <w:r>
              <w:t xml:space="preserve">Street,</w:t>
            </w:r>
            <w:r>
              <w:t xml:space="preserve"> </w:t>
            </w:r>
            <w:r>
              <w:t xml:space="preserve">Oakland,</w:t>
            </w:r>
            <w:r>
              <w:t xml:space="preserve"> </w:t>
            </w:r>
            <w:r>
              <w:t xml:space="preserve">CA</w:t>
            </w:r>
            <w:r>
              <w:t xml:space="preserve"> </w:t>
            </w:r>
            <w:r>
              <w:t xml:space="preserve">94612</w:t>
            </w:r>
          </w:p>
        </w:tc>
      </w:tr>
    </w:tbl>
    <w:p>
      <w:pPr>
        <w:spacing w:before="0" w:after="0" w:line="1" w:lineRule="exact"/>
        <w:sectPr>
          <w:headerReference w:type="default" r:id="rIdXdPleading"/>
          <w:footerReference w:type="default" r:id="rIdXdNone"/>
          <w:pgSz w:w="12240" w:h="15840"/>
          <w:pgMar w:top="1200" w:right="1440" w:bottom="1200" w:left="2160" w:header="720" w:footer="160" w:gutter="0"/>
          <w:pgNumType w:fmt="lowerRoman" w:start="1"/>
        </w:sectPr>
      </w:pPr>
    </w:p>
    <w:p>
      <w:pPr>
        <w:keepNext/>
        <w:keepLines/>
        <w:spacing w:before="0" w:after="240" w:line="24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Next/>
        <w:keepLines/>
        <w:spacing w:before="0" w:after="0" w:line="240" w:lineRule="exact"/>
        <w:ind w:left="0" w:firstLine="0"/>
        <w:jc w:val="right"/>
      </w:pPr>
      <w:r>
        <w:rPr>
          <w:b/>
          <w:bCs/>
        </w:rPr>
        <w:t xml:space="preserve">Page</w:t>
      </w:r>
    </w:p>
    <w:p>
      <w:pPr>
        <w:keepLines/>
        <w:tabs>
          <w:tab w:val="right" w:leader="dot" w:pos="8640"/>
        </w:tabs>
        <w:spacing w:before="120" w:after="0" w:line="240" w:lineRule="exact"/>
        <w:ind w:left="0" w:right="720" w:firstLine="0"/>
      </w:pPr>
      <w:r>
        <w:t xml:space="preserve">Memorandum</w:t>
      </w:r>
      <w:r>
        <w:t xml:space="preserve"> </w:t>
      </w:r>
      <w:r>
        <w:t xml:space="preserve">of</w:t>
      </w:r>
      <w:r>
        <w:t xml:space="preserve"> </w:t>
      </w:r>
      <w:r>
        <w:t xml:space="preserve">Points</w:t>
      </w:r>
      <w:r>
        <w:t xml:space="preserve"> </w:t>
      </w:r>
      <w:r>
        <w:t xml:space="preserve">and</w:t>
      </w:r>
      <w:r>
        <w:t xml:space="preserve"> </w:t>
      </w:r>
      <w:r>
        <w:t xml:space="preserve">Authorities</w:t>
      </w:r>
      <w:r>
        <w:t xml:space="preserve">   </w:t>
      </w:r>
      <w:r>
        <w:tab/>
      </w:r>
      <w:r>
        <w:t xml:space="preserve">1</w:t>
      </w:r>
    </w:p>
    <w:p>
      <w:pPr>
        <w:keepLines/>
        <w:tabs>
          <w:tab w:val="right" w:leader="dot" w:pos="8640"/>
        </w:tabs>
        <w:spacing w:before="120" w:after="0" w:line="240" w:lineRule="exact"/>
        <w:ind w:left="1440" w:right="720" w:hanging="720"/>
      </w:pPr>
      <w:r>
        <w:t xml:space="preserve">I.</w:t>
      </w:r>
      <w:r>
        <w:tab/>
      </w:r>
      <w:r>
        <w:t xml:space="preserve">Preliminary</w:t>
      </w:r>
      <w:r>
        <w:t xml:space="preserve"> </w:t>
      </w:r>
      <w:r>
        <w:t xml:space="preserve">Statement</w:t>
      </w:r>
      <w:r>
        <w:t xml:space="preserve">   </w:t>
      </w:r>
      <w:r>
        <w:tab/>
      </w:r>
      <w:r>
        <w:t xml:space="preserve">1</w:t>
      </w:r>
    </w:p>
    <w:p>
      <w:pPr>
        <w:keepLines/>
        <w:tabs>
          <w:tab w:val="right" w:leader="dot" w:pos="8640"/>
        </w:tabs>
        <w:spacing w:before="120" w:after="0" w:line="240" w:lineRule="exact"/>
        <w:ind w:left="1440" w:right="720" w:hanging="720"/>
      </w:pPr>
      <w:r>
        <w:t xml:space="preserve">II.</w:t>
      </w:r>
      <w:r>
        <w:tab/>
      </w:r>
      <w:r>
        <w:t xml:space="preserve">Factual</w:t>
      </w:r>
      <w:r>
        <w:t xml:space="preserve"> </w:t>
      </w:r>
      <w:r>
        <w:t xml:space="preserve">Background</w:t>
      </w:r>
      <w:r>
        <w:t xml:space="preserve">   </w:t>
      </w:r>
      <w:r>
        <w:tab/>
      </w:r>
      <w:r>
        <w:t xml:space="preserve">3</w:t>
      </w:r>
    </w:p>
    <w:p>
      <w:pPr>
        <w:keepLines/>
        <w:tabs>
          <w:tab w:val="right" w:leader="dot" w:pos="8640"/>
        </w:tabs>
        <w:spacing w:before="120" w:after="0" w:line="240" w:lineRule="exact"/>
        <w:ind w:left="2160" w:right="720" w:hanging="720"/>
      </w:pPr>
      <w:r>
        <w:t xml:space="preserve">A.</w:t>
      </w:r>
      <w:r>
        <w:tab/>
      </w:r>
      <w:r>
        <w:t xml:space="preserve">Other</w:t>
      </w:r>
      <w:r>
        <w:t xml:space="preserve"> </w:t>
      </w:r>
      <w:r>
        <w:t xml:space="preserve">Alleged</w:t>
      </w:r>
      <w:r>
        <w:t xml:space="preserve"> </w:t>
      </w:r>
      <w:r>
        <w:t xml:space="preserve">Connections</w:t>
      </w:r>
      <w:r>
        <w:t xml:space="preserve"> </w:t>
      </w:r>
      <w:r>
        <w:t xml:space="preserve">Between</w:t>
      </w:r>
      <w:r>
        <w:t xml:space="preserve"> </w:t>
      </w:r>
      <w:r>
        <w:t xml:space="preserve">the</w:t>
      </w:r>
      <w:r>
        <w:t xml:space="preserve"> </w:t>
      </w:r>
      <w:r>
        <w:t xml:space="preserve">Debtor</w:t>
      </w:r>
      <w:r>
        <w:t xml:space="preserve"> </w:t>
      </w:r>
      <w:r>
        <w:t xml:space="preserve">and</w:t>
      </w:r>
      <w:r>
        <w:t xml:space="preserve"> </w:t>
      </w:r>
      <w:r>
        <w:t xml:space="preserve">the</w:t>
      </w:r>
      <w:r>
        <w:t xml:space="preserve"> </w:t>
      </w:r>
      <w:r>
        <w:t xml:space="preserve">Non-Debtor</w:t>
      </w:r>
      <w:r>
        <w:t xml:space="preserve"> </w:t>
      </w:r>
      <w:r>
        <w:t xml:space="preserve">Defendants</w:t>
      </w:r>
      <w:r>
        <w:t xml:space="preserve">   </w:t>
      </w:r>
      <w:r>
        <w:tab/>
      </w:r>
      <w:r>
        <w:t xml:space="preserve">3</w:t>
      </w:r>
    </w:p>
    <w:p>
      <w:pPr>
        <w:keepLines/>
        <w:tabs>
          <w:tab w:val="right" w:leader="dot" w:pos="8640"/>
        </w:tabs>
        <w:spacing w:before="120" w:after="0" w:line="240" w:lineRule="exact"/>
        <w:ind w:left="1440" w:right="720" w:hanging="720"/>
      </w:pPr>
      <w:r>
        <w:t xml:space="preserve">III.</w:t>
      </w:r>
      <w:r>
        <w:tab/>
      </w:r>
      <w:r>
        <w:t xml:space="preserve">Legal</w:t>
      </w:r>
      <w:r>
        <w:t xml:space="preserve"> </w:t>
      </w:r>
      <w:r>
        <w:t xml:space="preserve">Standard</w:t>
      </w:r>
      <w:r>
        <w:t xml:space="preserve">   </w:t>
      </w:r>
      <w:r>
        <w:tab/>
      </w:r>
      <w:r>
        <w:t xml:space="preserve">4</w:t>
      </w:r>
    </w:p>
    <w:p>
      <w:pPr>
        <w:keepLines/>
        <w:tabs>
          <w:tab w:val="right" w:leader="dot" w:pos="8640"/>
        </w:tabs>
        <w:spacing w:before="120" w:after="0" w:line="240" w:lineRule="exact"/>
        <w:ind w:left="1440" w:right="720" w:hanging="720"/>
      </w:pPr>
      <w:r>
        <w:t xml:space="preserve">IV.</w:t>
      </w:r>
      <w:r>
        <w:tab/>
      </w:r>
      <w:r>
        <w:t xml:space="preserve">Argument</w:t>
      </w:r>
      <w:r>
        <w:t xml:space="preserve">   </w:t>
      </w:r>
      <w:r>
        <w:tab/>
      </w:r>
      <w:r>
        <w:t xml:space="preserve">5</w:t>
      </w:r>
    </w:p>
    <w:p>
      <w:pPr>
        <w:keepLines/>
        <w:tabs>
          <w:tab w:val="right" w:leader="dot" w:pos="8640"/>
        </w:tabs>
        <w:spacing w:before="120" w:after="0" w:line="240" w:lineRule="exact"/>
        <w:ind w:left="2160" w:right="720" w:hanging="720"/>
      </w:pPr>
      <w:r>
        <w:t xml:space="preserve">A.</w:t>
      </w:r>
      <w:r>
        <w:tab/>
      </w:r>
      <w:r>
        <w:t xml:space="preserve">The</w:t>
      </w:r>
      <w:r>
        <w:t xml:space="preserve"> </w:t>
      </w:r>
      <w:r>
        <w:t xml:space="preserve">Court</w:t>
      </w:r>
      <w:r>
        <w:t xml:space="preserve"> </w:t>
      </w:r>
      <w:r>
        <w:t xml:space="preserve">Should</w:t>
      </w:r>
      <w:r>
        <w:t xml:space="preserve"> </w:t>
      </w:r>
      <w:r>
        <w:t xml:space="preserve">Dismiss</w:t>
      </w:r>
      <w:r>
        <w:t xml:space="preserve"> </w:t>
      </w:r>
      <w:r>
        <w:t xml:space="preserve">the</w:t>
      </w:r>
      <w:r>
        <w:t xml:space="preserve"> </w:t>
      </w:r>
      <w:r>
        <w:t xml:space="preserve">Committee’s</w:t>
      </w:r>
      <w:r>
        <w:t xml:space="preserve"> </w:t>
      </w:r>
      <w:r>
        <w:t xml:space="preserve">Claim</w:t>
      </w:r>
      <w:r>
        <w:t xml:space="preserve"> </w:t>
      </w:r>
      <w:r>
        <w:t xml:space="preserve">for</w:t>
      </w:r>
      <w:r>
        <w:t xml:space="preserve"> </w:t>
      </w:r>
      <w:r>
        <w:t xml:space="preserve">Substantive</w:t>
      </w:r>
      <w:r>
        <w:t xml:space="preserve"> </w:t>
      </w:r>
      <w:r>
        <w:t xml:space="preserve">Consolidation</w:t>
      </w:r>
      <w:r>
        <w:t xml:space="preserve"> </w:t>
      </w:r>
      <w:r>
        <w:t xml:space="preserve">(Count</w:t>
      </w:r>
      <w:r>
        <w:t xml:space="preserve"> </w:t>
      </w:r>
      <w:r>
        <w:t xml:space="preserve">2)</w:t>
      </w:r>
      <w:r>
        <w:t xml:space="preserve">   </w:t>
      </w:r>
      <w:r>
        <w:tab/>
      </w:r>
      <w:r>
        <w:t xml:space="preserve">6</w:t>
      </w:r>
    </w:p>
    <w:p>
      <w:pPr>
        <w:keepLines/>
        <w:tabs>
          <w:tab w:val="right" w:leader="dot" w:pos="8640"/>
        </w:tabs>
        <w:spacing w:before="120" w:after="0" w:line="240" w:lineRule="exact"/>
        <w:ind w:left="2880" w:right="720" w:hanging="720"/>
      </w:pPr>
      <w:r>
        <w:t xml:space="preserve">1.</w:t>
      </w:r>
      <w:r>
        <w:tab/>
      </w:r>
      <w:r>
        <w:t xml:space="preserve">As</w:t>
      </w:r>
      <w:r>
        <w:t xml:space="preserve"> </w:t>
      </w:r>
      <w:r>
        <w:t xml:space="preserve">Non-Profit</w:t>
      </w:r>
      <w:r>
        <w:t xml:space="preserve"> </w:t>
      </w:r>
      <w:r>
        <w:t xml:space="preserve">Entities,</w:t>
      </w:r>
      <w:r>
        <w:t xml:space="preserve"> </w:t>
      </w:r>
      <w:r>
        <w:t xml:space="preserve">the</w:t>
      </w:r>
      <w:r>
        <w:t xml:space="preserve"> </w:t>
      </w:r>
      <w:r>
        <w:t xml:space="preserve">Non-Debtor</w:t>
      </w:r>
      <w:r>
        <w:t xml:space="preserve"> </w:t>
      </w:r>
      <w:r>
        <w:t xml:space="preserve">Defendants</w:t>
      </w:r>
      <w:r>
        <w:t xml:space="preserve"> </w:t>
      </w:r>
      <w:r>
        <w:t xml:space="preserve">May</w:t>
      </w:r>
      <w:r>
        <w:t xml:space="preserve"> </w:t>
      </w:r>
      <w:r>
        <w:t xml:space="preserve">Not</w:t>
      </w:r>
      <w:r>
        <w:t xml:space="preserve"> </w:t>
      </w:r>
      <w:r>
        <w:t xml:space="preserve">be</w:t>
      </w:r>
      <w:r>
        <w:t xml:space="preserve"> </w:t>
      </w:r>
      <w:r>
        <w:t xml:space="preserve">Involuntarily</w:t>
      </w:r>
      <w:r>
        <w:t xml:space="preserve"> </w:t>
      </w:r>
      <w:r>
        <w:t xml:space="preserve">Thrust</w:t>
      </w:r>
      <w:r>
        <w:t xml:space="preserve"> </w:t>
      </w:r>
      <w:r>
        <w:t xml:space="preserve">into</w:t>
      </w:r>
      <w:r>
        <w:t xml:space="preserve"> </w:t>
      </w:r>
      <w:r>
        <w:t xml:space="preserve">Bankruptcy</w:t>
      </w:r>
      <w:r>
        <w:t xml:space="preserve"> </w:t>
      </w:r>
      <w:r>
        <w:t xml:space="preserve">Through</w:t>
      </w:r>
      <w:r>
        <w:t xml:space="preserve"> </w:t>
      </w:r>
      <w:r>
        <w:t xml:space="preserve">Substantive</w:t>
      </w:r>
      <w:r>
        <w:t xml:space="preserve"> </w:t>
      </w:r>
      <w:r>
        <w:t xml:space="preserve">Consolidation</w:t>
      </w:r>
      <w:r>
        <w:t xml:space="preserve">   </w:t>
      </w:r>
      <w:r>
        <w:tab/>
      </w:r>
      <w:r>
        <w:t xml:space="preserve">6</w:t>
      </w:r>
    </w:p>
    <w:p>
      <w:pPr>
        <w:keepLines/>
        <w:tabs>
          <w:tab w:val="right" w:leader="dot" w:pos="8640"/>
        </w:tabs>
        <w:spacing w:before="120" w:after="0" w:line="240" w:lineRule="exact"/>
        <w:ind w:left="2880" w:right="720" w:hanging="720"/>
      </w:pPr>
      <w:r>
        <w:t xml:space="preserve">2.</w:t>
      </w:r>
      <w:r>
        <w:tab/>
      </w:r>
      <w:r>
        <w:t xml:space="preserve">The</w:t>
      </w:r>
      <w:r>
        <w:t xml:space="preserve"> </w:t>
      </w:r>
      <w:r>
        <w:t xml:space="preserve">Committee</w:t>
      </w:r>
      <w:r>
        <w:t xml:space="preserve"> </w:t>
      </w:r>
      <w:r>
        <w:t xml:space="preserve">Has</w:t>
      </w:r>
      <w:r>
        <w:t xml:space="preserve"> </w:t>
      </w:r>
      <w:r>
        <w:t xml:space="preserve">Failed</w:t>
      </w:r>
      <w:r>
        <w:t xml:space="preserve"> </w:t>
      </w:r>
      <w:r>
        <w:t xml:space="preserve">to</w:t>
      </w:r>
      <w:r>
        <w:t xml:space="preserve"> </w:t>
      </w:r>
      <w:r>
        <w:t xml:space="preserve">Adequately</w:t>
      </w:r>
      <w:r>
        <w:t xml:space="preserve"> </w:t>
      </w:r>
      <w:r>
        <w:t xml:space="preserve">Plead</w:t>
      </w:r>
      <w:r>
        <w:t xml:space="preserve"> </w:t>
      </w:r>
      <w:r>
        <w:t xml:space="preserve">a</w:t>
      </w:r>
      <w:r>
        <w:t xml:space="preserve"> </w:t>
      </w:r>
      <w:r>
        <w:t xml:space="preserve">Claim</w:t>
      </w:r>
      <w:r>
        <w:t xml:space="preserve"> </w:t>
      </w:r>
      <w:r>
        <w:t xml:space="preserve">for</w:t>
      </w:r>
      <w:r>
        <w:t xml:space="preserve"> </w:t>
      </w:r>
      <w:r>
        <w:t xml:space="preserve">Substantive</w:t>
      </w:r>
      <w:r>
        <w:t xml:space="preserve"> </w:t>
      </w:r>
      <w:r>
        <w:t xml:space="preserve">Consolidation</w:t>
      </w:r>
      <w:r>
        <w:t xml:space="preserve">   </w:t>
      </w:r>
      <w:r>
        <w:tab/>
      </w:r>
      <w:r>
        <w:t xml:space="preserve">9</w:t>
      </w:r>
    </w:p>
    <w:p>
      <w:pPr>
        <w:keepLines/>
        <w:tabs>
          <w:tab w:val="right" w:leader="dot" w:pos="8640"/>
        </w:tabs>
        <w:spacing w:before="120" w:after="0" w:line="240" w:lineRule="exact"/>
        <w:ind w:left="2160" w:right="720" w:hanging="720"/>
      </w:pPr>
      <w:r>
        <w:t xml:space="preserve">B.</w:t>
      </w:r>
      <w:r>
        <w:tab/>
      </w:r>
      <w:r>
        <w:t xml:space="preserve">The</w:t>
      </w:r>
      <w:r>
        <w:t xml:space="preserve"> </w:t>
      </w:r>
      <w:r>
        <w:t xml:space="preserve">Court</w:t>
      </w:r>
      <w:r>
        <w:t xml:space="preserve"> </w:t>
      </w:r>
      <w:r>
        <w:t xml:space="preserve">Should</w:t>
      </w:r>
      <w:r>
        <w:t xml:space="preserve"> </w:t>
      </w:r>
      <w:r>
        <w:t xml:space="preserve">Dismiss</w:t>
      </w:r>
      <w:r>
        <w:t xml:space="preserve"> </w:t>
      </w:r>
      <w:r>
        <w:t xml:space="preserve">the</w:t>
      </w:r>
      <w:r>
        <w:t xml:space="preserve"> </w:t>
      </w:r>
      <w:r>
        <w:t xml:space="preserve">Committee’s</w:t>
      </w:r>
      <w:r>
        <w:t xml:space="preserve"> </w:t>
      </w:r>
      <w:r>
        <w:t xml:space="preserve">Claim</w:t>
      </w:r>
      <w:r>
        <w:t xml:space="preserve"> </w:t>
      </w:r>
      <w:r>
        <w:t xml:space="preserve">for</w:t>
      </w:r>
      <w:r>
        <w:t xml:space="preserve"> </w:t>
      </w:r>
      <w:r>
        <w:t xml:space="preserve">a</w:t>
      </w:r>
      <w:r>
        <w:t xml:space="preserve"> </w:t>
      </w:r>
      <w:r>
        <w:t xml:space="preserve">Determination</w:t>
      </w:r>
      <w:r>
        <w:t xml:space="preserve"> </w:t>
      </w:r>
      <w:r>
        <w:t xml:space="preserve">that</w:t>
      </w:r>
      <w:r>
        <w:t xml:space="preserve"> </w:t>
      </w:r>
      <w:r>
        <w:t xml:space="preserve">the</w:t>
      </w:r>
      <w:r>
        <w:t xml:space="preserve"> </w:t>
      </w:r>
      <w:r>
        <w:t xml:space="preserve">Non-Debtor</w:t>
      </w:r>
      <w:r>
        <w:t xml:space="preserve"> </w:t>
      </w:r>
      <w:r>
        <w:t xml:space="preserve">Defendants’</w:t>
      </w:r>
      <w:r>
        <w:t xml:space="preserve"> </w:t>
      </w:r>
      <w:r>
        <w:t xml:space="preserve">Property</w:t>
      </w:r>
      <w:r>
        <w:t xml:space="preserve"> </w:t>
      </w:r>
      <w:r>
        <w:t xml:space="preserve">is</w:t>
      </w:r>
      <w:r>
        <w:t xml:space="preserve"> </w:t>
      </w:r>
      <w:r>
        <w:t xml:space="preserve">Property</w:t>
      </w:r>
      <w:r>
        <w:t xml:space="preserve"> </w:t>
      </w:r>
      <w:r>
        <w:t xml:space="preserve">of</w:t>
      </w:r>
      <w:r>
        <w:t xml:space="preserve"> </w:t>
      </w:r>
      <w:r>
        <w:t xml:space="preserve">the</w:t>
      </w:r>
      <w:r>
        <w:t xml:space="preserve"> </w:t>
      </w:r>
      <w:r>
        <w:t xml:space="preserve">Debtor’s</w:t>
      </w:r>
      <w:r>
        <w:t xml:space="preserve"> </w:t>
      </w:r>
      <w:r>
        <w:t xml:space="preserve">Bankruptcy</w:t>
      </w:r>
      <w:r>
        <w:t xml:space="preserve"> </w:t>
      </w:r>
      <w:r>
        <w:t xml:space="preserve">Estate</w:t>
      </w:r>
      <w:r>
        <w:t xml:space="preserve"> </w:t>
      </w:r>
      <w:r>
        <w:t xml:space="preserve">(Count</w:t>
      </w:r>
      <w:r>
        <w:t xml:space="preserve"> </w:t>
      </w:r>
      <w:r>
        <w:t xml:space="preserve">1)</w:t>
      </w:r>
      <w:r>
        <w:t xml:space="preserve">   </w:t>
      </w:r>
      <w:r>
        <w:tab/>
      </w:r>
      <w:r>
        <w:t xml:space="preserve">10</w:t>
      </w:r>
    </w:p>
    <w:p>
      <w:pPr>
        <w:keepLines/>
        <w:tabs>
          <w:tab w:val="right" w:leader="dot" w:pos="8640"/>
        </w:tabs>
        <w:spacing w:before="120" w:after="0" w:line="240" w:lineRule="exact"/>
        <w:ind w:left="1440" w:right="720" w:hanging="720"/>
      </w:pPr>
      <w:r>
        <w:t xml:space="preserve">V.</w:t>
      </w:r>
      <w:r>
        <w:tab/>
      </w:r>
      <w:r>
        <w:t xml:space="preserve">Conclusion</w:t>
      </w:r>
      <w:r>
        <w:t xml:space="preserve">   </w:t>
      </w:r>
      <w:r>
        <w:tab/>
      </w:r>
      <w:r>
        <w:t xml:space="preserve">12</w:t>
      </w:r>
    </w:p>
    <w:p>
      <w:pPr>
        <w:pageBreakBefore/>
        <w:spacing w:before="0" w:after="0" w:line="1" w:lineRule="exact"/>
      </w:pPr>
    </w:p>
    <w:p>
      <w:pPr>
        <w:keepNext/>
        <w:keepLines/>
        <w:spacing w:before="0" w:after="240" w:line="24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8640"/>
        </w:tabs>
        <w:spacing w:before="240" w:after="0" w:line="240" w:lineRule="exact"/>
        <w:ind w:left="0" w:firstLine="0"/>
        <w:jc w:val="left"/>
      </w:pPr>
      <w:r>
        <w:rPr>
          <w:b/>
          <w:bCs/>
        </w:rPr>
        <w:t xml:space="preserve">Cases</w:t>
      </w:r>
      <w:r>
        <w:rPr>
          <w:b/>
          <w:bCs/>
        </w:rPr>
        <w:tab/>
      </w:r>
      <w:r>
        <w:rPr>
          <w:b/>
          <w:bCs/>
        </w:rPr>
        <w:t xml:space="preserve">Page(s)</w:t>
      </w:r>
    </w:p>
    <w:p>
      <w:pPr>
        <w:keepLines/>
        <w:tabs>
          <w:tab w:val="right" w:leader="dot" w:pos="8640"/>
        </w:tabs>
        <w:spacing w:before="120" w:after="0" w:line="240" w:lineRule="exact"/>
        <w:ind w:left="504" w:right="1440" w:hanging="504"/>
      </w:pPr>
      <w:r>
        <w:rPr>
          <w:i/>
          <w:iCs/>
        </w:rPr>
        <w:t xml:space="preserve">In</w:t>
      </w:r>
      <w:r>
        <w:rPr>
          <w:i/>
          <w:iCs/>
        </w:rPr>
        <w:t xml:space="preserve"> </w:t>
      </w:r>
      <w:r>
        <w:rPr>
          <w:i/>
          <w:iCs/>
        </w:rPr>
        <w:t xml:space="preserve">re</w:t>
      </w:r>
      <w:r>
        <w:rPr>
          <w:i/>
          <w:iCs/>
        </w:rPr>
        <w:t xml:space="preserve"> </w:t>
      </w:r>
      <w:r>
        <w:rPr>
          <w:i/>
          <w:iCs/>
        </w:rPr>
        <w:t xml:space="preserve">Archdiocese</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Paul</w:t>
      </w:r>
      <w:r>
        <w:rPr>
          <w:i/>
          <w:iCs/>
        </w:rPr>
        <w:t xml:space="preserve"> </w:t>
      </w:r>
      <w:r>
        <w:rPr>
          <w:i/>
          <w:iCs/>
        </w:rPr>
        <w:t xml:space="preserve">&amp;</w:t>
      </w:r>
      <w:r>
        <w:rPr>
          <w:i/>
          <w:iCs/>
        </w:rPr>
        <w:t xml:space="preserve"> </w:t>
      </w:r>
      <w:r>
        <w:rPr>
          <w:i/>
          <w:iCs/>
        </w:rPr>
        <w:t xml:space="preserve">Minnesota</w:t>
      </w:r>
      <w:r>
        <w:t xml:space="preserve">,</w:t>
      </w:r>
      <w:r>
        <w:t xml:space="preserve"> </w:t>
      </w:r>
      <w:r>
        <w:t xml:space="preserve">553</w:t>
      </w:r>
      <w:r>
        <w:t xml:space="preserve"> </w:t>
      </w:r>
      <w:r>
        <w:t xml:space="preserve">B.R.</w:t>
      </w:r>
      <w:r>
        <w:t xml:space="preserve"> </w:t>
      </w:r>
      <w:r>
        <w:t xml:space="preserve">693</w:t>
      </w:r>
      <w:r>
        <w:t xml:space="preserve"> </w:t>
      </w:r>
      <w:r>
        <w:t xml:space="preserve">(Bankr.</w:t>
      </w:r>
      <w:r>
        <w:t xml:space="preserve"> </w:t>
      </w:r>
      <w:r>
        <w:t xml:space="preserve">D.</w:t>
      </w:r>
      <w:r>
        <w:t xml:space="preserve"> </w:t>
      </w:r>
      <w:r>
        <w:t xml:space="preserve">Minn.</w:t>
      </w:r>
      <w:r>
        <w:t xml:space="preserve"> </w:t>
      </w:r>
      <w:r>
        <w:t xml:space="preserve">2016)</w:t>
      </w:r>
      <w:r>
        <w:t xml:space="preserve">   </w:t>
      </w:r>
      <w:r>
        <w:tab/>
      </w:r>
      <w:r>
        <w:t xml:space="preserve">7</w:t>
      </w:r>
    </w:p>
    <w:p>
      <w:pPr>
        <w:keepLines/>
        <w:tabs>
          <w:tab w:val="right" w:leader="dot" w:pos="8640"/>
        </w:tabs>
        <w:spacing w:before="120" w:after="0" w:line="240" w:lineRule="exact"/>
        <w:ind w:left="504" w:right="1440" w:hanging="504"/>
      </w:pPr>
      <w:r>
        <w:rPr>
          <w:i/>
          <w:iCs/>
        </w:rPr>
        <w:t xml:space="preserve">Ashcroft</w:t>
      </w:r>
      <w:r>
        <w:rPr>
          <w:i/>
          <w:iCs/>
        </w:rPr>
        <w:t xml:space="preserve"> </w:t>
      </w:r>
      <w:r>
        <w:rPr>
          <w:i/>
          <w:iCs/>
        </w:rPr>
        <w:t xml:space="preserve">v.</w:t>
      </w:r>
      <w:r>
        <w:rPr>
          <w:i/>
          <w:iCs/>
        </w:rPr>
        <w:t xml:space="preserve"> </w:t>
      </w:r>
      <w:r>
        <w:rPr>
          <w:i/>
          <w:iCs/>
        </w:rPr>
        <w:t xml:space="preserve">Iqbal</w:t>
      </w:r>
      <w:r>
        <w:t xml:space="preserve">,</w:t>
      </w:r>
      <w:r>
        <w:t xml:space="preserve"> </w:t>
      </w:r>
      <w:r>
        <w:t xml:space="preserve">556</w:t>
      </w:r>
      <w:r>
        <w:t xml:space="preserve"> </w:t>
      </w:r>
      <w:r>
        <w:t xml:space="preserve">U.S.</w:t>
      </w:r>
      <w:r>
        <w:t xml:space="preserve"> </w:t>
      </w:r>
      <w:r>
        <w:t xml:space="preserve">662</w:t>
      </w:r>
      <w:r>
        <w:t xml:space="preserve"> </w:t>
      </w:r>
      <w:r>
        <w:t xml:space="preserve">(2009)</w:t>
      </w:r>
      <w:r>
        <w:t xml:space="preserve">   </w:t>
      </w:r>
      <w:r>
        <w:tab/>
      </w:r>
      <w:r>
        <w:t xml:space="preserve">4</w:t>
      </w:r>
    </w:p>
    <w:p>
      <w:pPr>
        <w:keepLines/>
        <w:tabs>
          <w:tab w:val="right" w:leader="dot" w:pos="8640"/>
        </w:tabs>
        <w:spacing w:before="120" w:after="0" w:line="240" w:lineRule="exact"/>
        <w:ind w:left="504" w:right="1440" w:hanging="504"/>
      </w:pPr>
      <w:r>
        <w:rPr>
          <w:i/>
          <w:iCs/>
        </w:rPr>
        <w:t xml:space="preserve">In</w:t>
      </w:r>
      <w:r>
        <w:rPr>
          <w:i/>
          <w:iCs/>
        </w:rPr>
        <w:t xml:space="preserve"> </w:t>
      </w:r>
      <w:r>
        <w:rPr>
          <w:i/>
          <w:iCs/>
        </w:rPr>
        <w:t xml:space="preserve">re</w:t>
      </w:r>
      <w:r>
        <w:rPr>
          <w:i/>
          <w:iCs/>
        </w:rPr>
        <w:t xml:space="preserve"> </w:t>
      </w:r>
      <w:r>
        <w:rPr>
          <w:i/>
          <w:iCs/>
        </w:rPr>
        <w:t xml:space="preserve">Augie/​Restivo</w:t>
      </w:r>
      <w:r>
        <w:rPr>
          <w:i/>
          <w:iCs/>
        </w:rPr>
        <w:t xml:space="preserve"> </w:t>
      </w:r>
      <w:r>
        <w:rPr>
          <w:i/>
          <w:iCs/>
        </w:rPr>
        <w:t xml:space="preserve">Baking</w:t>
      </w:r>
      <w:r>
        <w:rPr>
          <w:i/>
          <w:iCs/>
        </w:rPr>
        <w:t xml:space="preserve"> </w:t>
      </w:r>
      <w:r>
        <w:rPr>
          <w:i/>
          <w:iCs/>
        </w:rPr>
        <w:t xml:space="preserve">Co.</w:t>
      </w:r>
      <w:r>
        <w:t xml:space="preserve">,</w:t>
      </w:r>
      <w:r>
        <w:t xml:space="preserve"> </w:t>
      </w:r>
      <w:r>
        <w:t xml:space="preserve">860</w:t>
      </w:r>
      <w:r>
        <w:t xml:space="preserve"> </w:t>
      </w:r>
      <w:r>
        <w:t xml:space="preserve">F.2d</w:t>
      </w:r>
      <w:r>
        <w:t xml:space="preserve"> </w:t>
      </w:r>
      <w:r>
        <w:t xml:space="preserve">515</w:t>
      </w:r>
      <w:r>
        <w:t xml:space="preserve"> </w:t>
      </w:r>
      <w:r>
        <w:t xml:space="preserve">(2d</w:t>
      </w:r>
      <w:r>
        <w:t xml:space="preserve"> </w:t>
      </w:r>
      <w:r>
        <w:t xml:space="preserve">Cir.</w:t>
      </w:r>
      <w:r>
        <w:t xml:space="preserve"> </w:t>
      </w:r>
      <w:r>
        <w:t xml:space="preserve">1988)</w:t>
      </w:r>
      <w:r>
        <w:t xml:space="preserve">   </w:t>
      </w:r>
      <w:r>
        <w:tab/>
      </w:r>
      <w:r>
        <w:t xml:space="preserve">10</w:t>
      </w:r>
    </w:p>
    <w:p>
      <w:pPr>
        <w:keepLines/>
        <w:tabs>
          <w:tab w:val="right" w:leader="dot" w:pos="8640"/>
        </w:tabs>
        <w:spacing w:before="120" w:after="0" w:line="240" w:lineRule="exact"/>
        <w:ind w:left="504" w:right="1440" w:hanging="504"/>
      </w:pPr>
      <w:r>
        <w:rPr>
          <w:i/>
          <w:iCs/>
        </w:rPr>
        <w:t xml:space="preserve">Bell</w:t>
      </w:r>
      <w:r>
        <w:rPr>
          <w:i/>
          <w:iCs/>
        </w:rPr>
        <w:t xml:space="preserve"> </w:t>
      </w:r>
      <w:r>
        <w:rPr>
          <w:i/>
          <w:iCs/>
        </w:rPr>
        <w:t xml:space="preserve">Atl.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Twombly</w:t>
      </w:r>
      <w:r>
        <w:t xml:space="preserve">,</w:t>
      </w:r>
      <w:r>
        <w:t xml:space="preserve"> </w:t>
      </w:r>
      <w:r>
        <w:t xml:space="preserve">550</w:t>
      </w:r>
      <w:r>
        <w:t xml:space="preserve"> </w:t>
      </w:r>
      <w:r>
        <w:t xml:space="preserve">U.S.</w:t>
      </w:r>
      <w:r>
        <w:t xml:space="preserve"> </w:t>
      </w:r>
      <w:r>
        <w:t xml:space="preserve">544</w:t>
      </w:r>
      <w:r>
        <w:t xml:space="preserve"> </w:t>
      </w:r>
      <w:r>
        <w:t xml:space="preserve">(2007)</w:t>
      </w:r>
      <w:r>
        <w:t xml:space="preserve">   </w:t>
      </w:r>
      <w:r>
        <w:tab/>
      </w:r>
      <w:r>
        <w:t xml:space="preserve">4</w:t>
      </w:r>
    </w:p>
    <w:p>
      <w:pPr>
        <w:keepLines/>
        <w:tabs>
          <w:tab w:val="right" w:leader="dot" w:pos="8640"/>
        </w:tabs>
        <w:spacing w:before="120" w:after="0" w:line="240" w:lineRule="exact"/>
        <w:ind w:left="504" w:right="1440" w:hanging="504"/>
      </w:pPr>
      <w:r>
        <w:rPr>
          <w:i/>
          <w:iCs/>
        </w:rPr>
        <w:t xml:space="preserve">In</w:t>
      </w:r>
      <w:r>
        <w:rPr>
          <w:i/>
          <w:iCs/>
        </w:rPr>
        <w:t xml:space="preserve"> </w:t>
      </w:r>
      <w:r>
        <w:rPr>
          <w:i/>
          <w:iCs/>
        </w:rPr>
        <w:t xml:space="preserve">re</w:t>
      </w:r>
      <w:r>
        <w:rPr>
          <w:i/>
          <w:iCs/>
        </w:rPr>
        <w:t xml:space="preserve"> </w:t>
      </w:r>
      <w:r>
        <w:rPr>
          <w:i/>
          <w:iCs/>
        </w:rPr>
        <w:t xml:space="preserve">Bonham</w:t>
      </w:r>
      <w:r>
        <w:t xml:space="preserve">,</w:t>
      </w:r>
      <w:r>
        <w:t xml:space="preserve"> </w:t>
      </w:r>
      <w:r>
        <w:t xml:space="preserve">229</w:t>
      </w:r>
      <w:r>
        <w:t xml:space="preserve"> </w:t>
      </w:r>
      <w:r>
        <w:t xml:space="preserve">F.3d</w:t>
      </w:r>
      <w:r>
        <w:t xml:space="preserve"> </w:t>
      </w:r>
      <w:r>
        <w:t xml:space="preserve">750</w:t>
      </w:r>
      <w:r>
        <w:t xml:space="preserve"> </w:t>
      </w:r>
      <w:r>
        <w:t xml:space="preserve">(9th</w:t>
      </w:r>
      <w:r>
        <w:t xml:space="preserve"> </w:t>
      </w:r>
      <w:r>
        <w:t xml:space="preserve">Cir.</w:t>
      </w:r>
      <w:r>
        <w:t xml:space="preserve"> </w:t>
      </w:r>
      <w:r>
        <w:t xml:space="preserve">2000)</w:t>
      </w:r>
      <w:r>
        <w:t xml:space="preserve">   </w:t>
      </w:r>
      <w:r>
        <w:tab/>
      </w:r>
      <w:r>
        <w:t xml:space="preserve">6, 7, 9, 10</w:t>
      </w:r>
    </w:p>
    <w:p>
      <w:pPr>
        <w:keepLines/>
        <w:tabs>
          <w:tab w:val="right" w:leader="dot" w:pos="8640"/>
        </w:tabs>
        <w:spacing w:before="120" w:after="0" w:line="240" w:lineRule="exact"/>
        <w:ind w:left="504" w:right="1440" w:hanging="504"/>
      </w:pPr>
      <w:r>
        <w:rPr>
          <w:i/>
          <w:iCs/>
        </w:rPr>
        <w:t xml:space="preserve">Brown</w:t>
      </w:r>
      <w:r>
        <w:rPr>
          <w:i/>
          <w:iCs/>
        </w:rPr>
        <w:t xml:space="preserve"> </w:t>
      </w:r>
      <w:r>
        <w:rPr>
          <w:i/>
          <w:iCs/>
        </w:rPr>
        <w:t xml:space="preserve">v.</w:t>
      </w:r>
      <w:r>
        <w:rPr>
          <w:i/>
          <w:iCs/>
        </w:rPr>
        <w:t xml:space="preserve"> </w:t>
      </w:r>
      <w:r>
        <w:rPr>
          <w:i/>
          <w:iCs/>
        </w:rPr>
        <w:t xml:space="preserve">Viegelahn</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Brown)</w:t>
      </w:r>
      <w:r>
        <w:t xml:space="preserve">,</w:t>
      </w:r>
      <w:r>
        <w:t xml:space="preserve"> </w:t>
      </w:r>
      <w:r>
        <w:t xml:space="preserve">960</w:t>
      </w:r>
      <w:r>
        <w:t xml:space="preserve"> </w:t>
      </w:r>
      <w:r>
        <w:t xml:space="preserve">F.3d</w:t>
      </w:r>
      <w:r>
        <w:t xml:space="preserve"> </w:t>
      </w:r>
      <w:r>
        <w:t xml:space="preserve">711</w:t>
      </w:r>
      <w:r>
        <w:t xml:space="preserve"> </w:t>
      </w:r>
      <w:r>
        <w:t xml:space="preserve">(5th</w:t>
      </w:r>
      <w:r>
        <w:t xml:space="preserve"> </w:t>
      </w:r>
      <w:r>
        <w:t xml:space="preserve">Cir.</w:t>
      </w:r>
      <w:r>
        <w:t xml:space="preserve"> </w:t>
      </w:r>
      <w:r>
        <w:t xml:space="preserve">2020)</w:t>
      </w:r>
      <w:r>
        <w:t xml:space="preserve">   </w:t>
      </w:r>
      <w:r>
        <w:tab/>
      </w:r>
      <w:r>
        <w:t xml:space="preserve">9</w:t>
      </w:r>
    </w:p>
    <w:p>
      <w:pPr>
        <w:keepLines/>
        <w:tabs>
          <w:tab w:val="right" w:leader="dot" w:pos="8640"/>
        </w:tabs>
        <w:spacing w:before="120" w:after="0" w:line="240" w:lineRule="exact"/>
        <w:ind w:left="504" w:right="1440" w:hanging="504"/>
      </w:pPr>
      <w:r>
        <w:rPr>
          <w:i/>
          <w:iCs/>
        </w:rPr>
        <w:t xml:space="preserve">Butler</w:t>
      </w:r>
      <w:r>
        <w:rPr>
          <w:i/>
          <w:iCs/>
        </w:rPr>
        <w:t xml:space="preserve"> </w:t>
      </w:r>
      <w:r>
        <w:rPr>
          <w:i/>
          <w:iCs/>
        </w:rPr>
        <w:t xml:space="preserve">v.</w:t>
      </w:r>
      <w:r>
        <w:rPr>
          <w:i/>
          <w:iCs/>
        </w:rPr>
        <w:t xml:space="preserve"> </w:t>
      </w:r>
      <w:r>
        <w:rPr>
          <w:i/>
          <w:iCs/>
        </w:rPr>
        <w:t xml:space="preserve">Candlewood</w:t>
      </w:r>
      <w:r>
        <w:rPr>
          <w:i/>
          <w:iCs/>
        </w:rPr>
        <w:t xml:space="preserve"> </w:t>
      </w:r>
      <w:r>
        <w:rPr>
          <w:i/>
          <w:iCs/>
        </w:rPr>
        <w:t xml:space="preserve">Rd.</w:t>
      </w:r>
      <w:r>
        <w:rPr>
          <w:i/>
          <w:iCs/>
        </w:rPr>
        <w:t xml:space="preserve"> </w:t>
      </w:r>
      <w:r>
        <w:rPr>
          <w:i/>
          <w:iCs/>
        </w:rPr>
        <w:t xml:space="preserve">Partners,</w:t>
      </w:r>
      <w:r>
        <w:rPr>
          <w:i/>
          <w:iCs/>
        </w:rPr>
        <w:t xml:space="preserve"> </w:t>
      </w:r>
      <w:r>
        <w:rPr>
          <w:i/>
          <w:iCs/>
        </w:rPr>
        <w:t xml:space="preserve">LLC</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Raymond)</w:t>
      </w:r>
      <w:r>
        <w:t xml:space="preserve">,</w:t>
      </w:r>
      <w:r>
        <w:t xml:space="preserve"> </w:t>
      </w:r>
      <w:r>
        <w:t xml:space="preserve">529</w:t>
      </w:r>
      <w:r>
        <w:t xml:space="preserve"> </w:t>
      </w:r>
      <w:r>
        <w:t xml:space="preserve">B.R.</w:t>
      </w:r>
      <w:r>
        <w:t xml:space="preserve"> </w:t>
      </w:r>
      <w:r>
        <w:t xml:space="preserve">455</w:t>
      </w:r>
      <w:r>
        <w:t xml:space="preserve"> </w:t>
      </w:r>
      <w:r>
        <w:t xml:space="preserve">(Bankr.</w:t>
      </w:r>
      <w:r>
        <w:t xml:space="preserve"> </w:t>
      </w:r>
      <w:r>
        <w:t xml:space="preserve">D.</w:t>
      </w:r>
      <w:r>
        <w:t xml:space="preserve"> </w:t>
      </w:r>
      <w:r>
        <w:t xml:space="preserve">Mass.</w:t>
      </w:r>
      <w:r>
        <w:t xml:space="preserve"> </w:t>
      </w:r>
      <w:r>
        <w:t xml:space="preserve">2015)</w:t>
      </w:r>
      <w:r>
        <w:t xml:space="preserve">   </w:t>
      </w:r>
      <w:r>
        <w:tab/>
      </w:r>
      <w:r>
        <w:t xml:space="preserve">11</w:t>
      </w:r>
    </w:p>
    <w:p>
      <w:pPr>
        <w:keepLines/>
        <w:tabs>
          <w:tab w:val="right" w:leader="dot" w:pos="8640"/>
        </w:tabs>
        <w:spacing w:before="120" w:after="0" w:line="240" w:lineRule="exact"/>
        <w:ind w:left="504" w:right="1440" w:hanging="504"/>
      </w:pPr>
      <w:r>
        <w:rPr>
          <w:i/>
          <w:iCs/>
        </w:rPr>
        <w:t xml:space="preserve">Butner</w:t>
      </w:r>
      <w:r>
        <w:rPr>
          <w:i/>
          <w:iCs/>
        </w:rPr>
        <w:t xml:space="preserve"> </w:t>
      </w:r>
      <w:r>
        <w:rPr>
          <w:i/>
          <w:iCs/>
        </w:rPr>
        <w:t xml:space="preserve">v.</w:t>
      </w:r>
      <w:r>
        <w:rPr>
          <w:i/>
          <w:iCs/>
        </w:rPr>
        <w:t xml:space="preserve"> </w:t>
      </w:r>
      <w:r>
        <w:rPr>
          <w:i/>
          <w:iCs/>
        </w:rPr>
        <w:t xml:space="preserve">U.S.</w:t>
      </w:r>
      <w:r>
        <w:t xml:space="preserve">,</w:t>
      </w:r>
      <w:r>
        <w:t xml:space="preserve"> </w:t>
      </w:r>
      <w:r>
        <w:t xml:space="preserve">440</w:t>
      </w:r>
      <w:r>
        <w:t xml:space="preserve"> </w:t>
      </w:r>
      <w:r>
        <w:t xml:space="preserve">U.S.</w:t>
      </w:r>
      <w:r>
        <w:t xml:space="preserve"> </w:t>
      </w:r>
      <w:r>
        <w:t xml:space="preserve">48</w:t>
      </w:r>
      <w:r>
        <w:t xml:space="preserve"> </w:t>
      </w:r>
      <w:r>
        <w:t xml:space="preserve">(1979)</w:t>
      </w:r>
      <w:r>
        <w:t xml:space="preserve">   </w:t>
      </w:r>
      <w:r>
        <w:tab/>
      </w:r>
      <w:r>
        <w:t xml:space="preserve">12</w:t>
      </w:r>
    </w:p>
    <w:p>
      <w:pPr>
        <w:keepLines/>
        <w:tabs>
          <w:tab w:val="right" w:leader="dot" w:pos="8640"/>
        </w:tabs>
        <w:spacing w:before="120" w:after="0" w:line="240" w:lineRule="exact"/>
        <w:ind w:left="504" w:right="1440" w:hanging="504"/>
      </w:pPr>
      <w:r>
        <w:rPr>
          <w:i/>
          <w:iCs/>
        </w:rPr>
        <w:t xml:space="preserve">Coto</w:t>
      </w:r>
      <w:r>
        <w:rPr>
          <w:i/>
          <w:iCs/>
        </w:rPr>
        <w:t xml:space="preserve"> </w:t>
      </w:r>
      <w:r>
        <w:rPr>
          <w:i/>
          <w:iCs/>
        </w:rPr>
        <w:t xml:space="preserve">Settlement</w:t>
      </w:r>
      <w:r>
        <w:rPr>
          <w:i/>
          <w:iCs/>
        </w:rPr>
        <w:t xml:space="preserve"> </w:t>
      </w:r>
      <w:r>
        <w:rPr>
          <w:i/>
          <w:iCs/>
        </w:rPr>
        <w:t xml:space="preserve">v.</w:t>
      </w:r>
      <w:r>
        <w:rPr>
          <w:i/>
          <w:iCs/>
        </w:rPr>
        <w:t xml:space="preserve"> </w:t>
      </w:r>
      <w:r>
        <w:rPr>
          <w:i/>
          <w:iCs/>
        </w:rPr>
        <w:t xml:space="preserve">Eisenberg</w:t>
      </w:r>
      <w:r>
        <w:t xml:space="preserve">,</w:t>
      </w:r>
      <w:r>
        <w:t xml:space="preserve"> </w:t>
      </w:r>
      <w:r>
        <w:t xml:space="preserve">593</w:t>
      </w:r>
      <w:r>
        <w:t xml:space="preserve"> </w:t>
      </w:r>
      <w:r>
        <w:t xml:space="preserve">F.3d</w:t>
      </w:r>
      <w:r>
        <w:t xml:space="preserve"> </w:t>
      </w:r>
      <w:r>
        <w:t xml:space="preserve">1031</w:t>
      </w:r>
      <w:r>
        <w:t xml:space="preserve"> </w:t>
      </w:r>
      <w:r>
        <w:t xml:space="preserve">(9th</w:t>
      </w:r>
      <w:r>
        <w:t xml:space="preserve"> </w:t>
      </w:r>
      <w:r>
        <w:t xml:space="preserve">Cir.</w:t>
      </w:r>
      <w:r>
        <w:t xml:space="preserve"> </w:t>
      </w:r>
      <w:r>
        <w:t xml:space="preserve">2010)</w:t>
      </w:r>
      <w:r>
        <w:t xml:space="preserve">   </w:t>
      </w:r>
      <w:r>
        <w:tab/>
      </w:r>
      <w:r>
        <w:t xml:space="preserve">5</w:t>
      </w:r>
    </w:p>
    <w:p>
      <w:pPr>
        <w:keepLines/>
        <w:tabs>
          <w:tab w:val="right" w:leader="dot" w:pos="8640"/>
        </w:tabs>
        <w:spacing w:before="120" w:after="0" w:line="240" w:lineRule="exact"/>
        <w:ind w:left="504" w:right="1440" w:hanging="504"/>
      </w:pPr>
      <w:r>
        <w:rPr>
          <w:i/>
          <w:iCs/>
        </w:rPr>
        <w:t xml:space="preserve">Daniels-Hall</w:t>
      </w:r>
      <w:r>
        <w:rPr>
          <w:i/>
          <w:iCs/>
        </w:rPr>
        <w:t xml:space="preserve"> </w:t>
      </w:r>
      <w:r>
        <w:rPr>
          <w:i/>
          <w:iCs/>
        </w:rPr>
        <w:t xml:space="preserve">v.</w:t>
      </w:r>
      <w:r>
        <w:rPr>
          <w:i/>
          <w:iCs/>
        </w:rPr>
        <w:t xml:space="preserve"> </w:t>
      </w:r>
      <w:r>
        <w:rPr>
          <w:i/>
          <w:iCs/>
        </w:rPr>
        <w:t xml:space="preserve">National</w:t>
      </w:r>
      <w:r>
        <w:rPr>
          <w:i/>
          <w:iCs/>
        </w:rPr>
        <w:t xml:space="preserve"> </w:t>
      </w:r>
      <w:r>
        <w:rPr>
          <w:i/>
          <w:iCs/>
        </w:rPr>
        <w:t xml:space="preserve">Educ.</w:t>
      </w:r>
      <w:r>
        <w:rPr>
          <w:i/>
          <w:iCs/>
        </w:rPr>
        <w:t xml:space="preserve"> </w:t>
      </w:r>
      <w:r>
        <w:rPr>
          <w:i/>
          <w:iCs/>
        </w:rPr>
        <w:t xml:space="preserve">Ass’n</w:t>
      </w:r>
      <w:r>
        <w:t xml:space="preserve">,</w:t>
      </w:r>
      <w:r>
        <w:t xml:space="preserve"> </w:t>
      </w:r>
      <w:r>
        <w:t xml:space="preserve">629</w:t>
      </w:r>
      <w:r>
        <w:t xml:space="preserve"> </w:t>
      </w:r>
      <w:r>
        <w:t xml:space="preserve">F.3d</w:t>
      </w:r>
      <w:r>
        <w:t xml:space="preserve"> </w:t>
      </w:r>
      <w:r>
        <w:t xml:space="preserve">992</w:t>
      </w:r>
      <w:r>
        <w:t xml:space="preserve"> </w:t>
      </w:r>
      <w:r>
        <w:t xml:space="preserve">(9th</w:t>
      </w:r>
      <w:r>
        <w:t xml:space="preserve"> </w:t>
      </w:r>
      <w:r>
        <w:t xml:space="preserve">Cir.</w:t>
      </w:r>
      <w:r>
        <w:t xml:space="preserve"> </w:t>
      </w:r>
      <w:r>
        <w:t xml:space="preserve">2010)</w:t>
      </w:r>
      <w:r>
        <w:t xml:space="preserve">   </w:t>
      </w:r>
      <w:r>
        <w:tab/>
      </w:r>
      <w:r>
        <w:t xml:space="preserve">5</w:t>
      </w:r>
    </w:p>
    <w:p>
      <w:pPr>
        <w:keepLines/>
        <w:tabs>
          <w:tab w:val="right" w:leader="dot" w:pos="8640"/>
        </w:tabs>
        <w:spacing w:before="120" w:after="0" w:line="240" w:lineRule="exact"/>
        <w:ind w:left="504" w:right="1440" w:hanging="504"/>
      </w:pPr>
      <w:r>
        <w:rPr>
          <w:i/>
          <w:iCs/>
        </w:rPr>
        <w:t xml:space="preserve">In</w:t>
      </w:r>
      <w:r>
        <w:rPr>
          <w:i/>
          <w:iCs/>
        </w:rPr>
        <w:t xml:space="preserve"> </w:t>
      </w:r>
      <w:r>
        <w:rPr>
          <w:i/>
          <w:iCs/>
        </w:rPr>
        <w:t xml:space="preserve">re</w:t>
      </w:r>
      <w:r>
        <w:rPr>
          <w:i/>
          <w:iCs/>
        </w:rPr>
        <w:t xml:space="preserve"> </w:t>
      </w:r>
      <w:r>
        <w:rPr>
          <w:i/>
          <w:iCs/>
        </w:rPr>
        <w:t xml:space="preserve">Gilead</w:t>
      </w:r>
      <w:r>
        <w:rPr>
          <w:i/>
          <w:iCs/>
        </w:rPr>
        <w:t xml:space="preserve"> </w:t>
      </w:r>
      <w:r>
        <w:rPr>
          <w:i/>
          <w:iCs/>
        </w:rPr>
        <w:t xml:space="preserve">Scis.</w:t>
      </w:r>
      <w:r>
        <w:rPr>
          <w:i/>
          <w:iCs/>
        </w:rPr>
        <w:t xml:space="preserve"> </w:t>
      </w:r>
      <w:r>
        <w:rPr>
          <w:i/>
          <w:iCs/>
        </w:rPr>
        <w:t xml:space="preserve">Sec.</w:t>
      </w:r>
      <w:r>
        <w:rPr>
          <w:i/>
          <w:iCs/>
        </w:rPr>
        <w:t xml:space="preserve"> </w:t>
      </w:r>
      <w:r>
        <w:rPr>
          <w:i/>
          <w:iCs/>
        </w:rPr>
        <w:t xml:space="preserve">Litig.</w:t>
      </w:r>
      <w:r>
        <w:t xml:space="preserve">,</w:t>
      </w:r>
      <w:r>
        <w:t xml:space="preserve"> </w:t>
      </w:r>
      <w:r>
        <w:t xml:space="preserve">536</w:t>
      </w:r>
      <w:r>
        <w:t xml:space="preserve"> </w:t>
      </w:r>
      <w:r>
        <w:t xml:space="preserve">F.3d</w:t>
      </w:r>
      <w:r>
        <w:t xml:space="preserve"> </w:t>
      </w:r>
      <w:r>
        <w:t xml:space="preserve">1049</w:t>
      </w:r>
      <w:r>
        <w:t xml:space="preserve"> </w:t>
      </w:r>
      <w:r>
        <w:t xml:space="preserve">(9th</w:t>
      </w:r>
      <w:r>
        <w:t xml:space="preserve"> </w:t>
      </w:r>
      <w:r>
        <w:t xml:space="preserve">Cir.</w:t>
      </w:r>
      <w:r>
        <w:t xml:space="preserve"> </w:t>
      </w:r>
      <w:r>
        <w:t xml:space="preserve">2008)</w:t>
      </w:r>
      <w:r>
        <w:t xml:space="preserve">   </w:t>
      </w:r>
      <w:r>
        <w:tab/>
      </w:r>
      <w:r>
        <w:t xml:space="preserve">4</w:t>
      </w:r>
    </w:p>
    <w:p>
      <w:pPr>
        <w:keepLines/>
        <w:tabs>
          <w:tab w:val="right" w:leader="dot" w:pos="8640"/>
        </w:tabs>
        <w:spacing w:before="120" w:after="0" w:line="240" w:lineRule="exact"/>
        <w:ind w:left="504" w:right="1440" w:hanging="504"/>
      </w:pPr>
      <w:r>
        <w:rPr>
          <w:i/>
          <w:iCs/>
        </w:rPr>
        <w:t xml:space="preserve">In</w:t>
      </w:r>
      <w:r>
        <w:rPr>
          <w:i/>
          <w:iCs/>
        </w:rPr>
        <w:t xml:space="preserve"> </w:t>
      </w:r>
      <w:r>
        <w:rPr>
          <w:i/>
          <w:iCs/>
        </w:rPr>
        <w:t xml:space="preserve">re</w:t>
      </w:r>
      <w:r>
        <w:rPr>
          <w:i/>
          <w:iCs/>
        </w:rPr>
        <w:t xml:space="preserve"> </w:t>
      </w:r>
      <w:r>
        <w:rPr>
          <w:i/>
          <w:iCs/>
        </w:rPr>
        <w:t xml:space="preserve">Giller</w:t>
      </w:r>
      <w:r>
        <w:t xml:space="preserve">,</w:t>
      </w:r>
      <w:r>
        <w:t xml:space="preserve"> </w:t>
      </w:r>
      <w:r>
        <w:t xml:space="preserve">962</w:t>
      </w:r>
      <w:r>
        <w:t xml:space="preserve"> </w:t>
      </w:r>
      <w:r>
        <w:t xml:space="preserve">F.2d</w:t>
      </w:r>
      <w:r>
        <w:t xml:space="preserve"> </w:t>
      </w:r>
      <w:r>
        <w:t xml:space="preserve">796</w:t>
      </w:r>
      <w:r>
        <w:t xml:space="preserve"> </w:t>
      </w:r>
      <w:r>
        <w:t xml:space="preserve">(8th</w:t>
      </w:r>
      <w:r>
        <w:t xml:space="preserve"> </w:t>
      </w:r>
      <w:r>
        <w:t xml:space="preserve">Cir.</w:t>
      </w:r>
      <w:r>
        <w:t xml:space="preserve"> </w:t>
      </w:r>
      <w:r>
        <w:t xml:space="preserve">1992)</w:t>
      </w:r>
      <w:r>
        <w:t xml:space="preserve">   </w:t>
      </w:r>
      <w:r>
        <w:tab/>
      </w:r>
      <w:r>
        <w:t xml:space="preserve">7</w:t>
      </w:r>
    </w:p>
    <w:p>
      <w:pPr>
        <w:keepLines/>
        <w:tabs>
          <w:tab w:val="right" w:leader="dot" w:pos="8640"/>
        </w:tabs>
        <w:spacing w:before="120" w:after="0" w:line="240" w:lineRule="exact"/>
        <w:ind w:left="504" w:right="1440" w:hanging="504"/>
      </w:pPr>
      <w:r>
        <w:rPr>
          <w:i/>
          <w:iCs/>
        </w:rPr>
        <w:t xml:space="preserve">Harrington</w:t>
      </w:r>
      <w:r>
        <w:rPr>
          <w:i/>
          <w:iCs/>
        </w:rPr>
        <w:t xml:space="preserve"> </w:t>
      </w:r>
      <w:r>
        <w:rPr>
          <w:i/>
          <w:iCs/>
        </w:rPr>
        <w:t xml:space="preserve">v.</w:t>
      </w:r>
      <w:r>
        <w:rPr>
          <w:i/>
          <w:iCs/>
        </w:rPr>
        <w:t xml:space="preserve"> </w:t>
      </w:r>
      <w:r>
        <w:rPr>
          <w:i/>
          <w:iCs/>
        </w:rPr>
        <w:t xml:space="preserve">Purdue</w:t>
      </w:r>
      <w:r>
        <w:rPr>
          <w:i/>
          <w:iCs/>
        </w:rPr>
        <w:t xml:space="preserve"> </w:t>
      </w:r>
      <w:r>
        <w:rPr>
          <w:i/>
          <w:iCs/>
        </w:rPr>
        <w:t xml:space="preserve">Pharma</w:t>
      </w:r>
      <w:r>
        <w:rPr>
          <w:i/>
          <w:iCs/>
        </w:rPr>
        <w:t xml:space="preserve"> </w:t>
      </w:r>
      <w:r>
        <w:rPr>
          <w:i/>
          <w:iCs/>
        </w:rPr>
        <w:t xml:space="preserve">L.P.</w:t>
      </w:r>
      <w:r>
        <w:t xml:space="preserve">,</w:t>
      </w:r>
      <w:r>
        <w:t xml:space="preserve"> </w:t>
      </w:r>
      <w:r>
        <w:t xml:space="preserve">603</w:t>
      </w:r>
      <w:r>
        <w:t xml:space="preserve"> </w:t>
      </w:r>
      <w:r>
        <w:t xml:space="preserve">U.S.</w:t>
      </w:r>
      <w:r>
        <w:t xml:space="preserve"> </w:t>
      </w:r>
      <w:r>
        <w:t xml:space="preserve">204</w:t>
      </w:r>
      <w:r>
        <w:t xml:space="preserve"> </w:t>
      </w:r>
      <w:r>
        <w:t xml:space="preserve">(2024)</w:t>
      </w:r>
      <w:r>
        <w:t xml:space="preserve">   </w:t>
      </w:r>
      <w:r>
        <w:tab/>
      </w:r>
      <w:r>
        <w:t xml:space="preserve">8</w:t>
      </w:r>
    </w:p>
    <w:p>
      <w:pPr>
        <w:keepLines/>
        <w:tabs>
          <w:tab w:val="right" w:leader="dot" w:pos="8640"/>
        </w:tabs>
        <w:spacing w:before="120" w:after="0" w:line="240" w:lineRule="exact"/>
        <w:ind w:left="504" w:right="1440" w:hanging="504"/>
      </w:pPr>
      <w:r>
        <w:rPr>
          <w:i/>
          <w:iCs/>
        </w:rPr>
        <w:t xml:space="preserve">In</w:t>
      </w:r>
      <w:r>
        <w:rPr>
          <w:i/>
          <w:iCs/>
        </w:rPr>
        <w:t xml:space="preserve"> </w:t>
      </w:r>
      <w:r>
        <w:rPr>
          <w:i/>
          <w:iCs/>
        </w:rPr>
        <w:t xml:space="preserve">re</w:t>
      </w:r>
      <w:r>
        <w:rPr>
          <w:i/>
          <w:iCs/>
        </w:rPr>
        <w:t xml:space="preserve"> </w:t>
      </w:r>
      <w:r>
        <w:rPr>
          <w:i/>
          <w:iCs/>
        </w:rPr>
        <w:t xml:space="preserve">Howland</w:t>
      </w:r>
      <w:r>
        <w:t xml:space="preserve">,</w:t>
      </w:r>
      <w:r>
        <w:t xml:space="preserve"> </w:t>
      </w:r>
      <w:r>
        <w:t xml:space="preserve">674</w:t>
      </w:r>
      <w:r>
        <w:t xml:space="preserve"> </w:t>
      </w:r>
      <w:r>
        <w:t xml:space="preserve">F.</w:t>
      </w:r>
      <w:r>
        <w:t xml:space="preserve"> </w:t>
      </w:r>
      <w:r>
        <w:t xml:space="preserve">App’x</w:t>
      </w:r>
      <w:r>
        <w:t xml:space="preserve"> </w:t>
      </w:r>
      <w:r>
        <w:t xml:space="preserve">482</w:t>
      </w:r>
      <w:r>
        <w:t xml:space="preserve"> </w:t>
      </w:r>
      <w:r>
        <w:t xml:space="preserve">(6th</w:t>
      </w:r>
      <w:r>
        <w:t xml:space="preserve"> </w:t>
      </w:r>
      <w:r>
        <w:t xml:space="preserve">Cir.</w:t>
      </w:r>
      <w:r>
        <w:t xml:space="preserve"> </w:t>
      </w:r>
      <w:r>
        <w:t xml:space="preserve">2017)</w:t>
      </w:r>
      <w:r>
        <w:t xml:space="preserve">   </w:t>
      </w:r>
      <w:r>
        <w:tab/>
      </w:r>
      <w:r>
        <w:t xml:space="preserve">6</w:t>
      </w:r>
    </w:p>
    <w:p>
      <w:pPr>
        <w:keepLines/>
        <w:tabs>
          <w:tab w:val="right" w:leader="dot" w:pos="8640"/>
        </w:tabs>
        <w:spacing w:before="120" w:after="0" w:line="240" w:lineRule="exact"/>
        <w:ind w:left="504" w:right="1440" w:hanging="504"/>
      </w:pPr>
      <w:r>
        <w:rPr>
          <w:i/>
          <w:iCs/>
        </w:rPr>
        <w:t xml:space="preserve">In</w:t>
      </w:r>
      <w:r>
        <w:rPr>
          <w:i/>
          <w:iCs/>
        </w:rPr>
        <w:t xml:space="preserve"> </w:t>
      </w:r>
      <w:r>
        <w:rPr>
          <w:i/>
          <w:iCs/>
        </w:rPr>
        <w:t xml:space="preserve">re</w:t>
      </w:r>
      <w:r>
        <w:rPr>
          <w:i/>
          <w:iCs/>
        </w:rPr>
        <w:t xml:space="preserve"> </w:t>
      </w:r>
      <w:r>
        <w:rPr>
          <w:i/>
          <w:iCs/>
        </w:rPr>
        <w:t xml:space="preserve">Jackson</w:t>
      </w:r>
      <w:r>
        <w:t xml:space="preserve">,</w:t>
      </w:r>
      <w:r>
        <w:t xml:space="preserve"> </w:t>
      </w:r>
      <w:r>
        <w:t xml:space="preserve">548</w:t>
      </w:r>
      <w:r>
        <w:t xml:space="preserve"> </w:t>
      </w:r>
      <w:r>
        <w:t xml:space="preserve">B.R.</w:t>
      </w:r>
      <w:r>
        <w:t xml:space="preserve"> </w:t>
      </w:r>
      <w:r>
        <w:t xml:space="preserve">353</w:t>
      </w:r>
      <w:r>
        <w:t xml:space="preserve"> </w:t>
      </w:r>
      <w:r>
        <w:t xml:space="preserve">(Bankr.</w:t>
      </w:r>
      <w:r>
        <w:t xml:space="preserve"> </w:t>
      </w:r>
      <w:r>
        <w:t xml:space="preserve">N.D.</w:t>
      </w:r>
      <w:r>
        <w:t xml:space="preserve"> </w:t>
      </w:r>
      <w:r>
        <w:t xml:space="preserve">Ga.</w:t>
      </w:r>
      <w:r>
        <w:t xml:space="preserve"> </w:t>
      </w:r>
      <w:r>
        <w:t xml:space="preserve">2016)</w:t>
      </w:r>
      <w:r>
        <w:t xml:space="preserve">   </w:t>
      </w:r>
      <w:r>
        <w:tab/>
      </w:r>
      <w:r>
        <w:t xml:space="preserve">11</w:t>
      </w:r>
    </w:p>
    <w:p>
      <w:pPr>
        <w:keepLines/>
        <w:tabs>
          <w:tab w:val="right" w:leader="dot" w:pos="8640"/>
        </w:tabs>
        <w:spacing w:before="120" w:after="0" w:line="240" w:lineRule="exact"/>
        <w:ind w:left="504" w:right="1440" w:hanging="504"/>
      </w:pPr>
      <w:r>
        <w:rPr>
          <w:i/>
          <w:iCs/>
        </w:rPr>
        <w:t xml:space="preserve">Khoja</w:t>
      </w:r>
      <w:r>
        <w:rPr>
          <w:i/>
          <w:iCs/>
        </w:rPr>
        <w:t xml:space="preserve"> </w:t>
      </w:r>
      <w:r>
        <w:rPr>
          <w:i/>
          <w:iCs/>
        </w:rPr>
        <w:t xml:space="preserve">v.</w:t>
      </w:r>
      <w:r>
        <w:rPr>
          <w:i/>
          <w:iCs/>
        </w:rPr>
        <w:t xml:space="preserve"> </w:t>
      </w:r>
      <w:r>
        <w:rPr>
          <w:i/>
          <w:iCs/>
        </w:rPr>
        <w:t xml:space="preserve">Orexigen</w:t>
      </w:r>
      <w:r>
        <w:rPr>
          <w:i/>
          <w:iCs/>
        </w:rPr>
        <w:t xml:space="preserve"> </w:t>
      </w:r>
      <w:r>
        <w:rPr>
          <w:i/>
          <w:iCs/>
        </w:rPr>
        <w:t xml:space="preserve">Therapeutics,</w:t>
      </w:r>
      <w:r>
        <w:rPr>
          <w:i/>
          <w:iCs/>
        </w:rPr>
        <w:t xml:space="preserve"> </w:t>
      </w:r>
      <w:r>
        <w:rPr>
          <w:i/>
          <w:iCs/>
        </w:rPr>
        <w:t xml:space="preserve">Inc.</w:t>
      </w:r>
      <w:r>
        <w:t xml:space="preserve">,</w:t>
      </w:r>
      <w:r>
        <w:t xml:space="preserve"> </w:t>
      </w:r>
      <w:r>
        <w:t xml:space="preserve">898</w:t>
      </w:r>
      <w:r>
        <w:t xml:space="preserve"> </w:t>
      </w:r>
      <w:r>
        <w:t xml:space="preserve">F.3d</w:t>
      </w:r>
      <w:r>
        <w:t xml:space="preserve"> </w:t>
      </w:r>
      <w:r>
        <w:t xml:space="preserve">988</w:t>
      </w:r>
      <w:r>
        <w:t xml:space="preserve"> </w:t>
      </w:r>
      <w:r>
        <w:t xml:space="preserve">(9th</w:t>
      </w:r>
      <w:r>
        <w:t xml:space="preserve"> </w:t>
      </w:r>
      <w:r>
        <w:t xml:space="preserve">Cir.</w:t>
      </w:r>
      <w:r>
        <w:t xml:space="preserve"> </w:t>
      </w:r>
      <w:r>
        <w:t xml:space="preserve">2018)</w:t>
      </w:r>
      <w:r>
        <w:t xml:space="preserve">   </w:t>
      </w:r>
      <w:r>
        <w:tab/>
      </w:r>
      <w:r>
        <w:t xml:space="preserve">5</w:t>
      </w:r>
    </w:p>
    <w:p>
      <w:pPr>
        <w:keepLines/>
        <w:tabs>
          <w:tab w:val="right" w:leader="dot" w:pos="8640"/>
        </w:tabs>
        <w:spacing w:before="120" w:after="0" w:line="240" w:lineRule="exact"/>
        <w:ind w:left="504" w:right="1440" w:hanging="504"/>
      </w:pPr>
      <w:r>
        <w:rPr>
          <w:i/>
          <w:iCs/>
        </w:rPr>
        <w:t xml:space="preserve">Kismet</w:t>
      </w:r>
      <w:r>
        <w:rPr>
          <w:i/>
          <w:iCs/>
        </w:rPr>
        <w:t xml:space="preserve"> </w:t>
      </w:r>
      <w:r>
        <w:rPr>
          <w:i/>
          <w:iCs/>
        </w:rPr>
        <w:t xml:space="preserve">Acquisition,</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Icenhower</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Icenhower)</w:t>
      </w:r>
      <w:r>
        <w:t xml:space="preserve">,</w:t>
      </w:r>
      <w:r>
        <w:t xml:space="preserve"> </w:t>
      </w:r>
      <w:r>
        <w:t xml:space="preserve">757</w:t>
      </w:r>
      <w:r>
        <w:t xml:space="preserve"> </w:t>
      </w:r>
      <w:r>
        <w:t xml:space="preserve">F.3d</w:t>
      </w:r>
      <w:r>
        <w:t xml:space="preserve"> </w:t>
      </w:r>
      <w:r>
        <w:t xml:space="preserve">1044</w:t>
      </w:r>
      <w:r>
        <w:t xml:space="preserve"> </w:t>
      </w:r>
      <w:r>
        <w:t xml:space="preserve">(9th</w:t>
      </w:r>
      <w:r>
        <w:t xml:space="preserve"> </w:t>
      </w:r>
      <w:r>
        <w:t xml:space="preserve">Cir.</w:t>
      </w:r>
      <w:r>
        <w:t xml:space="preserve"> </w:t>
      </w:r>
      <w:r>
        <w:t xml:space="preserve">2014)</w:t>
      </w:r>
      <w:r>
        <w:t xml:space="preserve">   </w:t>
      </w:r>
      <w:r>
        <w:tab/>
      </w:r>
      <w:r>
        <w:t xml:space="preserve">6</w:t>
      </w:r>
    </w:p>
    <w:p>
      <w:pPr>
        <w:keepLines/>
        <w:tabs>
          <w:tab w:val="right" w:leader="dot" w:pos="8640"/>
        </w:tabs>
        <w:spacing w:before="120" w:after="0" w:line="240" w:lineRule="exact"/>
        <w:ind w:left="504" w:right="1440" w:hanging="504"/>
      </w:pPr>
      <w:r>
        <w:rPr>
          <w:i/>
          <w:iCs/>
        </w:rPr>
        <w:t xml:space="preserve">Law</w:t>
      </w:r>
      <w:r>
        <w:rPr>
          <w:i/>
          <w:iCs/>
        </w:rPr>
        <w:t xml:space="preserve"> </w:t>
      </w:r>
      <w:r>
        <w:rPr>
          <w:i/>
          <w:iCs/>
        </w:rPr>
        <w:t xml:space="preserve">v.</w:t>
      </w:r>
      <w:r>
        <w:rPr>
          <w:i/>
          <w:iCs/>
        </w:rPr>
        <w:t xml:space="preserve"> </w:t>
      </w:r>
      <w:r>
        <w:rPr>
          <w:i/>
          <w:iCs/>
        </w:rPr>
        <w:t xml:space="preserve">Siegel</w:t>
      </w:r>
      <w:r>
        <w:t xml:space="preserve">,</w:t>
      </w:r>
      <w:r>
        <w:t xml:space="preserve"> </w:t>
      </w:r>
      <w:r>
        <w:t xml:space="preserve">571</w:t>
      </w:r>
      <w:r>
        <w:t xml:space="preserve"> </w:t>
      </w:r>
      <w:r>
        <w:t xml:space="preserve">U.S.</w:t>
      </w:r>
      <w:r>
        <w:t xml:space="preserve"> </w:t>
      </w:r>
      <w:r>
        <w:t xml:space="preserve">415,</w:t>
      </w:r>
      <w:r>
        <w:t xml:space="preserve"> </w:t>
      </w:r>
      <w:r>
        <w:t xml:space="preserve">134</w:t>
      </w:r>
      <w:r>
        <w:t xml:space="preserve"> </w:t>
      </w:r>
      <w:r>
        <w:t xml:space="preserve">S.</w:t>
      </w:r>
      <w:r>
        <w:t xml:space="preserve"> </w:t>
      </w:r>
      <w:r>
        <w:t xml:space="preserve">Ct.</w:t>
      </w:r>
      <w:r>
        <w:t xml:space="preserve"> </w:t>
      </w:r>
      <w:r>
        <w:t xml:space="preserve">1188</w:t>
      </w:r>
      <w:r>
        <w:t xml:space="preserve"> </w:t>
      </w:r>
      <w:r>
        <w:t xml:space="preserve">(2014)</w:t>
      </w:r>
      <w:r>
        <w:t xml:space="preserve">   </w:t>
      </w:r>
      <w:r>
        <w:tab/>
      </w:r>
      <w:r>
        <w:t xml:space="preserve">8, 9</w:t>
      </w:r>
    </w:p>
    <w:p>
      <w:pPr>
        <w:keepLines/>
        <w:tabs>
          <w:tab w:val="right" w:leader="dot" w:pos="8640"/>
        </w:tabs>
        <w:spacing w:before="120" w:after="0" w:line="240" w:lineRule="exact"/>
        <w:ind w:left="504" w:right="1440" w:hanging="504"/>
      </w:pPr>
      <w:r>
        <w:rPr>
          <w:i/>
          <w:iCs/>
        </w:rPr>
        <w:t xml:space="preserve">Manzarek</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Paul</w:t>
      </w:r>
      <w:r>
        <w:rPr>
          <w:i/>
          <w:iCs/>
        </w:rPr>
        <w:t xml:space="preserve"> </w:t>
      </w:r>
      <w:r>
        <w:rPr>
          <w:i/>
          <w:iCs/>
        </w:rPr>
        <w:t xml:space="preserve">Fire</w:t>
      </w:r>
      <w:r>
        <w:rPr>
          <w:i/>
          <w:iCs/>
        </w:rPr>
        <w:t xml:space="preserve"> </w:t>
      </w:r>
      <w:r>
        <w:rPr>
          <w:i/>
          <w:iCs/>
        </w:rPr>
        <w:t xml:space="preserve">&amp;</w:t>
      </w:r>
      <w:r>
        <w:rPr>
          <w:i/>
          <w:iCs/>
        </w:rPr>
        <w:t xml:space="preserve"> </w:t>
      </w:r>
      <w:r>
        <w:rPr>
          <w:i/>
          <w:iCs/>
        </w:rPr>
        <w:t xml:space="preserve">Marine</w:t>
      </w:r>
      <w:r>
        <w:rPr>
          <w:i/>
          <w:iCs/>
        </w:rPr>
        <w:t xml:space="preserve"> </w:t>
      </w:r>
      <w:r>
        <w:rPr>
          <w:i/>
          <w:iCs/>
        </w:rPr>
        <w:t xml:space="preserve">Ins.</w:t>
      </w:r>
      <w:r>
        <w:rPr>
          <w:i/>
          <w:iCs/>
        </w:rPr>
        <w:t xml:space="preserve"> </w:t>
      </w:r>
      <w:r>
        <w:rPr>
          <w:i/>
          <w:iCs/>
        </w:rPr>
        <w:t xml:space="preserve">Co.</w:t>
      </w:r>
      <w:r>
        <w:t xml:space="preserve">,</w:t>
      </w:r>
      <w:r>
        <w:t xml:space="preserve"> </w:t>
      </w:r>
      <w:r>
        <w:t xml:space="preserve">519</w:t>
      </w:r>
      <w:r>
        <w:t xml:space="preserve"> </w:t>
      </w:r>
      <w:r>
        <w:t xml:space="preserve">F.3d</w:t>
      </w:r>
      <w:r>
        <w:t xml:space="preserve"> </w:t>
      </w:r>
      <w:r>
        <w:t xml:space="preserve">1025</w:t>
      </w:r>
      <w:r>
        <w:t xml:space="preserve"> </w:t>
      </w:r>
      <w:r>
        <w:t xml:space="preserve">(9th</w:t>
      </w:r>
      <w:r>
        <w:t xml:space="preserve"> </w:t>
      </w:r>
      <w:r>
        <w:t xml:space="preserve">Cir.</w:t>
      </w:r>
      <w:r>
        <w:t xml:space="preserve"> </w:t>
      </w:r>
      <w:r>
        <w:t xml:space="preserve">2008)</w:t>
      </w:r>
      <w:r>
        <w:t xml:space="preserve">   </w:t>
      </w:r>
      <w:r>
        <w:tab/>
      </w:r>
      <w:r>
        <w:t xml:space="preserve">4</w:t>
      </w:r>
    </w:p>
    <w:p>
      <w:pPr>
        <w:keepLines/>
        <w:tabs>
          <w:tab w:val="right" w:leader="dot" w:pos="8640"/>
        </w:tabs>
        <w:spacing w:before="120" w:after="0" w:line="240" w:lineRule="exact"/>
        <w:ind w:left="504" w:right="1440" w:hanging="504"/>
      </w:pPr>
      <w:r>
        <w:rPr>
          <w:i/>
          <w:iCs/>
        </w:rPr>
        <w:t xml:space="preserve">McHenry</w:t>
      </w:r>
      <w:r>
        <w:rPr>
          <w:i/>
          <w:iCs/>
        </w:rPr>
        <w:t xml:space="preserve"> </w:t>
      </w:r>
      <w:r>
        <w:rPr>
          <w:i/>
          <w:iCs/>
        </w:rPr>
        <w:t xml:space="preserve">v.</w:t>
      </w:r>
      <w:r>
        <w:rPr>
          <w:i/>
          <w:iCs/>
        </w:rPr>
        <w:t xml:space="preserve"> </w:t>
      </w:r>
      <w:r>
        <w:rPr>
          <w:i/>
          <w:iCs/>
        </w:rPr>
        <w:t xml:space="preserve">Renne</w:t>
      </w:r>
      <w:r>
        <w:t xml:space="preserve">,</w:t>
      </w:r>
      <w:r>
        <w:t xml:space="preserve"> </w:t>
      </w:r>
      <w:r>
        <w:t xml:space="preserve">84</w:t>
      </w:r>
      <w:r>
        <w:t xml:space="preserve"> </w:t>
      </w:r>
      <w:r>
        <w:t xml:space="preserve">F.3d</w:t>
      </w:r>
      <w:r>
        <w:t xml:space="preserve"> </w:t>
      </w:r>
      <w:r>
        <w:t xml:space="preserve">1172</w:t>
      </w:r>
      <w:r>
        <w:t xml:space="preserve"> </w:t>
      </w:r>
      <w:r>
        <w:t xml:space="preserve">(9th</w:t>
      </w:r>
      <w:r>
        <w:t xml:space="preserve"> </w:t>
      </w:r>
      <w:r>
        <w:t xml:space="preserve">Cir.</w:t>
      </w:r>
      <w:r>
        <w:t xml:space="preserve"> </w:t>
      </w:r>
      <w:r>
        <w:t xml:space="preserve">1996)</w:t>
      </w:r>
      <w:r>
        <w:t xml:space="preserve">   </w:t>
      </w:r>
      <w:r>
        <w:tab/>
      </w:r>
      <w:r>
        <w:t xml:space="preserve">11</w:t>
      </w:r>
    </w:p>
    <w:p>
      <w:pPr>
        <w:keepLines/>
        <w:tabs>
          <w:tab w:val="right" w:leader="dot" w:pos="8640"/>
        </w:tabs>
        <w:spacing w:before="120" w:after="0" w:line="240" w:lineRule="exact"/>
        <w:ind w:left="504" w:right="1440" w:hanging="504"/>
      </w:pPr>
      <w:r>
        <w:rPr>
          <w:i/>
          <w:iCs/>
        </w:rPr>
        <w:t xml:space="preserve">Mendiondo</w:t>
      </w:r>
      <w:r>
        <w:rPr>
          <w:i/>
          <w:iCs/>
        </w:rPr>
        <w:t xml:space="preserve"> </w:t>
      </w:r>
      <w:r>
        <w:rPr>
          <w:i/>
          <w:iCs/>
        </w:rPr>
        <w:t xml:space="preserve">v.</w:t>
      </w:r>
      <w:r>
        <w:rPr>
          <w:i/>
          <w:iCs/>
        </w:rPr>
        <w:t xml:space="preserve"> </w:t>
      </w:r>
      <w:r>
        <w:rPr>
          <w:i/>
          <w:iCs/>
        </w:rPr>
        <w:t xml:space="preserve">Centinela</w:t>
      </w:r>
      <w:r>
        <w:rPr>
          <w:i/>
          <w:iCs/>
        </w:rPr>
        <w:t xml:space="preserve"> </w:t>
      </w:r>
      <w:r>
        <w:rPr>
          <w:i/>
          <w:iCs/>
        </w:rPr>
        <w:t xml:space="preserve">Hosp.</w:t>
      </w:r>
      <w:r>
        <w:rPr>
          <w:i/>
          <w:iCs/>
        </w:rPr>
        <w:t xml:space="preserve"> </w:t>
      </w:r>
      <w:r>
        <w:rPr>
          <w:i/>
          <w:iCs/>
        </w:rPr>
        <w:t xml:space="preserve">Med.</w:t>
      </w:r>
      <w:r>
        <w:rPr>
          <w:i/>
          <w:iCs/>
        </w:rPr>
        <w:t xml:space="preserve"> </w:t>
      </w:r>
      <w:r>
        <w:rPr>
          <w:i/>
          <w:iCs/>
        </w:rPr>
        <w:t xml:space="preserve">Ctr.</w:t>
      </w:r>
      <w:r>
        <w:t xml:space="preserve">,</w:t>
      </w:r>
      <w:r>
        <w:t xml:space="preserve"> </w:t>
      </w:r>
      <w:r>
        <w:t xml:space="preserve">521</w:t>
      </w:r>
      <w:r>
        <w:t xml:space="preserve"> </w:t>
      </w:r>
      <w:r>
        <w:t xml:space="preserve">F.3d</w:t>
      </w:r>
      <w:r>
        <w:t xml:space="preserve"> </w:t>
      </w:r>
      <w:r>
        <w:t xml:space="preserve">1097</w:t>
      </w:r>
      <w:r>
        <w:t xml:space="preserve"> </w:t>
      </w:r>
      <w:r>
        <w:t xml:space="preserve">(9th</w:t>
      </w:r>
      <w:r>
        <w:t xml:space="preserve"> </w:t>
      </w:r>
      <w:r>
        <w:t xml:space="preserve">Cir.</w:t>
      </w:r>
      <w:r>
        <w:t xml:space="preserve"> </w:t>
      </w:r>
      <w:r>
        <w:t xml:space="preserve">2008)</w:t>
      </w:r>
      <w:r>
        <w:t xml:space="preserve">   </w:t>
      </w:r>
      <w:r>
        <w:tab/>
      </w:r>
      <w:r>
        <w:t xml:space="preserve">4</w:t>
      </w:r>
    </w:p>
    <w:p>
      <w:pPr>
        <w:keepLines/>
        <w:tabs>
          <w:tab w:val="right" w:leader="dot" w:pos="8640"/>
        </w:tabs>
        <w:spacing w:before="120" w:after="0" w:line="240" w:lineRule="exact"/>
        <w:ind w:left="504" w:right="1440" w:hanging="504"/>
      </w:pPr>
      <w:r>
        <w:rPr>
          <w:i/>
          <w:iCs/>
        </w:rPr>
        <w:t xml:space="preserve">Official</w:t>
      </w:r>
      <w:r>
        <w:rPr>
          <w:i/>
          <w:iCs/>
        </w:rPr>
        <w:t xml:space="preserve"> </w:t>
      </w:r>
      <w:r>
        <w:rPr>
          <w:i/>
          <w:iCs/>
        </w:rPr>
        <w:t xml:space="preserve">Comm.</w:t>
      </w:r>
      <w:r>
        <w:rPr>
          <w:i/>
          <w:iCs/>
        </w:rPr>
        <w:t xml:space="preserve"> </w:t>
      </w:r>
      <w:r>
        <w:rPr>
          <w:i/>
          <w:iCs/>
        </w:rPr>
        <w:t xml:space="preserve">of</w:t>
      </w:r>
      <w:r>
        <w:rPr>
          <w:i/>
          <w:iCs/>
        </w:rPr>
        <w:t xml:space="preserve"> </w:t>
      </w:r>
      <w:r>
        <w:rPr>
          <w:i/>
          <w:iCs/>
        </w:rPr>
        <w:t xml:space="preserve">Unsecured</w:t>
      </w:r>
      <w:r>
        <w:rPr>
          <w:i/>
          <w:iCs/>
        </w:rPr>
        <w:t xml:space="preserve"> </w:t>
      </w:r>
      <w:r>
        <w:rPr>
          <w:i/>
          <w:iCs/>
        </w:rPr>
        <w:t xml:space="preserve">Creditors</w:t>
      </w:r>
      <w:r>
        <w:rPr>
          <w:i/>
          <w:iCs/>
        </w:rPr>
        <w:t xml:space="preserve"> </w:t>
      </w:r>
      <w:r>
        <w:rPr>
          <w:i/>
          <w:iCs/>
        </w:rPr>
        <w:t xml:space="preserve">v.</w:t>
      </w:r>
      <w:r>
        <w:rPr>
          <w:i/>
          <w:iCs/>
        </w:rPr>
        <w:t xml:space="preserve"> </w:t>
      </w:r>
      <w:r>
        <w:rPr>
          <w:i/>
          <w:iCs/>
        </w:rPr>
        <w:t xml:space="preserve">Archdiocese</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Paul</w:t>
      </w:r>
      <w:r>
        <w:rPr>
          <w:i/>
          <w:iCs/>
        </w:rPr>
        <w:t xml:space="preserve"> </w:t>
      </w:r>
      <w:r>
        <w:rPr>
          <w:i/>
          <w:iCs/>
        </w:rPr>
        <w:t xml:space="preserve">&amp;</w:t>
      </w:r>
      <w:r>
        <w:rPr>
          <w:i/>
          <w:iCs/>
        </w:rPr>
        <w:t xml:space="preserve"> </w:t>
      </w:r>
      <w:r>
        <w:rPr>
          <w:i/>
          <w:iCs/>
        </w:rPr>
        <w:t xml:space="preserve">Minneapolis</w:t>
      </w:r>
      <w:r>
        <w:t xml:space="preserve">,</w:t>
      </w:r>
      <w:r>
        <w:t xml:space="preserve"> </w:t>
      </w:r>
      <w:r>
        <w:t xml:space="preserve">562</w:t>
      </w:r>
      <w:r>
        <w:t xml:space="preserve"> </w:t>
      </w:r>
      <w:r>
        <w:t xml:space="preserve">B.R.</w:t>
      </w:r>
      <w:r>
        <w:t xml:space="preserve"> </w:t>
      </w:r>
      <w:r>
        <w:t xml:space="preserve">755</w:t>
      </w:r>
      <w:r>
        <w:t xml:space="preserve"> </w:t>
      </w:r>
      <w:r>
        <w:t xml:space="preserve">(D.</w:t>
      </w:r>
      <w:r>
        <w:t xml:space="preserve"> </w:t>
      </w:r>
      <w:r>
        <w:t xml:space="preserve">Minn.</w:t>
      </w:r>
      <w:r>
        <w:t xml:space="preserve"> </w:t>
      </w:r>
      <w:r>
        <w:t xml:space="preserve">2016)</w:t>
      </w:r>
      <w:r>
        <w:t xml:space="preserve">   </w:t>
      </w:r>
      <w:r>
        <w:tab/>
      </w:r>
      <w:r>
        <w:t xml:space="preserve">8</w:t>
      </w:r>
    </w:p>
    <w:p>
      <w:pPr>
        <w:keepLines/>
        <w:tabs>
          <w:tab w:val="right" w:leader="dot" w:pos="8640"/>
        </w:tabs>
        <w:spacing w:before="120" w:after="0" w:line="240" w:lineRule="exact"/>
        <w:ind w:left="504" w:right="1440" w:hanging="504"/>
      </w:pPr>
      <w:r>
        <w:rPr>
          <w:i/>
          <w:iCs/>
        </w:rPr>
        <w:t xml:space="preserve">Official</w:t>
      </w:r>
      <w:r>
        <w:rPr>
          <w:i/>
          <w:iCs/>
        </w:rPr>
        <w:t xml:space="preserve"> </w:t>
      </w:r>
      <w:r>
        <w:rPr>
          <w:i/>
          <w:iCs/>
        </w:rPr>
        <w:t xml:space="preserve">Comm.</w:t>
      </w:r>
      <w:r>
        <w:rPr>
          <w:i/>
          <w:iCs/>
        </w:rPr>
        <w:t xml:space="preserve"> </w:t>
      </w:r>
      <w:r>
        <w:rPr>
          <w:i/>
          <w:iCs/>
        </w:rPr>
        <w:t xml:space="preserve">of</w:t>
      </w:r>
      <w:r>
        <w:rPr>
          <w:i/>
          <w:iCs/>
        </w:rPr>
        <w:t xml:space="preserve"> </w:t>
      </w:r>
      <w:r>
        <w:rPr>
          <w:i/>
          <w:iCs/>
        </w:rPr>
        <w:t xml:space="preserve">Unsecured</w:t>
      </w:r>
      <w:r>
        <w:rPr>
          <w:i/>
          <w:iCs/>
        </w:rPr>
        <w:t xml:space="preserve"> </w:t>
      </w:r>
      <w:r>
        <w:rPr>
          <w:i/>
          <w:iCs/>
        </w:rPr>
        <w:t xml:space="preserve">Creditors</w:t>
      </w:r>
      <w:r>
        <w:rPr>
          <w:i/>
          <w:iCs/>
        </w:rPr>
        <w:t xml:space="preserve"> </w:t>
      </w:r>
      <w:r>
        <w:rPr>
          <w:i/>
          <w:iCs/>
        </w:rPr>
        <w:t xml:space="preserve">v.</w:t>
      </w:r>
      <w:r>
        <w:rPr>
          <w:i/>
          <w:iCs/>
        </w:rPr>
        <w:t xml:space="preserve"> </w:t>
      </w:r>
      <w:r>
        <w:rPr>
          <w:i/>
          <w:iCs/>
        </w:rPr>
        <w:t xml:space="preserve">Archdiocese</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Paul</w:t>
      </w:r>
      <w:r>
        <w:rPr>
          <w:i/>
          <w:iCs/>
        </w:rPr>
        <w:t xml:space="preserve"> </w:t>
      </w:r>
      <w:r>
        <w:rPr>
          <w:i/>
          <w:iCs/>
        </w:rPr>
        <w:t xml:space="preserve">&amp;</w:t>
      </w:r>
      <w:r>
        <w:rPr>
          <w:i/>
          <w:iCs/>
        </w:rPr>
        <w:t xml:space="preserve"> </w:t>
      </w:r>
      <w:r>
        <w:rPr>
          <w:i/>
          <w:iCs/>
        </w:rPr>
        <w:t xml:space="preserve">Minneapolis</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Archdiocese</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Paul</w:t>
      </w:r>
      <w:r>
        <w:rPr>
          <w:i/>
          <w:iCs/>
        </w:rPr>
        <w:t xml:space="preserve"> </w:t>
      </w:r>
      <w:r>
        <w:rPr>
          <w:i/>
          <w:iCs/>
        </w:rPr>
        <w:t xml:space="preserve">&amp;</w:t>
      </w:r>
      <w:r>
        <w:rPr>
          <w:i/>
          <w:iCs/>
        </w:rPr>
        <w:t xml:space="preserve"> </w:t>
      </w:r>
      <w:r>
        <w:rPr>
          <w:i/>
          <w:iCs/>
        </w:rPr>
        <w:t xml:space="preserve">Minneapolis)</w:t>
      </w:r>
      <w:r>
        <w:t xml:space="preserve">,</w:t>
      </w:r>
      <w:r>
        <w:t xml:space="preserve"> </w:t>
      </w:r>
      <w:r>
        <w:t xml:space="preserve">888</w:t>
      </w:r>
      <w:r>
        <w:t xml:space="preserve"> </w:t>
      </w:r>
      <w:r>
        <w:t xml:space="preserve">F.3d</w:t>
      </w:r>
      <w:r>
        <w:t xml:space="preserve"> </w:t>
      </w:r>
      <w:r>
        <w:t xml:space="preserve">944</w:t>
      </w:r>
      <w:r>
        <w:t xml:space="preserve"> </w:t>
      </w:r>
      <w:r>
        <w:t xml:space="preserve">(8th</w:t>
      </w:r>
      <w:r>
        <w:t xml:space="preserve"> </w:t>
      </w:r>
      <w:r>
        <w:t xml:space="preserve">Cir.</w:t>
      </w:r>
      <w:r>
        <w:t xml:space="preserve"> </w:t>
      </w:r>
      <w:r>
        <w:t xml:space="preserve">2018)</w:t>
      </w:r>
      <w:r>
        <w:t xml:space="preserve">   </w:t>
      </w:r>
      <w:r>
        <w:tab/>
      </w:r>
      <w:r>
        <w:t xml:space="preserve">2, 7</w:t>
      </w:r>
    </w:p>
    <w:p>
      <w:pPr>
        <w:keepLines/>
        <w:tabs>
          <w:tab w:val="right" w:leader="dot" w:pos="8640"/>
        </w:tabs>
        <w:spacing w:before="120" w:after="0" w:line="240" w:lineRule="exact"/>
        <w:ind w:left="504" w:right="1440" w:hanging="504"/>
      </w:pPr>
      <w:r>
        <w:rPr>
          <w:i/>
          <w:iCs/>
        </w:rPr>
        <w:t xml:space="preserve">In</w:t>
      </w:r>
      <w:r>
        <w:rPr>
          <w:i/>
          <w:iCs/>
        </w:rPr>
        <w:t xml:space="preserve"> </w:t>
      </w:r>
      <w:r>
        <w:rPr>
          <w:i/>
          <w:iCs/>
        </w:rPr>
        <w:t xml:space="preserve">re</w:t>
      </w:r>
      <w:r>
        <w:rPr>
          <w:i/>
          <w:iCs/>
        </w:rPr>
        <w:t xml:space="preserve"> </w:t>
      </w:r>
      <w:r>
        <w:rPr>
          <w:i/>
          <w:iCs/>
        </w:rPr>
        <w:t xml:space="preserve">Owens</w:t>
      </w:r>
      <w:r>
        <w:rPr>
          <w:i/>
          <w:iCs/>
        </w:rPr>
        <w:t xml:space="preserve"> </w:t>
      </w:r>
      <w:r>
        <w:rPr>
          <w:i/>
          <w:iCs/>
        </w:rPr>
        <w:t xml:space="preserve">Corning</w:t>
      </w:r>
      <w:r>
        <w:t xml:space="preserve">,</w:t>
      </w:r>
      <w:r>
        <w:t xml:space="preserve"> </w:t>
      </w:r>
      <w:r>
        <w:t xml:space="preserve">419</w:t>
      </w:r>
      <w:r>
        <w:t xml:space="preserve"> </w:t>
      </w:r>
      <w:r>
        <w:t xml:space="preserve">F.3d</w:t>
      </w:r>
      <w:r>
        <w:t xml:space="preserve"> </w:t>
      </w:r>
      <w:r>
        <w:t xml:space="preserve">195</w:t>
      </w:r>
      <w:r>
        <w:t xml:space="preserve"> </w:t>
      </w:r>
      <w:r>
        <w:t xml:space="preserve">(3d</w:t>
      </w:r>
      <w:r>
        <w:t xml:space="preserve"> </w:t>
      </w:r>
      <w:r>
        <w:t xml:space="preserve">Cir.</w:t>
      </w:r>
      <w:r>
        <w:t xml:space="preserve"> </w:t>
      </w:r>
      <w:r>
        <w:t xml:space="preserve">2005)</w:t>
      </w:r>
      <w:r>
        <w:t xml:space="preserve">   </w:t>
      </w:r>
      <w:r>
        <w:tab/>
      </w:r>
      <w:r>
        <w:t xml:space="preserve">6, 10</w:t>
      </w:r>
    </w:p>
    <w:p>
      <w:pPr>
        <w:keepLines/>
        <w:tabs>
          <w:tab w:val="right" w:leader="dot" w:pos="8640"/>
        </w:tabs>
        <w:spacing w:before="120" w:after="0" w:line="240" w:lineRule="exact"/>
        <w:ind w:left="504" w:right="1440" w:hanging="504"/>
      </w:pPr>
      <w:r>
        <w:rPr>
          <w:i/>
          <w:iCs/>
        </w:rPr>
        <w:t xml:space="preserve">Pattern</w:t>
      </w:r>
      <w:r>
        <w:rPr>
          <w:i/>
          <w:iCs/>
        </w:rPr>
        <w:t xml:space="preserve"> </w:t>
      </w:r>
      <w:r>
        <w:rPr>
          <w:i/>
          <w:iCs/>
        </w:rPr>
        <w:t xml:space="preserve">Design</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We</w:t>
      </w:r>
      <w:r>
        <w:rPr>
          <w:i/>
          <w:iCs/>
        </w:rPr>
        <w:t xml:space="preserve"> </w:t>
      </w:r>
      <w:r>
        <w:rPr>
          <w:i/>
          <w:iCs/>
        </w:rPr>
        <w:t xml:space="preserve">Are</w:t>
      </w:r>
      <w:r>
        <w:rPr>
          <w:i/>
          <w:iCs/>
        </w:rPr>
        <w:t xml:space="preserve"> </w:t>
      </w:r>
      <w:r>
        <w:rPr>
          <w:i/>
          <w:iCs/>
        </w:rPr>
        <w:t xml:space="preserve">Sechey</w:t>
      </w:r>
      <w:r>
        <w:rPr>
          <w:i/>
          <w:iCs/>
        </w:rPr>
        <w:t xml:space="preserve"> </w:t>
      </w:r>
      <w:r>
        <w:rPr>
          <w:i/>
          <w:iCs/>
        </w:rPr>
        <w:t xml:space="preserve">Inc.</w:t>
      </w:r>
      <w:r>
        <w:t xml:space="preserve">,</w:t>
      </w:r>
      <w:r>
        <w:t xml:space="preserve"> </w:t>
      </w:r>
      <w:r>
        <w:t xml:space="preserve">2024</w:t>
      </w:r>
      <w:r>
        <w:t xml:space="preserve"> </w:t>
      </w:r>
      <w:r>
        <w:t xml:space="preserve">WL</w:t>
      </w:r>
      <w:r>
        <w:t xml:space="preserve"> </w:t>
      </w:r>
      <w:r>
        <w:t xml:space="preserve">4369668</w:t>
      </w:r>
      <w:r>
        <w:t xml:space="preserve"> </w:t>
      </w:r>
      <w:r>
        <w:t xml:space="preserve">(N.D.</w:t>
      </w:r>
      <w:r>
        <w:t xml:space="preserve"> </w:t>
      </w:r>
      <w:r>
        <w:t xml:space="preserve">Cal.</w:t>
      </w:r>
      <w:r>
        <w:t xml:space="preserve"> </w:t>
      </w:r>
      <w:r>
        <w:t xml:space="preserve">Oct.</w:t>
      </w:r>
      <w:r>
        <w:t xml:space="preserve"> </w:t>
      </w:r>
      <w:r>
        <w:t xml:space="preserve">1,</w:t>
      </w:r>
      <w:r>
        <w:t xml:space="preserve"> </w:t>
      </w:r>
      <w:r>
        <w:t xml:space="preserve">2024)</w:t>
      </w:r>
      <w:r>
        <w:t xml:space="preserve">   </w:t>
      </w:r>
      <w:r>
        <w:tab/>
      </w:r>
      <w:r>
        <w:t xml:space="preserve">12</w:t>
      </w:r>
    </w:p>
    <w:p>
      <w:pPr>
        <w:keepLines/>
        <w:tabs>
          <w:tab w:val="right" w:leader="dot" w:pos="8640"/>
        </w:tabs>
        <w:spacing w:before="120" w:after="0" w:line="240" w:lineRule="exact"/>
        <w:ind w:left="504" w:right="1440" w:hanging="504"/>
      </w:pPr>
      <w:r>
        <w:rPr>
          <w:i/>
          <w:iCs/>
        </w:rPr>
        <w:t xml:space="preserve">Sprewell</w:t>
      </w:r>
      <w:r>
        <w:rPr>
          <w:i/>
          <w:iCs/>
        </w:rPr>
        <w:t xml:space="preserve"> </w:t>
      </w:r>
      <w:r>
        <w:rPr>
          <w:i/>
          <w:iCs/>
        </w:rPr>
        <w:t xml:space="preserve">v.</w:t>
      </w:r>
      <w:r>
        <w:rPr>
          <w:i/>
          <w:iCs/>
        </w:rPr>
        <w:t xml:space="preserve"> </w:t>
      </w:r>
      <w:r>
        <w:rPr>
          <w:i/>
          <w:iCs/>
        </w:rPr>
        <w:t xml:space="preserve">Golden</w:t>
      </w:r>
      <w:r>
        <w:rPr>
          <w:i/>
          <w:iCs/>
        </w:rPr>
        <w:t xml:space="preserve"> </w:t>
      </w:r>
      <w:r>
        <w:rPr>
          <w:i/>
          <w:iCs/>
        </w:rPr>
        <w:t xml:space="preserve">State</w:t>
      </w:r>
      <w:r>
        <w:rPr>
          <w:i/>
          <w:iCs/>
        </w:rPr>
        <w:t xml:space="preserve"> </w:t>
      </w:r>
      <w:r>
        <w:rPr>
          <w:i/>
          <w:iCs/>
        </w:rPr>
        <w:t xml:space="preserve">Warriors</w:t>
      </w:r>
      <w:r>
        <w:t xml:space="preserve">,</w:t>
      </w:r>
      <w:r>
        <w:t xml:space="preserve"> </w:t>
      </w:r>
      <w:r>
        <w:t xml:space="preserve">266</w:t>
      </w:r>
      <w:r>
        <w:t xml:space="preserve"> </w:t>
      </w:r>
      <w:r>
        <w:t xml:space="preserve">F.3d</w:t>
      </w:r>
      <w:r>
        <w:t xml:space="preserve"> </w:t>
      </w:r>
      <w:r>
        <w:t xml:space="preserve">979</w:t>
      </w:r>
      <w:r>
        <w:t xml:space="preserve"> </w:t>
      </w:r>
      <w:r>
        <w:t xml:space="preserve">(9th</w:t>
      </w:r>
      <w:r>
        <w:t xml:space="preserve"> </w:t>
      </w:r>
      <w:r>
        <w:t xml:space="preserve">Cir.</w:t>
      </w:r>
      <w:r>
        <w:t xml:space="preserve"> </w:t>
      </w:r>
      <w:r>
        <w:t xml:space="preserve">2001)</w:t>
      </w:r>
      <w:r>
        <w:t xml:space="preserve">   </w:t>
      </w:r>
      <w:r>
        <w:tab/>
      </w:r>
      <w:r>
        <w:t xml:space="preserve">4</w:t>
      </w:r>
    </w:p>
    <w:p>
      <w:pPr>
        <w:keepLines/>
        <w:tabs>
          <w:tab w:val="right" w:leader="dot" w:pos="8640"/>
        </w:tabs>
        <w:spacing w:before="120" w:after="0" w:line="240" w:lineRule="exact"/>
        <w:ind w:left="504" w:right="1440" w:hanging="504"/>
      </w:pPr>
      <w:r>
        <w:rPr>
          <w:i/>
          <w:iCs/>
        </w:rPr>
        <w:t xml:space="preserve">Stokes</w:t>
      </w:r>
      <w:r>
        <w:rPr>
          <w:i/>
          <w:iCs/>
        </w:rPr>
        <w:t xml:space="preserve"> </w:t>
      </w:r>
      <w:r>
        <w:rPr>
          <w:i/>
          <w:iCs/>
        </w:rPr>
        <w:t xml:space="preserve">v.</w:t>
      </w:r>
      <w:r>
        <w:rPr>
          <w:i/>
          <w:iCs/>
        </w:rPr>
        <w:t xml:space="preserve"> </w:t>
      </w:r>
      <w:r>
        <w:rPr>
          <w:i/>
          <w:iCs/>
        </w:rPr>
        <w:t xml:space="preserve">Duncan</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Stokes)</w:t>
      </w:r>
      <w:r>
        <w:t xml:space="preserve">,</w:t>
      </w:r>
      <w:r>
        <w:t xml:space="preserve"> </w:t>
      </w:r>
      <w:r>
        <w:t xml:space="preserve">2013</w:t>
      </w:r>
      <w:r>
        <w:t xml:space="preserve"> </w:t>
      </w:r>
      <w:r>
        <w:t xml:space="preserve">WL</w:t>
      </w:r>
      <w:r>
        <w:t xml:space="preserve"> </w:t>
      </w:r>
      <w:r>
        <w:t xml:space="preserve">5313412</w:t>
      </w:r>
      <w:r>
        <w:t xml:space="preserve"> </w:t>
      </w:r>
      <w:r>
        <w:t xml:space="preserve">(B.A.P.</w:t>
      </w:r>
      <w:r>
        <w:t xml:space="preserve"> </w:t>
      </w:r>
      <w:r>
        <w:t xml:space="preserve">9th</w:t>
      </w:r>
      <w:r>
        <w:t xml:space="preserve"> </w:t>
      </w:r>
      <w:r>
        <w:t xml:space="preserve">Cir.</w:t>
      </w:r>
      <w:r>
        <w:t xml:space="preserve"> </w:t>
      </w:r>
      <w:r>
        <w:t xml:space="preserve">Sept.</w:t>
      </w:r>
      <w:r>
        <w:t xml:space="preserve"> </w:t>
      </w:r>
      <w:r>
        <w:t xml:space="preserve">23,</w:t>
      </w:r>
      <w:r>
        <w:t xml:space="preserve"> </w:t>
      </w:r>
      <w:r>
        <w:t xml:space="preserve">2013)</w:t>
      </w:r>
      <w:r>
        <w:t xml:space="preserve">   </w:t>
      </w:r>
      <w:r>
        <w:tab/>
      </w:r>
      <w:r>
        <w:t xml:space="preserve">11</w:t>
      </w:r>
    </w:p>
    <w:p>
      <w:pPr>
        <w:keepLines/>
        <w:tabs>
          <w:tab w:val="right" w:leader="dot" w:pos="8640"/>
        </w:tabs>
        <w:spacing w:before="120" w:after="0" w:line="240" w:lineRule="exact"/>
        <w:ind w:left="504" w:right="1440" w:hanging="504"/>
      </w:pPr>
      <w:r>
        <w:rPr>
          <w:i/>
          <w:iCs/>
        </w:rPr>
        <w:t xml:space="preserve">Swartz</w:t>
      </w:r>
      <w:r>
        <w:rPr>
          <w:i/>
          <w:iCs/>
        </w:rPr>
        <w:t xml:space="preserve"> </w:t>
      </w:r>
      <w:r>
        <w:rPr>
          <w:i/>
          <w:iCs/>
        </w:rPr>
        <w:t xml:space="preserve">v.</w:t>
      </w:r>
      <w:r>
        <w:rPr>
          <w:i/>
          <w:iCs/>
        </w:rPr>
        <w:t xml:space="preserve"> </w:t>
      </w:r>
      <w:r>
        <w:rPr>
          <w:i/>
          <w:iCs/>
        </w:rPr>
        <w:t xml:space="preserve">KPMG</w:t>
      </w:r>
      <w:r>
        <w:rPr>
          <w:i/>
          <w:iCs/>
        </w:rPr>
        <w:t xml:space="preserve"> </w:t>
      </w:r>
      <w:r>
        <w:rPr>
          <w:i/>
          <w:iCs/>
        </w:rPr>
        <w:t xml:space="preserve">LLP</w:t>
      </w:r>
      <w:r>
        <w:t xml:space="preserve">,</w:t>
      </w:r>
      <w:r>
        <w:t xml:space="preserve"> </w:t>
      </w:r>
      <w:r>
        <w:t xml:space="preserve">476</w:t>
      </w:r>
      <w:r>
        <w:t xml:space="preserve"> </w:t>
      </w:r>
      <w:r>
        <w:t xml:space="preserve">F.3d</w:t>
      </w:r>
      <w:r>
        <w:t xml:space="preserve"> </w:t>
      </w:r>
      <w:r>
        <w:t xml:space="preserve">756</w:t>
      </w:r>
      <w:r>
        <w:t xml:space="preserve"> </w:t>
      </w:r>
      <w:r>
        <w:t xml:space="preserve">(9th</w:t>
      </w:r>
      <w:r>
        <w:t xml:space="preserve"> </w:t>
      </w:r>
      <w:r>
        <w:t xml:space="preserve">Cir.</w:t>
      </w:r>
      <w:r>
        <w:t xml:space="preserve"> </w:t>
      </w:r>
      <w:r>
        <w:t xml:space="preserve">2007)</w:t>
      </w:r>
      <w:r>
        <w:t xml:space="preserve"> </w:t>
      </w:r>
      <w:r>
        <w:t xml:space="preserve">(per</w:t>
      </w:r>
      <w:r>
        <w:t xml:space="preserve"> </w:t>
      </w:r>
      <w:r>
        <w:t xml:space="preserve">curiam)</w:t>
      </w:r>
      <w:r>
        <w:t xml:space="preserve">   </w:t>
      </w:r>
      <w:r>
        <w:tab/>
      </w:r>
      <w:r>
        <w:t xml:space="preserve">4</w:t>
      </w:r>
    </w:p>
    <w:p>
      <w:pPr>
        <w:keepLines/>
        <w:tabs>
          <w:tab w:val="right" w:leader="dot" w:pos="8640"/>
        </w:tabs>
        <w:spacing w:before="120" w:after="0" w:line="240" w:lineRule="exact"/>
        <w:ind w:left="504" w:right="144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Mackenzie</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Leite)</w:t>
      </w:r>
      <w:r>
        <w:t xml:space="preserve">,</w:t>
      </w:r>
      <w:r>
        <w:t xml:space="preserve"> </w:t>
      </w:r>
      <w:r>
        <w:t xml:space="preserve">112</w:t>
      </w:r>
      <w:r>
        <w:t xml:space="preserve"> </w:t>
      </w:r>
      <w:r>
        <w:t xml:space="preserve">F.4th</w:t>
      </w:r>
      <w:r>
        <w:t xml:space="preserve"> </w:t>
      </w:r>
      <w:r>
        <w:t xml:space="preserve">1246</w:t>
      </w:r>
      <w:r>
        <w:t xml:space="preserve"> </w:t>
      </w:r>
      <w:r>
        <w:t xml:space="preserve">(9th</w:t>
      </w:r>
      <w:r>
        <w:t xml:space="preserve"> </w:t>
      </w:r>
      <w:r>
        <w:t xml:space="preserve">Cir.</w:t>
      </w:r>
      <w:r>
        <w:t xml:space="preserve"> </w:t>
      </w:r>
      <w:r>
        <w:t xml:space="preserve">2024)</w:t>
      </w:r>
      <w:r>
        <w:t xml:space="preserve">   </w:t>
      </w:r>
      <w:r>
        <w:tab/>
      </w:r>
      <w:r>
        <w:t xml:space="preserve">8</w:t>
      </w:r>
    </w:p>
    <w:p>
      <w:pPr>
        <w:keepLines/>
        <w:tabs>
          <w:tab w:val="right" w:leader="dot" w:pos="8640"/>
        </w:tabs>
        <w:spacing w:before="120" w:after="0" w:line="240" w:lineRule="exact"/>
        <w:ind w:left="504" w:right="144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Ritchie</w:t>
      </w:r>
      <w:r>
        <w:t xml:space="preserve">,</w:t>
      </w:r>
      <w:r>
        <w:t xml:space="preserve"> </w:t>
      </w:r>
      <w:r>
        <w:t xml:space="preserve">342</w:t>
      </w:r>
      <w:r>
        <w:t xml:space="preserve"> </w:t>
      </w:r>
      <w:r>
        <w:t xml:space="preserve">F.3d</w:t>
      </w:r>
      <w:r>
        <w:t xml:space="preserve"> </w:t>
      </w:r>
      <w:r>
        <w:t xml:space="preserve">903</w:t>
      </w:r>
      <w:r>
        <w:t xml:space="preserve"> </w:t>
      </w:r>
      <w:r>
        <w:t xml:space="preserve">(9th</w:t>
      </w:r>
      <w:r>
        <w:t xml:space="preserve"> </w:t>
      </w:r>
      <w:r>
        <w:t xml:space="preserve">Cir.</w:t>
      </w:r>
      <w:r>
        <w:t xml:space="preserve"> </w:t>
      </w:r>
      <w:r>
        <w:t xml:space="preserve">2003)</w:t>
      </w:r>
      <w:r>
        <w:t xml:space="preserve">   </w:t>
      </w:r>
      <w:r>
        <w:tab/>
      </w:r>
      <w:r>
        <w:t xml:space="preserve">5</w:t>
      </w:r>
    </w:p>
    <w:p>
      <w:pPr>
        <w:keepNext/>
        <w:keepLines/>
        <w:spacing w:before="240" w:after="0" w:line="240" w:lineRule="exact"/>
        <w:ind w:left="0" w:firstLine="0"/>
        <w:jc w:val="left"/>
      </w:pPr>
      <w:r>
        <w:rPr>
          <w:b/>
          <w:bCs/>
        </w:rPr>
        <w:t xml:space="preserve">Statutes</w:t>
      </w:r>
    </w:p>
    <w:p>
      <w:pPr>
        <w:keepLines/>
        <w:tabs>
          <w:tab w:val="right" w:leader="dot" w:pos="8640"/>
        </w:tabs>
        <w:spacing w:before="120" w:after="0" w:line="240" w:lineRule="exact"/>
        <w:ind w:left="504" w:right="1440" w:hanging="504"/>
      </w:pPr>
      <w:r>
        <w:t xml:space="preserve">11</w:t>
      </w:r>
      <w:r>
        <w:t xml:space="preserve"> </w:t>
      </w:r>
      <w:r>
        <w:t xml:space="preserve">U.S.C.</w:t>
      </w:r>
      <w:r>
        <w:t xml:space="preserve"> </w:t>
      </w:r>
      <w:r>
        <w:t xml:space="preserve">§</w:t>
      </w:r>
      <w:r>
        <w:t xml:space="preserve"> </w:t>
      </w:r>
      <w:r>
        <w:t xml:space="preserve">105(a)</w:t>
      </w:r>
      <w:r>
        <w:t xml:space="preserve">   </w:t>
      </w:r>
      <w:r>
        <w:tab/>
      </w:r>
      <w:r>
        <w:t xml:space="preserve">2, 7</w:t>
      </w:r>
    </w:p>
    <w:p>
      <w:pPr>
        <w:keepLines/>
        <w:tabs>
          <w:tab w:val="right" w:leader="dot" w:pos="8640"/>
        </w:tabs>
        <w:spacing w:before="120" w:after="0" w:line="240" w:lineRule="exact"/>
        <w:ind w:left="504" w:right="1440" w:hanging="504"/>
      </w:pPr>
      <w:r>
        <w:t xml:space="preserve">11</w:t>
      </w:r>
      <w:r>
        <w:t xml:space="preserve"> </w:t>
      </w:r>
      <w:r>
        <w:t xml:space="preserve">U.S.C.</w:t>
      </w:r>
      <w:r>
        <w:t xml:space="preserve"> </w:t>
      </w:r>
      <w:r>
        <w:t xml:space="preserve">§</w:t>
      </w:r>
      <w:r>
        <w:t xml:space="preserve"> </w:t>
      </w:r>
      <w:r>
        <w:t xml:space="preserve">303(a)</w:t>
      </w:r>
      <w:r>
        <w:t xml:space="preserve">   </w:t>
      </w:r>
      <w:r>
        <w:tab/>
      </w:r>
      <w:r>
        <w:t xml:space="preserve">2, 7</w:t>
      </w:r>
    </w:p>
    <w:p>
      <w:pPr>
        <w:keepLines/>
        <w:tabs>
          <w:tab w:val="right" w:leader="dot" w:pos="8640"/>
        </w:tabs>
        <w:spacing w:before="120" w:after="0" w:line="240" w:lineRule="exact"/>
        <w:ind w:left="504" w:right="1440" w:hanging="504"/>
      </w:pPr>
      <w:r>
        <w:t xml:space="preserve">11</w:t>
      </w:r>
      <w:r>
        <w:t xml:space="preserve"> </w:t>
      </w:r>
      <w:r>
        <w:t xml:space="preserve">U.S.C.</w:t>
      </w:r>
      <w:r>
        <w:t xml:space="preserve"> </w:t>
      </w:r>
      <w:r>
        <w:t xml:space="preserve">§</w:t>
      </w:r>
      <w:r>
        <w:t xml:space="preserve"> </w:t>
      </w:r>
      <w:r>
        <w:t xml:space="preserve">541</w:t>
      </w:r>
      <w:r>
        <w:t xml:space="preserve">   </w:t>
      </w:r>
      <w:r>
        <w:tab/>
      </w:r>
      <w:r>
        <w:t xml:space="preserve">3, 11</w:t>
      </w:r>
    </w:p>
    <w:p>
      <w:pPr>
        <w:keepLines/>
        <w:tabs>
          <w:tab w:val="right" w:leader="dot" w:pos="8640"/>
        </w:tabs>
        <w:spacing w:before="120" w:after="0" w:line="240" w:lineRule="exact"/>
        <w:ind w:left="504" w:right="1440" w:hanging="504"/>
      </w:pPr>
      <w:r>
        <w:t xml:space="preserve">11</w:t>
      </w:r>
      <w:r>
        <w:t xml:space="preserve"> </w:t>
      </w:r>
      <w:r>
        <w:t xml:space="preserve">U.S.C.</w:t>
      </w:r>
      <w:r>
        <w:t xml:space="preserve"> </w:t>
      </w:r>
      <w:r>
        <w:t xml:space="preserve">§</w:t>
      </w:r>
      <w:r>
        <w:t xml:space="preserve"> </w:t>
      </w:r>
      <w:r>
        <w:t xml:space="preserve">541(a)⁠(2)</w:t>
      </w:r>
      <w:r>
        <w:t xml:space="preserve">   </w:t>
      </w:r>
      <w:r>
        <w:tab/>
      </w:r>
      <w:r>
        <w:t xml:space="preserve">12</w:t>
      </w:r>
    </w:p>
    <w:p>
      <w:pPr>
        <w:keepNext/>
        <w:keepLines/>
        <w:spacing w:before="240" w:after="0" w:line="240" w:lineRule="exact"/>
        <w:ind w:left="0" w:firstLine="0"/>
        <w:jc w:val="left"/>
      </w:pPr>
      <w:r>
        <w:rPr>
          <w:b/>
          <w:bCs/>
        </w:rPr>
        <w:t xml:space="preserve">Rules</w:t>
      </w:r>
    </w:p>
    <w:p>
      <w:pPr>
        <w:keepLines/>
        <w:tabs>
          <w:tab w:val="right" w:leader="dot" w:pos="8640"/>
        </w:tabs>
        <w:spacing w:before="120" w:after="0" w:line="240" w:lineRule="exact"/>
        <w:ind w:left="504" w:right="1440" w:hanging="504"/>
      </w:pPr>
      <w:r>
        <w:t xml:space="preserve">Fed.</w:t>
      </w:r>
      <w:r>
        <w:t xml:space="preserve"> </w:t>
      </w:r>
      <w:r>
        <w:t xml:space="preserve">R.</w:t>
      </w:r>
      <w:r>
        <w:t xml:space="preserve"> </w:t>
      </w:r>
      <w:r>
        <w:t xml:space="preserve">Bankr.</w:t>
      </w:r>
      <w:r>
        <w:t xml:space="preserve"> </w:t>
      </w:r>
      <w:r>
        <w:t xml:space="preserve">P.</w:t>
      </w:r>
      <w:r>
        <w:t xml:space="preserve"> </w:t>
      </w:r>
      <w:r>
        <w:t xml:space="preserve">7001(9)</w:t>
      </w:r>
      <w:r>
        <w:t xml:space="preserve">   </w:t>
      </w:r>
      <w:r>
        <w:tab/>
      </w:r>
      <w:r>
        <w:t xml:space="preserve">11</w:t>
      </w:r>
    </w:p>
    <w:p>
      <w:pPr>
        <w:keepLines/>
        <w:tabs>
          <w:tab w:val="right" w:leader="dot" w:pos="8640"/>
        </w:tabs>
        <w:spacing w:before="120" w:after="0" w:line="240" w:lineRule="exact"/>
        <w:ind w:left="504" w:right="1440" w:hanging="504"/>
      </w:pPr>
      <w:r>
        <w:t xml:space="preserve">Fed.</w:t>
      </w:r>
      <w:r>
        <w:t xml:space="preserve"> </w:t>
      </w:r>
      <w:r>
        <w:t xml:space="preserve">R.</w:t>
      </w:r>
      <w:r>
        <w:t xml:space="preserve"> </w:t>
      </w:r>
      <w:r>
        <w:t xml:space="preserve">Civ.</w:t>
      </w:r>
      <w:r>
        <w:t xml:space="preserve"> </w:t>
      </w:r>
      <w:r>
        <w:t xml:space="preserve">P.</w:t>
      </w:r>
      <w:r>
        <w:t xml:space="preserve"> </w:t>
      </w:r>
      <w:r>
        <w:t xml:space="preserve">8</w:t>
      </w:r>
      <w:r>
        <w:t xml:space="preserve">   </w:t>
      </w:r>
      <w:r>
        <w:tab/>
      </w:r>
      <w:r>
        <w:t xml:space="preserve">11</w:t>
      </w:r>
    </w:p>
    <w:p>
      <w:pPr>
        <w:keepLines/>
        <w:tabs>
          <w:tab w:val="right" w:leader="dot" w:pos="8640"/>
        </w:tabs>
        <w:spacing w:before="120" w:after="0" w:line="240" w:lineRule="exact"/>
        <w:ind w:left="504" w:right="1440" w:hanging="504"/>
      </w:pP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ab/>
      </w:r>
      <w:r>
        <w:t xml:space="preserve">4</w:t>
      </w:r>
    </w:p>
    <w:p>
      <w:pPr>
        <w:spacing w:before="0" w:after="0" w:line="1" w:lineRule="exact"/>
        <w:sectPr>
          <w:headerReference w:type="default" r:id="rIdXdPleading"/>
          <w:footerReference w:type="default" r:id="rIdXdPage"/>
          <w:pgSz w:w="12240" w:h="15840"/>
          <w:pgMar w:top="1200" w:right="1440" w:bottom="1200" w:left="2160" w:header="720" w:footer="160" w:gutter="0"/>
          <w:pgNumType w:fmt="lowerRoman"/>
        </w:sectPr>
      </w:pPr>
    </w:p>
    <w:p>
      <w:pPr>
        <w:pStyle w:val="BodyText"/>
      </w:pPr>
      <w:r>
        <w:t xml:space="preserve">TO THE OFFICIAL COMMITTEE OF UNSECURED CREDITORS OF THE ROMAN CATHOLIC BISHOP OF OAKLAND:</w:t>
      </w:r>
    </w:p>
    <w:p>
      <w:pPr>
        <w:pStyle w:val="BodyText"/>
      </w:pPr>
      <w:r>
        <w:t xml:space="preserve">PLEASE TAKE NOTICE that The Roman Catholic Welfare Corporation of Oakland, The Roman Catholic Cemeteries of the Diocese of Oakland, and Adventus (collectively, the “Non-Debtor Defendants”), defendants in the above-captioned adversary proceeding, hereby move this Court (the “Motion”), pursuant to Rule 12(b)⁠(6) of the Federal Rules of Civil Procedure (“Rules”), as incorporated by Rule 7012 of the Federal Rules of Bankruptcy Procedure, to dismiss the Adversary Complaint for Declaratory Relief (the “Complaint”) filed against the Non-Debtor Defendants by the Official Committee of Unsecured Creditors of the Roman Catholic Bishop of Oakland (the “Committee”), on the grounds that the Complaint fails to state a claim upon which relief may be granted.</w:t>
      </w:r>
    </w:p>
    <w:p>
      <w:pPr>
        <w:pStyle w:val="BodyText"/>
      </w:pPr>
      <w:r>
        <w:t xml:space="preserve">The Motion is based on the attached Memorandum of Points and Authorities, the Declaration of Ryan E. Manns in Support of Motion to Dismiss (the “Manns Declaration”) and the Notice of Hearing on the Motion of the Roman Catholic Welfare Corporation of Oakland, the Roman Catholic Cemeteries of the Diocese of Oakland and Adventus to Dismiss Complaint, both of which are filed concurrently herewith, the records and files in this adversary proceeding and all related proceedings, and such other and further matters as this Court may consider at or before any hearing on this Motion.</w:t>
      </w:r>
    </w:p>
    <w:p>
      <w:pPr>
        <w:keepNext/>
        <w:keepLines/>
        <w:spacing w:before="240" w:after="240" w:line="240"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p>
    <w:p>
      <w:pPr>
        <w:keepNext/>
        <w:keepLines/>
        <w:spacing w:before="240" w:after="240" w:line="240" w:lineRule="exact"/>
        <w:ind w:left="720" w:hanging="720"/>
        <w:jc w:val="left"/>
      </w:pPr>
      <w:r>
        <w:rPr>
          <w:b/>
          <w:bCs/>
        </w:rPr>
        <w:t xml:space="preserve">I.</w:t>
      </w:r>
      <w:r>
        <w:rPr>
          <w:b/>
          <w:bCs/>
        </w:rPr>
        <w:tab/>
      </w:r>
      <w:r>
        <w:rPr>
          <w:b/>
          <w:bCs/>
        </w:rPr>
        <w:t xml:space="preserve">Preliminary</w:t>
      </w:r>
      <w:r>
        <w:rPr>
          <w:b/>
          <w:bCs/>
        </w:rPr>
        <w:t xml:space="preserve"> </w:t>
      </w:r>
      <w:r>
        <w:rPr>
          <w:b/>
          <w:bCs/>
        </w:rPr>
        <w:t xml:space="preserve">Statement</w:t>
      </w:r>
    </w:p>
    <w:p>
      <w:pPr>
        <w:pStyle w:val="BodyText"/>
      </w:pPr>
      <w:r>
        <w:t xml:space="preserve">The Committee asks this Court to wade into uncharted territory by forcing the Non-Debtor Defendants – nonprofit religious and charitable organizations – into bankruptcy through the extreme remedy of substantive consolidation. No appellate court has approved this maneuver, and the only one to address this issue expressly rejected substantive consolidation of non-consenting nonprofit entities.</w:t>
      </w:r>
    </w:p>
    <w:p>
      <w:pPr>
        <w:pStyle w:val="BodyText"/>
      </w:pPr>
      <w:r>
        <w:t xml:space="preserve">To be sure, the Ninth Circuit has authorized substantive consolidation of debtors and non-debtors (typically under limited circumstances involving overt fraud or complete domination and control by a debtor). But, it has not addressed whether a bankruptcy court may utilize its equitable powers under section</w:t>
      </w:r>
      <w:r>
        <w:t xml:space="preserve"> </w:t>
      </w:r>
      <w:r>
        <w:t xml:space="preserve">105 of the Bankruptcy Code (from which substantive consolidation is derived) to circumvent the Bankruptcy Code’s express prohibition on involuntary bankruptcies against nonprofits. The Eighth Circuit has, however, decided this precise issue in</w:t>
      </w:r>
      <w:r>
        <w:t xml:space="preserve"> </w:t>
      </w:r>
      <w:r>
        <w:rPr>
          <w:i/>
          <w:iCs/>
        </w:rPr>
        <w:t xml:space="preserve">Archdiocese</w:t>
      </w:r>
      <w:r>
        <w:rPr>
          <w:i/>
          <w:iCs/>
        </w:rPr>
        <w:t xml:space="preserve"> </w:t>
      </w:r>
      <w:r>
        <w:rPr>
          <w:i/>
          <w:iCs/>
        </w:rPr>
        <w:t xml:space="preserve">of St. Paul &amp; Minneapolis</w:t>
      </w:r>
      <w:r>
        <w:t xml:space="preserve">, a case with strikingly similar facts: a committee of unsecured creditors sought substantive consolidation of a Roman Catholic debtor corporation with numerous affiliated nonprofit and religious non-debtor organizations. The circuit court held that bankruptcy courts may not involuntarily thrust nonprofit non-debtors into bankruptcy through substantive consolidation because doing so “would effectively nullify the protections of §</w:t>
      </w:r>
      <w:r>
        <w:t xml:space="preserve"> </w:t>
      </w:r>
      <w:r>
        <w:t xml:space="preserve">303(a)” in violation of Supreme Court precedent. This Court should decide likewise and dismiss the substantive consolidation claim as a matter of law.</w:t>
      </w:r>
    </w:p>
    <w:p>
      <w:pPr>
        <w:pStyle w:val="BodyText"/>
      </w:pPr>
      <w:r>
        <w:t xml:space="preserve">Even if the Committee could overcome this legal hurdle, it still must plead sufficient facts to state a claim for substantive consolidation by showing that either (1) creditors that actually dealt with the Debtor and Non-Debtor Defendants treated them as a single entity and did not rely on their separateness in connection with extending credit, or (2) their financial affairs are so hopelessly commingled that creditors would be harmed if the mess is not untangled for the creditors’ benefit. The Committee fails to satisfy this high standard. On the first point, the Committee lacks facts to support its narrative, so it relies on a patchwork of conclusory allegations of “control,” often conflates the Debtor (i.e., a corporation) with the Diocese (i.e., a geographic unit in which the Debtor and other non-debtor Catholic entities serve the community), and selectively and inaccurately mischaracterizes portions of documents that when examined paint a far more innocuous picture of the relationship between the Debtor and the Non-Debtor Defendants. At best, the allegations in the Complaint demonstrate a close working relationship, a common religious purpose, and shared mission between the Debtor and Non-Debtor Defendants, including several financial transactions intended to benefit the larger community within the Diocese, not a collective fraud or the type of interdependence required for substantive consolidation. On the second point, the Complaint fails to allege that it would be practically impossible and prohibitively expensive to even attempt to unscramble the Debtor’s and Non-Debtor Defendants’ affairs, let alone to such an extent that it would threaten the creditors’ realization of assets by attempting to untangle the mess.</w:t>
      </w:r>
    </w:p>
    <w:p>
      <w:pPr>
        <w:pStyle w:val="BodyText"/>
      </w:pPr>
      <w:r>
        <w:t xml:space="preserve">Furthermore, the Committee’s claim for a blanket determination that all of the Non-Debtor Defendants’ property constitutes property of the Debtor’s bankruptcy estate is equally flawed. Not only does the Complaint fail to provide the Non-Debtor Defendants with sufficient detail about the property allegedly belonging to the Debtor, it fails to state a cognizable claim for relief. Section</w:t>
      </w:r>
      <w:r>
        <w:t xml:space="preserve"> </w:t>
      </w:r>
      <w:r>
        <w:t xml:space="preserve">541 defines what constitutes property of a bankruptcy estate as of the commencement of a debtor’s bankruptcy case (and by virtue of state law what property rights exist), but it does not give rise to an independent claim for relief to lay claim to the Non-Debtor Defendants’ property.</w:t>
      </w:r>
    </w:p>
    <w:p>
      <w:pPr>
        <w:pStyle w:val="BodyText"/>
      </w:pPr>
      <w:r>
        <w:t xml:space="preserve">For these reasons, and those more fully discussed below, the Non-Debtor Defendants respectfully submit that the Complaint must be dismissed.</w:t>
      </w:r>
    </w:p>
    <w:p>
      <w:pPr>
        <w:keepNext/>
        <w:keepLines/>
        <w:spacing w:before="240" w:after="240" w:line="240" w:lineRule="exact"/>
        <w:ind w:left="720" w:hanging="720"/>
        <w:jc w:val="left"/>
      </w:pPr>
      <w:r>
        <w:rPr>
          <w:b/>
          <w:bCs/>
        </w:rPr>
        <w:t xml:space="preserve">II.</w:t>
      </w:r>
      <w:r>
        <w:rPr>
          <w:b/>
          <w:bCs/>
        </w:rPr>
        <w:tab/>
      </w:r>
      <w:r>
        <w:rPr>
          <w:b/>
          <w:bCs/>
        </w:rPr>
        <w:t xml:space="preserve">Factual</w:t>
      </w:r>
      <w:r>
        <w:rPr>
          <w:b/>
          <w:bCs/>
        </w:rPr>
        <w:t xml:space="preserve"> </w:t>
      </w:r>
      <w:r>
        <w:rPr>
          <w:b/>
          <w:bCs/>
        </w:rPr>
        <w:t xml:space="preserve">Background</w:t>
      </w:r>
    </w:p>
    <w:p>
      <w:pPr>
        <w:keepNext/>
        <w:keepLines/>
        <w:spacing w:before="240" w:after="240" w:line="240" w:lineRule="exact"/>
        <w:ind w:left="1440" w:hanging="720"/>
        <w:jc w:val="left"/>
      </w:pPr>
      <w:r>
        <w:rPr>
          <w:b/>
          <w:bCs/>
        </w:rPr>
        <w:t xml:space="preserve">A.</w:t>
      </w:r>
      <w:r>
        <w:rPr>
          <w:b/>
          <w:bCs/>
        </w:rPr>
        <w:tab/>
      </w:r>
      <w:r>
        <w:rPr>
          <w:b/>
          <w:bCs/>
        </w:rPr>
        <w:t xml:space="preserve">Other</w:t>
      </w:r>
      <w:r>
        <w:rPr>
          <w:b/>
          <w:bCs/>
        </w:rPr>
        <w:t xml:space="preserve"> </w:t>
      </w:r>
      <w:r>
        <w:rPr>
          <w:b/>
          <w:bCs/>
        </w:rPr>
        <w:t xml:space="preserve">Alleged</w:t>
      </w:r>
      <w:r>
        <w:rPr>
          <w:b/>
          <w:bCs/>
        </w:rPr>
        <w:t xml:space="preserve"> </w:t>
      </w:r>
      <w:r>
        <w:rPr>
          <w:b/>
          <w:bCs/>
        </w:rPr>
        <w:t xml:space="preserve">Connections</w:t>
      </w:r>
      <w:r>
        <w:rPr>
          <w:b/>
          <w:bCs/>
        </w:rPr>
        <w:t xml:space="preserve"> </w:t>
      </w:r>
      <w:r>
        <w:rPr>
          <w:b/>
          <w:bCs/>
        </w:rPr>
        <w:t xml:space="preserve">Between</w:t>
      </w:r>
      <w:r>
        <w:rPr>
          <w:b/>
          <w:bCs/>
        </w:rPr>
        <w:t xml:space="preserve"> </w:t>
      </w:r>
      <w:r>
        <w:rPr>
          <w:b/>
          <w:bCs/>
        </w:rPr>
        <w:t xml:space="preserve">the</w:t>
      </w:r>
      <w:r>
        <w:rPr>
          <w:b/>
          <w:bCs/>
        </w:rPr>
        <w:t xml:space="preserve"> </w:t>
      </w:r>
      <w:r>
        <w:rPr>
          <w:b/>
          <w:bCs/>
        </w:rPr>
        <w:t xml:space="preserve">Debtor</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Non-Debtor</w:t>
      </w:r>
      <w:r>
        <w:rPr>
          <w:b/>
          <w:bCs/>
        </w:rPr>
        <w:t xml:space="preserve"> </w:t>
      </w:r>
      <w:r>
        <w:rPr>
          <w:b/>
          <w:bCs/>
        </w:rPr>
        <w:t xml:space="preserve">Defendants</w:t>
      </w:r>
    </w:p>
    <w:p>
      <w:pPr>
        <w:pStyle w:val="BodyTextNote"/>
      </w:pPr>
      <w:r>
        <w:t xml:space="preserve">The Debtor and each Non-Debtor Defendant has the same business and mailing address.</w:t>
      </w:r>
      <w:r>
        <w:rPr>
          <w:rStyle w:val="FootnoteReference"/>
        </w:rPr>
        <w:footnoteReference w:id="9"/>
      </w:r>
      <w:r>
        <w:t xml:space="preserve"> </w:t>
      </w:r>
      <w:r>
        <w:t xml:space="preserve">(</w:t>
      </w:r>
      <w:r>
        <w:rPr>
          <w:i/>
          <w:iCs/>
        </w:rPr>
        <w:t xml:space="preserve">Id.</w:t>
      </w:r>
      <w:r>
        <w:t xml:space="preserve"> </w:t>
      </w:r>
      <w:r>
        <w:t xml:space="preserve">¶¶ 24, 27, 29, 31). Their administrative functions “are centered” in the Central Services Administration, which provides administrative services within the Diocese. (</w:t>
      </w:r>
      <w:r>
        <w:rPr>
          <w:i/>
          <w:iCs/>
        </w:rPr>
        <w:t xml:space="preserve">Id.</w:t>
      </w:r>
      <w:r>
        <w:t xml:space="preserve"> </w:t>
      </w:r>
      <w:r>
        <w:t xml:space="preserve">¶ 33). The Debtor’s website contains a directory for entities and services associated with the Diocese, including links with information about the Non-Debtor Defendants. (</w:t>
      </w:r>
      <w:r>
        <w:rPr>
          <w:i/>
          <w:iCs/>
        </w:rPr>
        <w:t xml:space="preserve">Id.</w:t>
      </w:r>
      <w:r>
        <w:t xml:space="preserve"> </w:t>
      </w:r>
      <w:r>
        <w:t xml:space="preserve">¶ 71). Specifically, the website provides information concerning (i) Diocesan funeral and cemetery services that links to RCC’s website and (ii) Diocesan schools. (</w:t>
      </w:r>
      <w:r>
        <w:rPr>
          <w:i/>
          <w:iCs/>
        </w:rPr>
        <w:t xml:space="preserve">Id.</w:t>
      </w:r>
      <w:r>
        <w:t xml:space="preserve"> </w:t>
      </w:r>
      <w:r>
        <w:t xml:space="preserve">¶ 72).</w:t>
      </w:r>
    </w:p>
    <w:p>
      <w:pPr>
        <w:keepNext/>
        <w:keepLines/>
        <w:spacing w:before="240" w:after="240" w:line="240" w:lineRule="exact"/>
        <w:ind w:left="720" w:hanging="720"/>
        <w:jc w:val="left"/>
      </w:pPr>
      <w:r>
        <w:rPr>
          <w:b/>
          <w:bCs/>
        </w:rPr>
        <w:t xml:space="preserve">III.</w:t>
      </w:r>
      <w:r>
        <w:rPr>
          <w:b/>
          <w:bCs/>
        </w:rPr>
        <w:tab/>
      </w:r>
      <w:r>
        <w:rPr>
          <w:b/>
          <w:bCs/>
        </w:rPr>
        <w:t xml:space="preserve">Legal</w:t>
      </w:r>
      <w:r>
        <w:rPr>
          <w:b/>
          <w:bCs/>
        </w:rPr>
        <w:t xml:space="preserve"> </w:t>
      </w:r>
      <w:r>
        <w:rPr>
          <w:b/>
          <w:bCs/>
        </w:rPr>
        <w:t xml:space="preserve">Standard</w:t>
      </w:r>
    </w:p>
    <w:p>
      <w:pPr>
        <w:pStyle w:val="BodyText"/>
      </w:pPr>
      <w:r>
        <w:t xml:space="preserve">Rule</w:t>
      </w:r>
      <w:r>
        <w:t xml:space="preserve"> </w:t>
      </w:r>
      <w:r>
        <w:t xml:space="preserve">12(b)⁠(6) authorizes the Court to dismiss a complaint for failure to state a claim upon which relief can be granted. Fed. R. Civ. P. 12(b)⁠(6). Dismissal under Rule 12(b)⁠(6) is appropriate if “the complaint lacks a cognizable legal theory” or “sufficient facts to support a cognizable legal theory.”</w:t>
      </w:r>
      <w:r>
        <w:t xml:space="preserve"> </w:t>
      </w:r>
      <w:r>
        <w:rPr>
          <w:i/>
          <w:iCs/>
        </w:rPr>
        <w:t xml:space="preserve">Mendiondo</w:t>
      </w:r>
      <w:r>
        <w:rPr>
          <w:i/>
          <w:iCs/>
        </w:rPr>
        <w:t xml:space="preserve"> </w:t>
      </w:r>
      <w:r>
        <w:rPr>
          <w:i/>
          <w:iCs/>
        </w:rPr>
        <w:t xml:space="preserve">v. Centinela Hosp. Med. Ctr.</w:t>
      </w:r>
      <w:r>
        <w:t xml:space="preserve">, 521 F.3d 1097, 1104 (9th Cir. 2008).</w:t>
      </w:r>
    </w:p>
    <w:p>
      <w:pPr>
        <w:pStyle w:val="BodyText"/>
      </w:pPr>
      <w:r>
        <w:t xml:space="preserve">To survive a Rule 12(b)⁠(6) motion, a complaint must plead sufficient factual allegations sufficient to state a claim for relief that is plausible on its face.</w:t>
      </w:r>
      <w:r>
        <w:t xml:space="preserve"> </w:t>
      </w:r>
      <w:r>
        <w:rPr>
          <w:i/>
          <w:iCs/>
        </w:rPr>
        <w:t xml:space="preserve">See</w:t>
      </w:r>
      <w:r>
        <w:t xml:space="preserve"> </w:t>
      </w:r>
      <w:r>
        <w:rPr>
          <w:i/>
          <w:iCs/>
        </w:rPr>
        <w:t xml:space="preserve">Ashcroft</w:t>
      </w:r>
      <w:r>
        <w:rPr>
          <w:i/>
          <w:iCs/>
        </w:rPr>
        <w:t xml:space="preserve"> </w:t>
      </w:r>
      <w:r>
        <w:rPr>
          <w:i/>
          <w:iCs/>
        </w:rPr>
        <w:t xml:space="preserve">v. Iqbal</w:t>
      </w:r>
      <w:r>
        <w:t xml:space="preserve">, 556 U.S. 662, 678 (2009) (citations omitted);</w:t>
      </w:r>
      <w:r>
        <w:t xml:space="preserve"> </w:t>
      </w:r>
      <w:r>
        <w:rPr>
          <w:i/>
          <w:iCs/>
        </w:rPr>
        <w:t xml:space="preserve">accord</w:t>
      </w:r>
      <w:r>
        <w:t xml:space="preserve"> </w:t>
      </w:r>
      <w:r>
        <w:rPr>
          <w:i/>
          <w:iCs/>
        </w:rPr>
        <w:t xml:space="preserve">Bell</w:t>
      </w:r>
      <w:r>
        <w:rPr>
          <w:i/>
          <w:iCs/>
        </w:rPr>
        <w:t xml:space="preserve"> </w:t>
      </w:r>
      <w:r>
        <w:rPr>
          <w:i/>
          <w:iCs/>
        </w:rPr>
        <w:t xml:space="preserve">Atl. Corp. v. Twombly</w:t>
      </w:r>
      <w:r>
        <w:t xml:space="preserve">, 550 U.S. 544, 570 (2007). A claim has facial plausibility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When deciding whether a claim is plausible, courts must generally accept factual allegations in the complaint as true and construe the pleadings in the light most favorable to the plaintiff.</w:t>
      </w:r>
      <w:r>
        <w:t xml:space="preserve"> </w:t>
      </w:r>
      <w:r>
        <w:rPr>
          <w:i/>
          <w:iCs/>
        </w:rPr>
        <w:t xml:space="preserve">Manzarek</w:t>
      </w:r>
      <w:r>
        <w:rPr>
          <w:i/>
          <w:iCs/>
        </w:rPr>
        <w:t xml:space="preserve"> </w:t>
      </w:r>
      <w:r>
        <w:rPr>
          <w:i/>
          <w:iCs/>
        </w:rPr>
        <w:t xml:space="preserve">v. St. Paul Fire &amp; Marine Ins. Co.</w:t>
      </w:r>
      <w:r>
        <w:t xml:space="preserve">, 519 F.3d 1025, 1031 (9th Cir. 2008). But courts need not accept as true “a legal conclusion couched as a factual allegation.”</w:t>
      </w:r>
      <w:r>
        <w:t xml:space="preserve"> </w:t>
      </w:r>
      <w:r>
        <w:rPr>
          <w:i/>
          <w:iCs/>
        </w:rPr>
        <w:t xml:space="preserve">Iqbal</w:t>
      </w:r>
      <w:r>
        <w:t xml:space="preserve">, 556 U.S. at 678. Nor must courts “accept as true allegations that are merely conclusory, unwarranted deductions of fact, or unreasonable inferences.”</w:t>
      </w:r>
      <w:r>
        <w:t xml:space="preserve"> </w:t>
      </w:r>
      <w:r>
        <w:rPr>
          <w:i/>
          <w:iCs/>
        </w:rPr>
        <w:t xml:space="preserve">In</w:t>
      </w:r>
      <w:r>
        <w:rPr>
          <w:i/>
          <w:iCs/>
        </w:rPr>
        <w:t xml:space="preserve"> </w:t>
      </w:r>
      <w:r>
        <w:rPr>
          <w:i/>
          <w:iCs/>
        </w:rPr>
        <w:t xml:space="preserve">re Gilead Scis. Sec. Litig.</w:t>
      </w:r>
      <w:r>
        <w:t xml:space="preserve">, 536 F.3d 1049, 1055 (9th Cir. 2008) (quoting</w:t>
      </w:r>
      <w:r>
        <w:t xml:space="preserve"> </w:t>
      </w:r>
      <w:r>
        <w:rPr>
          <w:i/>
          <w:iCs/>
        </w:rPr>
        <w:t xml:space="preserve">Sprewell</w:t>
      </w:r>
      <w:r>
        <w:rPr>
          <w:i/>
          <w:iCs/>
        </w:rPr>
        <w:t xml:space="preserve"> </w:t>
      </w:r>
      <w:r>
        <w:rPr>
          <w:i/>
          <w:iCs/>
        </w:rPr>
        <w:t xml:space="preserve">v. Golden State Warriors</w:t>
      </w:r>
      <w:r>
        <w:t xml:space="preserve">, 266 F.3d 979, 988 (9th Cir. 2001)).</w:t>
      </w:r>
    </w:p>
    <w:p>
      <w:pPr>
        <w:pStyle w:val="BodyText"/>
      </w:pPr>
      <w:r>
        <w:t xml:space="preserve">When deciding a Rule 12(b)⁠(6) motion, a court may generally consider only the factual allegations contained within the four corners of the complaint, exhibits attached to the complaint, and matters subject to judicial notice.</w:t>
      </w:r>
      <w:r>
        <w:t xml:space="preserve"> </w:t>
      </w:r>
      <w:r>
        <w:rPr>
          <w:i/>
          <w:iCs/>
        </w:rPr>
        <w:t xml:space="preserve">Swartz</w:t>
      </w:r>
      <w:r>
        <w:rPr>
          <w:i/>
          <w:iCs/>
        </w:rPr>
        <w:t xml:space="preserve"> </w:t>
      </w:r>
      <w:r>
        <w:rPr>
          <w:i/>
          <w:iCs/>
        </w:rPr>
        <w:t xml:space="preserve">v. KPMG LLP</w:t>
      </w:r>
      <w:r>
        <w:t xml:space="preserve">, 476 F.3d 756, 763 (9th Cir. 2007) (per curiam). However, documents a plaintiff refers to extensively or that form the basis for the plaintiff’s claim may be incorporated by reference into the complaint and therefore considered part of the pleading.</w:t>
      </w:r>
      <w:r>
        <w:t xml:space="preserve"> </w:t>
      </w:r>
      <w:r>
        <w:rPr>
          <w:i/>
          <w:iCs/>
        </w:rPr>
        <w:t xml:space="preserve">United</w:t>
      </w:r>
      <w:r>
        <w:rPr>
          <w:i/>
          <w:iCs/>
        </w:rPr>
        <w:t xml:space="preserve"> </w:t>
      </w:r>
      <w:r>
        <w:rPr>
          <w:i/>
          <w:iCs/>
        </w:rPr>
        <w:t xml:space="preserve">States v. Ritchie</w:t>
      </w:r>
      <w:r>
        <w:t xml:space="preserve">, 342 F.3d 903, 908 (9th Cir. 2003). This “prevents plaintiffs from selecting only portions of documents that support their claims, while omitting portions of those very documents that weaken – or doom – their claims.”</w:t>
      </w:r>
      <w:r>
        <w:t xml:space="preserve"> </w:t>
      </w:r>
      <w:r>
        <w:rPr>
          <w:i/>
          <w:iCs/>
        </w:rPr>
        <w:t xml:space="preserve">Khoja</w:t>
      </w:r>
      <w:r>
        <w:rPr>
          <w:i/>
          <w:iCs/>
        </w:rPr>
        <w:t xml:space="preserve"> </w:t>
      </w:r>
      <w:r>
        <w:rPr>
          <w:i/>
          <w:iCs/>
        </w:rPr>
        <w:t xml:space="preserve">v. Orexigen Therapeutics, Inc.</w:t>
      </w:r>
      <w:r>
        <w:t xml:space="preserve">, 898 F.3d 988, 1002 (9th Cir. 2018). Ninth Circuit courts may additionally consider a document to be incorporated “in situations where the complaint necessarily relies upon a document or the contents of the document are alleged in a complaint, the document’s authenticity is not in question and there are no disputed issues as to the document’s relevance.”</w:t>
      </w:r>
      <w:r>
        <w:t xml:space="preserve"> </w:t>
      </w:r>
      <w:r>
        <w:rPr>
          <w:i/>
          <w:iCs/>
        </w:rPr>
        <w:t xml:space="preserve">Coto</w:t>
      </w:r>
      <w:r>
        <w:rPr>
          <w:i/>
          <w:iCs/>
        </w:rPr>
        <w:t xml:space="preserve"> </w:t>
      </w:r>
      <w:r>
        <w:rPr>
          <w:i/>
          <w:iCs/>
        </w:rPr>
        <w:t xml:space="preserve">Settlement v. Eisenberg</w:t>
      </w:r>
      <w:r>
        <w:t xml:space="preserve">, 593 F.3d 1031, (9th Cir. 2010);</w:t>
      </w:r>
      <w:r>
        <w:t xml:space="preserve"> </w:t>
      </w:r>
      <w:r>
        <w:rPr>
          <w:i/>
          <w:iCs/>
        </w:rPr>
        <w:t xml:space="preserve">see also</w:t>
      </w:r>
      <w:r>
        <w:t xml:space="preserve"> </w:t>
      </w:r>
      <w:r>
        <w:rPr>
          <w:i/>
          <w:iCs/>
        </w:rPr>
        <w:t xml:space="preserve">Daniels-Hall</w:t>
      </w:r>
      <w:r>
        <w:rPr>
          <w:i/>
          <w:iCs/>
        </w:rPr>
        <w:t xml:space="preserve"> </w:t>
      </w:r>
      <w:r>
        <w:rPr>
          <w:i/>
          <w:iCs/>
        </w:rPr>
        <w:t xml:space="preserve">v. National Educ. Ass’n</w:t>
      </w:r>
      <w:r>
        <w:t xml:space="preserve">, 629 F.3d 992, 998 (9th Cir. 2010) (“Plaintiff directly quoted the material ⁠. ⁠. ⁠. thereby incorporating [the material] into the Complaint.”).</w:t>
      </w:r>
    </w:p>
    <w:p>
      <w:pPr>
        <w:keepNext/>
        <w:keepLines/>
        <w:spacing w:before="240" w:after="240" w:line="240" w:lineRule="exact"/>
        <w:ind w:left="720" w:hanging="720"/>
        <w:jc w:val="left"/>
      </w:pPr>
      <w:r>
        <w:rPr>
          <w:b/>
          <w:bCs/>
        </w:rPr>
        <w:t xml:space="preserve">IV.</w:t>
      </w:r>
      <w:r>
        <w:rPr>
          <w:b/>
          <w:bCs/>
        </w:rPr>
        <w:tab/>
      </w:r>
      <w:r>
        <w:rPr>
          <w:b/>
          <w:bCs/>
        </w:rPr>
        <w:t xml:space="preserve">Argument</w:t>
      </w:r>
    </w:p>
    <w:p>
      <w:pPr>
        <w:pStyle w:val="BodyText"/>
      </w:pPr>
      <w:r>
        <w:t xml:space="preserve">The Court should dismiss both counts in the Complaint. The second count, concerning substantive consolidation, is not legally viable because as non-profit entities, the Non-Debtor Defendants may not be forced into the equivalent of an involuntary bankruptcy through substantive consolidation, and even if they could, the Complaint fails to plead sufficient facts to support substantive consolidation. The first count, concerning the Debtor’s purported legal and equitable ownership of the Non-Debtor Defendant’s property, also fails. As a companion claim for a determination of which property would be subject to substantive consolidation, dismissal of the substantive consolidation claim must lead to dismissal of this claim too. Alternatively, to the extent the Committee asserts the first count as a stand-alone claim, the Complaint fails to state a cognizable claim for declaratory relief.</w:t>
      </w:r>
    </w:p>
    <w:p>
      <w:pPr>
        <w:keepNext/>
        <w:keepLines/>
        <w:spacing w:before="240" w:after="240" w:line="240" w:lineRule="exact"/>
        <w:ind w:left="1440" w:hanging="720"/>
        <w:jc w:val="left"/>
      </w:pPr>
      <w:r>
        <w:rPr>
          <w:b/>
          <w:bCs/>
        </w:rPr>
        <w:t xml:space="preserve">A.</w:t>
      </w:r>
      <w:r>
        <w:rPr>
          <w:b/>
          <w:bCs/>
        </w:rPr>
        <w:tab/>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Committee’s</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Substantive</w:t>
      </w:r>
      <w:r>
        <w:rPr>
          <w:b/>
          <w:bCs/>
        </w:rPr>
        <w:t xml:space="preserve"> </w:t>
      </w:r>
      <w:r>
        <w:rPr>
          <w:b/>
          <w:bCs/>
        </w:rPr>
        <w:t xml:space="preserve">Consolidation</w:t>
      </w:r>
      <w:r>
        <w:rPr>
          <w:b/>
          <w:bCs/>
        </w:rPr>
        <w:t xml:space="preserve"> </w:t>
      </w:r>
      <w:r>
        <w:rPr>
          <w:b/>
          <w:bCs/>
        </w:rPr>
        <w:t xml:space="preserve">(Count</w:t>
      </w:r>
      <w:r>
        <w:rPr>
          <w:b/>
          <w:bCs/>
        </w:rPr>
        <w:t xml:space="preserve"> </w:t>
      </w:r>
      <w:r>
        <w:rPr>
          <w:b/>
          <w:bCs/>
        </w:rPr>
        <w:t xml:space="preserve">2)</w:t>
      </w:r>
    </w:p>
    <w:p>
      <w:pPr>
        <w:keepNext/>
        <w:keepLines/>
        <w:spacing w:before="240" w:after="240" w:line="240" w:lineRule="exact"/>
        <w:ind w:left="2160" w:hanging="720"/>
        <w:jc w:val="left"/>
      </w:pPr>
      <w:r>
        <w:rPr>
          <w:b/>
          <w:bCs/>
        </w:rPr>
        <w:t xml:space="preserve">1.</w:t>
      </w:r>
      <w:r>
        <w:rPr>
          <w:b/>
          <w:bCs/>
        </w:rPr>
        <w:tab/>
      </w:r>
      <w:r>
        <w:rPr>
          <w:b/>
          <w:bCs/>
        </w:rPr>
        <w:t xml:space="preserve">As</w:t>
      </w:r>
      <w:r>
        <w:rPr>
          <w:b/>
          <w:bCs/>
        </w:rPr>
        <w:t xml:space="preserve"> </w:t>
      </w:r>
      <w:r>
        <w:rPr>
          <w:b/>
          <w:bCs/>
        </w:rPr>
        <w:t xml:space="preserve">Non-Profit</w:t>
      </w:r>
      <w:r>
        <w:rPr>
          <w:b/>
          <w:bCs/>
        </w:rPr>
        <w:t xml:space="preserve"> </w:t>
      </w:r>
      <w:r>
        <w:rPr>
          <w:b/>
          <w:bCs/>
        </w:rPr>
        <w:t xml:space="preserve">Entities,</w:t>
      </w:r>
      <w:r>
        <w:rPr>
          <w:b/>
          <w:bCs/>
        </w:rPr>
        <w:t xml:space="preserve"> </w:t>
      </w:r>
      <w:r>
        <w:rPr>
          <w:b/>
          <w:bCs/>
        </w:rPr>
        <w:t xml:space="preserve">the</w:t>
      </w:r>
      <w:r>
        <w:rPr>
          <w:b/>
          <w:bCs/>
        </w:rPr>
        <w:t xml:space="preserve"> </w:t>
      </w:r>
      <w:r>
        <w:rPr>
          <w:b/>
          <w:bCs/>
        </w:rPr>
        <w:t xml:space="preserve">Non-Debtor</w:t>
      </w:r>
      <w:r>
        <w:rPr>
          <w:b/>
          <w:bCs/>
        </w:rPr>
        <w:t xml:space="preserve"> </w:t>
      </w:r>
      <w:r>
        <w:rPr>
          <w:b/>
          <w:bCs/>
        </w:rPr>
        <w:t xml:space="preserve">Defendants</w:t>
      </w:r>
      <w:r>
        <w:rPr>
          <w:b/>
          <w:bCs/>
        </w:rPr>
        <w:t xml:space="preserve"> </w:t>
      </w:r>
      <w:r>
        <w:rPr>
          <w:b/>
          <w:bCs/>
        </w:rPr>
        <w:t xml:space="preserve">May</w:t>
      </w:r>
      <w:r>
        <w:rPr>
          <w:b/>
          <w:bCs/>
        </w:rPr>
        <w:t xml:space="preserve"> </w:t>
      </w:r>
      <w:r>
        <w:rPr>
          <w:b/>
          <w:bCs/>
        </w:rPr>
        <w:t xml:space="preserve">Not</w:t>
      </w:r>
      <w:r>
        <w:rPr>
          <w:b/>
          <w:bCs/>
        </w:rPr>
        <w:t xml:space="preserve"> </w:t>
      </w:r>
      <w:r>
        <w:rPr>
          <w:b/>
          <w:bCs/>
        </w:rPr>
        <w:t xml:space="preserve">be</w:t>
      </w:r>
      <w:r>
        <w:rPr>
          <w:b/>
          <w:bCs/>
        </w:rPr>
        <w:t xml:space="preserve"> </w:t>
      </w:r>
      <w:r>
        <w:rPr>
          <w:b/>
          <w:bCs/>
        </w:rPr>
        <w:t xml:space="preserve">Involuntarily</w:t>
      </w:r>
      <w:r>
        <w:rPr>
          <w:b/>
          <w:bCs/>
        </w:rPr>
        <w:t xml:space="preserve"> </w:t>
      </w:r>
      <w:r>
        <w:rPr>
          <w:b/>
          <w:bCs/>
        </w:rPr>
        <w:t xml:space="preserve">Thrust</w:t>
      </w:r>
      <w:r>
        <w:rPr>
          <w:b/>
          <w:bCs/>
        </w:rPr>
        <w:t xml:space="preserve"> </w:t>
      </w:r>
      <w:r>
        <w:rPr>
          <w:b/>
          <w:bCs/>
        </w:rPr>
        <w:t xml:space="preserve">into</w:t>
      </w:r>
      <w:r>
        <w:rPr>
          <w:b/>
          <w:bCs/>
        </w:rPr>
        <w:t xml:space="preserve"> </w:t>
      </w:r>
      <w:r>
        <w:rPr>
          <w:b/>
          <w:bCs/>
        </w:rPr>
        <w:t xml:space="preserve">Bankruptcy</w:t>
      </w:r>
      <w:r>
        <w:rPr>
          <w:b/>
          <w:bCs/>
        </w:rPr>
        <w:t xml:space="preserve"> </w:t>
      </w:r>
      <w:r>
        <w:rPr>
          <w:b/>
          <w:bCs/>
        </w:rPr>
        <w:t xml:space="preserve">Through</w:t>
      </w:r>
      <w:r>
        <w:rPr>
          <w:b/>
          <w:bCs/>
        </w:rPr>
        <w:t xml:space="preserve"> </w:t>
      </w:r>
      <w:r>
        <w:rPr>
          <w:b/>
          <w:bCs/>
        </w:rPr>
        <w:t xml:space="preserve">Substantive</w:t>
      </w:r>
      <w:r>
        <w:rPr>
          <w:b/>
          <w:bCs/>
        </w:rPr>
        <w:t xml:space="preserve"> </w:t>
      </w:r>
      <w:r>
        <w:rPr>
          <w:b/>
          <w:bCs/>
        </w:rPr>
        <w:t xml:space="preserve">Consolidation</w:t>
      </w:r>
    </w:p>
    <w:p>
      <w:pPr>
        <w:pStyle w:val="BodyText"/>
      </w:pPr>
      <w:r>
        <w:t xml:space="preserve">Substantive consolidation is not a right or claim found in the text of the Bankruptcy Code. Rather, it is a judicially created equitable remedy derived from a bankruptcy court’s “general equity powers” found “in §105(a) of the Bankruptcy Code.”</w:t>
      </w:r>
      <w:r>
        <w:t xml:space="preserve"> </w:t>
      </w:r>
      <w:r>
        <w:rPr>
          <w:i/>
          <w:iCs/>
        </w:rPr>
        <w:t xml:space="preserve">In</w:t>
      </w:r>
      <w:r>
        <w:rPr>
          <w:i/>
          <w:iCs/>
        </w:rPr>
        <w:t xml:space="preserve"> </w:t>
      </w:r>
      <w:r>
        <w:rPr>
          <w:i/>
          <w:iCs/>
        </w:rPr>
        <w:t xml:space="preserve">re Bonham</w:t>
      </w:r>
      <w:r>
        <w:t xml:space="preserve">, 229 F.3d 750, 764 (9th Cir. 2000). When applied, the doctrine allows the bankruptcy court to disregard the corporate form of separate legal entities, treat them as if they were merged into a single surviving entity, and pool their combined assets and liabilities together into a combined fund so that the claims of creditors against the separate entities are transformed into claims against the consolidated survivor.</w:t>
      </w:r>
      <w:r>
        <w:t xml:space="preserve"> </w:t>
      </w:r>
      <w:r>
        <w:rPr>
          <w:i/>
          <w:iCs/>
        </w:rPr>
        <w:t xml:space="preserve">See id.</w:t>
      </w:r>
      <w:r>
        <w:t xml:space="preserve"> </w:t>
      </w:r>
      <w:r>
        <w:t xml:space="preserve">Non-debtors on the receiving end of a substantive consolidation order effectively become debtors before the bankruptcy court and their property becomes property of the bankruptcy estate.</w:t>
      </w:r>
      <w:r>
        <w:t xml:space="preserve"> </w:t>
      </w:r>
      <w:r>
        <w:rPr>
          <w:i/>
          <w:iCs/>
        </w:rPr>
        <w:t xml:space="preserve">See, e.g.</w:t>
      </w:r>
      <w:r>
        <w:t xml:space="preserve">,</w:t>
      </w:r>
      <w:r>
        <w:t xml:space="preserve"> </w:t>
      </w:r>
      <w:r>
        <w:rPr>
          <w:i/>
          <w:iCs/>
        </w:rPr>
        <w:t xml:space="preserve">Kismet</w:t>
      </w:r>
      <w:r>
        <w:rPr>
          <w:i/>
          <w:iCs/>
        </w:rPr>
        <w:t xml:space="preserve"> </w:t>
      </w:r>
      <w:r>
        <w:rPr>
          <w:i/>
          <w:iCs/>
        </w:rPr>
        <w:t xml:space="preserve">Acquisition, LLC v. Icenhower (In re Icenhower)</w:t>
      </w:r>
      <w:r>
        <w:t xml:space="preserve">, 757 F.3d 1044, 1050 (9th Cir. 2014) (finding that non-debtor’s foreign real property became property of the bankruptcy estate as a result of substantive consolidation order).</w:t>
      </w:r>
    </w:p>
    <w:p>
      <w:pPr>
        <w:pStyle w:val="BodyText"/>
      </w:pPr>
      <w:r>
        <w:t xml:space="preserve">Courts have characterized substantive consolidation as both “extreme” (it may seriously affect the rights of creditors and non-debtor third parties) and “imprecise” (the Bankruptcy Code and substantive state law afford more precise remedies, for example, in the form of fraudulent transfer law and veil piercing).</w:t>
      </w:r>
      <w:r>
        <w:t xml:space="preserve"> </w:t>
      </w:r>
      <w:r>
        <w:rPr>
          <w:i/>
          <w:iCs/>
        </w:rPr>
        <w:t xml:space="preserve">See</w:t>
      </w:r>
      <w:r>
        <w:t xml:space="preserve"> </w:t>
      </w:r>
      <w:r>
        <w:rPr>
          <w:i/>
          <w:iCs/>
        </w:rPr>
        <w:t xml:space="preserve">In</w:t>
      </w:r>
      <w:r>
        <w:rPr>
          <w:i/>
          <w:iCs/>
        </w:rPr>
        <w:t xml:space="preserve"> </w:t>
      </w:r>
      <w:r>
        <w:rPr>
          <w:i/>
          <w:iCs/>
        </w:rPr>
        <w:t xml:space="preserve">re Owens Corning</w:t>
      </w:r>
      <w:r>
        <w:t xml:space="preserve">, 419 F.3d 195, 211 (3d Cir. 2005). Therefore, substantive consolidation should be used sparingly, particularly when directed against entities not already in bankruptcy, and even then, only as a “last resort after considering and rejecting other remedies.”</w:t>
      </w:r>
      <w:r>
        <w:t xml:space="preserve"> </w:t>
      </w:r>
      <w:r>
        <w:rPr>
          <w:i/>
          <w:iCs/>
        </w:rPr>
        <w:t xml:space="preserve">Id.</w:t>
      </w:r>
      <w:r>
        <w:t xml:space="preserve">;</w:t>
      </w:r>
      <w:r>
        <w:t xml:space="preserve"> </w:t>
      </w:r>
      <w:r>
        <w:rPr>
          <w:i/>
          <w:iCs/>
        </w:rPr>
        <w:t xml:space="preserve">see also</w:t>
      </w:r>
      <w:r>
        <w:t xml:space="preserve"> </w:t>
      </w:r>
      <w:r>
        <w:rPr>
          <w:i/>
          <w:iCs/>
        </w:rPr>
        <w:t xml:space="preserve">In</w:t>
      </w:r>
      <w:r>
        <w:rPr>
          <w:i/>
          <w:iCs/>
        </w:rPr>
        <w:t xml:space="preserve"> </w:t>
      </w:r>
      <w:r>
        <w:rPr>
          <w:i/>
          <w:iCs/>
        </w:rPr>
        <w:t xml:space="preserve">re Howland</w:t>
      </w:r>
      <w:r>
        <w:t xml:space="preserve">, 674 F. App’x 482, 488 (6th Cir. 2017) (“Substantive consolidation is an ‘extreme’ measure, only to be used ‘sparingly,’ especially when consolidating a non-debtor entity.”);</w:t>
      </w:r>
      <w:r>
        <w:t xml:space="preserve"> </w:t>
      </w:r>
      <w:r>
        <w:rPr>
          <w:i/>
          <w:iCs/>
        </w:rPr>
        <w:t xml:space="preserve">Bonham</w:t>
      </w:r>
      <w:r>
        <w:t xml:space="preserve">, 229 F.3d at 767 (“‘resort to consolidation ⁠. ⁠. ⁠. should not be Pavlovian,’ but as almost every other court has noted, should be used ‘sparingly,’ and in keeping with the equitable nature of substantive consolidation.”) (internal citations omitted).</w:t>
      </w:r>
    </w:p>
    <w:p>
      <w:pPr>
        <w:pStyle w:val="BodyText"/>
      </w:pPr>
      <w:r>
        <w:t xml:space="preserve">The Ninth Circuit has on few occasions authorized substantive consolidation of non-debtor entities and debtors.</w:t>
      </w:r>
      <w:r>
        <w:t xml:space="preserve"> </w:t>
      </w:r>
      <w:r>
        <w:rPr>
          <w:i/>
          <w:iCs/>
        </w:rPr>
        <w:t xml:space="preserve">See, e.g.</w:t>
      </w:r>
      <w:r>
        <w:t xml:space="preserve"> </w:t>
      </w:r>
      <w:r>
        <w:rPr>
          <w:i/>
          <w:iCs/>
        </w:rPr>
        <w:t xml:space="preserve">Bonham</w:t>
      </w:r>
      <w:r>
        <w:t xml:space="preserve">, 229 F.3d at 762 (authorizing substantive consolidation of two non-debtor companies with an individual debtor based on extensive findings she used the companies to perpetrate a Ponzi scheme). It has never done so, however, in a case involving nonprofits. Indeed, only one appellate court, the Eighth Circuit Court of Appeals, has directly addressed the issue before the Court: whether a bankruptcy court has the power to order substantive consolidation of a debtor and nonprofit non-debtors.</w:t>
      </w:r>
      <w:r>
        <w:t xml:space="preserve"> </w:t>
      </w:r>
      <w:r>
        <w:rPr>
          <w:i/>
          <w:iCs/>
        </w:rPr>
        <w:t xml:space="preserve">See</w:t>
      </w:r>
      <w:r>
        <w:t xml:space="preserve"> </w:t>
      </w:r>
      <w:r>
        <w:rPr>
          <w:i/>
          <w:iCs/>
        </w:rPr>
        <w:t xml:space="preserve">Official</w:t>
      </w:r>
      <w:r>
        <w:rPr>
          <w:i/>
          <w:iCs/>
        </w:rPr>
        <w:t xml:space="preserve"> </w:t>
      </w:r>
      <w:r>
        <w:rPr>
          <w:i/>
          <w:iCs/>
        </w:rPr>
        <w:t xml:space="preserve">Comm. of Unsecured Creditors v. Archdiocese of St. Paul &amp; Minneapolis (In re Archdiocese of St. Paul &amp; Minneapolis)</w:t>
      </w:r>
      <w:r>
        <w:t xml:space="preserve">, 888 F.3d 944 (8th Cir. 2018).</w:t>
      </w:r>
    </w:p>
    <w:p>
      <w:pPr>
        <w:pStyle w:val="BodyText"/>
      </w:pPr>
      <w:r>
        <w:t xml:space="preserve">In</w:t>
      </w:r>
      <w:r>
        <w:t xml:space="preserve"> </w:t>
      </w:r>
      <w:r>
        <w:rPr>
          <w:i/>
          <w:iCs/>
        </w:rPr>
        <w:t xml:space="preserve">St. Paul</w:t>
      </w:r>
      <w:r>
        <w:t xml:space="preserve">, the Eighth Circuit held that the bankruptcy court lacked the equitable authority under section 105(a) of the Bankruptcy Code to order substantive consolidation of a debtor with nonprofit non-debtors.</w:t>
      </w:r>
      <w:r>
        <w:t xml:space="preserve"> </w:t>
      </w:r>
      <w:r>
        <w:rPr>
          <w:i/>
          <w:iCs/>
        </w:rPr>
        <w:t xml:space="preserve">Id.</w:t>
      </w:r>
      <w:r>
        <w:t xml:space="preserve"> </w:t>
      </w:r>
      <w:r>
        <w:t xml:space="preserve">at 947-⁠48. There, like here, the unsecured creditors’ committee sought to substantively consolidate the debtor, a Roman Catholic diocese (the Archdiocese of St. Paul and Minneapolis), with numerous nonprofit entities affiliated with the debtor (diocesan parish corporations, schools, cemeteries, and other related Roman Catholic religious organizations).</w:t>
      </w:r>
      <w:r>
        <w:t xml:space="preserve"> </w:t>
      </w:r>
      <w:r>
        <w:rPr>
          <w:i/>
          <w:iCs/>
        </w:rPr>
        <w:t xml:space="preserve">Id.</w:t>
      </w:r>
      <w:r>
        <w:t xml:space="preserve">;</w:t>
      </w:r>
      <w:r>
        <w:t xml:space="preserve"> </w:t>
      </w:r>
      <w:r>
        <w:rPr>
          <w:i/>
          <w:iCs/>
        </w:rPr>
        <w:t xml:space="preserve">see also</w:t>
      </w:r>
      <w:r>
        <w:t xml:space="preserve"> </w:t>
      </w:r>
      <w:r>
        <w:rPr>
          <w:i/>
          <w:iCs/>
        </w:rPr>
        <w:t xml:space="preserve">In</w:t>
      </w:r>
      <w:r>
        <w:rPr>
          <w:i/>
          <w:iCs/>
        </w:rPr>
        <w:t xml:space="preserve"> </w:t>
      </w:r>
      <w:r>
        <w:rPr>
          <w:i/>
          <w:iCs/>
        </w:rPr>
        <w:t xml:space="preserve">re Archdiocese of St. Paul &amp; Minnesota</w:t>
      </w:r>
      <w:r>
        <w:t xml:space="preserve">, 553 B.R. 693, 696-⁠97 (Bankr. D. Minn. 2016). The Archdiocese and the non-debtor nonprofit entities opposed the committee’s requested relief on the ground that substantive consolidation would violate 11</w:t>
      </w:r>
      <w:r>
        <w:t xml:space="preserve"> </w:t>
      </w:r>
      <w:r>
        <w:t xml:space="preserve">U.S.C. § 303(a)’s prohibition on involuntary bankruptcy cases against nonprofits.</w:t>
      </w:r>
    </w:p>
    <w:p>
      <w:pPr>
        <w:pStyle w:val="BodyText"/>
      </w:pPr>
      <w:r>
        <w:t xml:space="preserve">The Eighth Circuit began its analysis by acknowledging its prior holding that section</w:t>
      </w:r>
      <w:r>
        <w:t xml:space="preserve"> </w:t>
      </w:r>
      <w:r>
        <w:t xml:space="preserve">105(a) provides the source of a bankruptcy court’s equitable power to direct substantive consolidation.</w:t>
      </w:r>
      <w:r>
        <w:t xml:space="preserve"> </w:t>
      </w:r>
      <w:r>
        <w:rPr>
          <w:i/>
          <w:iCs/>
        </w:rPr>
        <w:t xml:space="preserve">See In re Archdiocese of St. Paul &amp; Minneapolis</w:t>
      </w:r>
      <w:r>
        <w:t xml:space="preserve"> </w:t>
      </w:r>
      <w:r>
        <w:t xml:space="preserve">888 F.3d at 951 (citing</w:t>
      </w:r>
      <w:r>
        <w:t xml:space="preserve"> </w:t>
      </w:r>
      <w:r>
        <w:rPr>
          <w:i/>
          <w:iCs/>
        </w:rPr>
        <w:t xml:space="preserve">In</w:t>
      </w:r>
      <w:r>
        <w:rPr>
          <w:i/>
          <w:iCs/>
        </w:rPr>
        <w:t xml:space="preserve"> </w:t>
      </w:r>
      <w:r>
        <w:rPr>
          <w:i/>
          <w:iCs/>
        </w:rPr>
        <w:t xml:space="preserve">re Giller</w:t>
      </w:r>
      <w:r>
        <w:t xml:space="preserve">, 962 F.2d 796, 799 (8th Cir. 1992)). The court recognized, however, that more recent Supreme Court precedent limits the statute’s reach: “the broad, catch-all equitable powers conferred under 11 U.S.C. § 105(a) do not allow a bankruptcy court to ‘override explicit mandates of other sections of the Bankruptcy Code.’”</w:t>
      </w:r>
      <w:r>
        <w:t xml:space="preserve"> </w:t>
      </w:r>
      <w:r>
        <w:rPr>
          <w:i/>
          <w:iCs/>
        </w:rPr>
        <w:t xml:space="preserve">Id.</w:t>
      </w:r>
      <w:r>
        <w:t xml:space="preserve"> </w:t>
      </w:r>
      <w:r>
        <w:t xml:space="preserve">at 952 (quoting</w:t>
      </w:r>
      <w:r>
        <w:t xml:space="preserve"> </w:t>
      </w:r>
      <w:r>
        <w:rPr>
          <w:i/>
          <w:iCs/>
        </w:rPr>
        <w:t xml:space="preserve">Law</w:t>
      </w:r>
      <w:r>
        <w:rPr>
          <w:i/>
          <w:iCs/>
        </w:rPr>
        <w:t xml:space="preserve"> </w:t>
      </w:r>
      <w:r>
        <w:rPr>
          <w:i/>
          <w:iCs/>
        </w:rPr>
        <w:t xml:space="preserve">v. Siegel</w:t>
      </w:r>
      <w:r>
        <w:t xml:space="preserve">, 571 U.S. 415, 134 S. Ct. 1188, 1194 (2014)). Against this backdrop, the court turned to the text of section 303(a) of the Bankruptcy Code, which prohibits the commencement of an involuntary bankruptcy case against “a corporation that is not a moneyed, business, or commercial corporation.”</w:t>
      </w:r>
      <w:r>
        <w:t xml:space="preserve"> </w:t>
      </w:r>
      <w:r>
        <w:rPr>
          <w:i/>
          <w:iCs/>
        </w:rPr>
        <w:t xml:space="preserve">Id.</w:t>
      </w:r>
      <w:r>
        <w:t xml:space="preserve"> </w:t>
      </w:r>
      <w:r>
        <w:t xml:space="preserve">(quoting 11 U.S.C. § 303(a)). Based on the plain language of section 303(a), its legislative history, and Black’s law dictionary, the court interpreted this phrase to cover the modern-day equivalent of a nonprofit organization.</w:t>
      </w:r>
      <w:r>
        <w:t xml:space="preserve"> </w:t>
      </w:r>
      <w:r>
        <w:rPr>
          <w:i/>
          <w:iCs/>
        </w:rPr>
        <w:t xml:space="preserve">Id.</w:t>
      </w:r>
      <w:r>
        <w:t xml:space="preserve"> </w:t>
      </w:r>
      <w:r>
        <w:t xml:space="preserve">Having determined the non-debtor organizations qualified as nonprofits under applicable state law, the Eighth Circuit held they could not be forced into bankruptcy involuntarily through substantive consolidation because doing so “would effectively nullify the protections of § 303(a).”</w:t>
      </w:r>
      <w:r>
        <w:t xml:space="preserve"> </w:t>
      </w:r>
      <w:r>
        <w:rPr>
          <w:i/>
          <w:iCs/>
        </w:rPr>
        <w:t xml:space="preserve">Id.</w:t>
      </w:r>
      <w:r>
        <w:t xml:space="preserve"> </w:t>
      </w:r>
      <w:r>
        <w:t xml:space="preserve">at 953;</w:t>
      </w:r>
      <w:r>
        <w:t xml:space="preserve"> </w:t>
      </w:r>
      <w:r>
        <w:rPr>
          <w:i/>
          <w:iCs/>
        </w:rPr>
        <w:t xml:space="preserve">see also</w:t>
      </w:r>
      <w:r>
        <w:t xml:space="preserve"> </w:t>
      </w:r>
      <w:r>
        <w:rPr>
          <w:i/>
          <w:iCs/>
        </w:rPr>
        <w:t xml:space="preserve">Official</w:t>
      </w:r>
      <w:r>
        <w:rPr>
          <w:i/>
          <w:iCs/>
        </w:rPr>
        <w:t xml:space="preserve"> </w:t>
      </w:r>
      <w:r>
        <w:rPr>
          <w:i/>
          <w:iCs/>
        </w:rPr>
        <w:t xml:space="preserve">Comm. of Unsecured Creditors v. Archdiocese of St. Paul &amp; Minneapolis</w:t>
      </w:r>
      <w:r>
        <w:t xml:space="preserve">, 562 B.R. 755, 762-⁠763 (D. Minn. 2016) (“Because substantive consolidation of a charitable organization against its will equates to forcing the entity into involuntary bankruptcy, it violates an explicit mandate of the Bankruptcy Code.”).</w:t>
      </w:r>
    </w:p>
    <w:p>
      <w:pPr>
        <w:pStyle w:val="BodyText"/>
      </w:pPr>
      <w:r>
        <w:rPr>
          <w:i/>
          <w:iCs/>
        </w:rPr>
        <w:t xml:space="preserve">St. Paul</w:t>
      </w:r>
      <w:r>
        <w:t xml:space="preserve">’s reasoning is aligned with recent precedent from the Supreme Court, Ninth Circuit, and other circuit courts of appeal that prohibit a bankruptcy court from using its equitable powers under section 105(a) to side step the Bankruptcy Code’s express requirements.</w:t>
      </w:r>
      <w:r>
        <w:t xml:space="preserve"> </w:t>
      </w:r>
      <w:r>
        <w:rPr>
          <w:i/>
          <w:iCs/>
        </w:rPr>
        <w:t xml:space="preserve">See, e.g.</w:t>
      </w:r>
      <w:r>
        <w:t xml:space="preserve">,</w:t>
      </w:r>
      <w:r>
        <w:t xml:space="preserve"> </w:t>
      </w:r>
      <w:r>
        <w:rPr>
          <w:i/>
          <w:iCs/>
        </w:rPr>
        <w:t xml:space="preserve">Harrington</w:t>
      </w:r>
      <w:r>
        <w:rPr>
          <w:i/>
          <w:iCs/>
        </w:rPr>
        <w:t xml:space="preserve"> </w:t>
      </w:r>
      <w:r>
        <w:rPr>
          <w:i/>
          <w:iCs/>
        </w:rPr>
        <w:t xml:space="preserve">v. Purdue Pharma L.P.</w:t>
      </w:r>
      <w:r>
        <w:t xml:space="preserve">, 603 U.S. 204, 217 n.2 (2024) (holding that “§105(a) alone cannot justify” the imposition of non-consensual third-party releases that extinguish claims against non-debtors without textual support from section 1123(b) or elsewhere in the Bankruptcy Code because section 105(a) serves only to “carry out” authorities expressly conferred in the Code) (internal citations omitted);</w:t>
      </w:r>
      <w:r>
        <w:t xml:space="preserve"> </w:t>
      </w:r>
      <w:r>
        <w:rPr>
          <w:i/>
          <w:iCs/>
        </w:rPr>
        <w:t xml:space="preserve">United</w:t>
      </w:r>
      <w:r>
        <w:rPr>
          <w:i/>
          <w:iCs/>
        </w:rPr>
        <w:t xml:space="preserve"> </w:t>
      </w:r>
      <w:r>
        <w:rPr>
          <w:i/>
          <w:iCs/>
        </w:rPr>
        <w:t xml:space="preserve">States v. Mackenzie (In re Leite)</w:t>
      </w:r>
      <w:r>
        <w:t xml:space="preserve">, 112 F.4th 1246, 1252 (9th Cir. 2024) (reversing district court’s decision that the bankruptcy court had the equitable authority under section 105(a) to apply a method for allocating the proceeds of the sale of real property not found in the Bankruptcy Code in violation of sections 551 and 724(a) of the Bankruptcy Code);</w:t>
      </w:r>
      <w:r>
        <w:t xml:space="preserve"> </w:t>
      </w:r>
      <w:r>
        <w:rPr>
          <w:i/>
          <w:iCs/>
        </w:rPr>
        <w:t xml:space="preserve">Brown</w:t>
      </w:r>
      <w:r>
        <w:rPr>
          <w:i/>
          <w:iCs/>
        </w:rPr>
        <w:t xml:space="preserve"> </w:t>
      </w:r>
      <w:r>
        <w:rPr>
          <w:i/>
          <w:iCs/>
        </w:rPr>
        <w:t xml:space="preserve">v. Viegelahn (In re Brown)</w:t>
      </w:r>
      <w:r>
        <w:t xml:space="preserve">, 960 F.3d 711, 719-⁠20 (5th Cir. 2020) (holding that the bankruptcy court committed reversible error when, based on its equitable powers under section 105(a), it imposed conditions for modification of a confirmed plan in contravention of the textual requirements of section 1329 of the Bankruptcy Code).</w:t>
      </w:r>
    </w:p>
    <w:p>
      <w:pPr>
        <w:pStyle w:val="BodyText"/>
      </w:pPr>
      <w:r>
        <w:t xml:space="preserve">Here, each Non-Debtor Defendant is a nonprofit entity organized under California law and qualified for tax exempt status under section 501(c)⁠(3) of the IRC. (Compl. ¶¶ 28, 46; RCWC AOI; RCC AOI; Adventus AOI). There can be no serious dispute that each Non-Debtor Defendant is “a corporation that is not a moneyed, business, or commercial corporation” that may not be involuntarily cast into bankruptcy under section 303(a) of the Bankruptcy Code.</w:t>
      </w:r>
      <w:r>
        <w:t xml:space="preserve"> </w:t>
      </w:r>
      <w:r>
        <w:rPr>
          <w:i/>
          <w:iCs/>
        </w:rPr>
        <w:t xml:space="preserve">See</w:t>
      </w:r>
      <w:r>
        <w:t xml:space="preserve"> </w:t>
      </w:r>
      <w:r>
        <w:t xml:space="preserve">11 U.S.C. 303(a);</w:t>
      </w:r>
      <w:r>
        <w:t xml:space="preserve"> </w:t>
      </w:r>
      <w:r>
        <w:rPr>
          <w:i/>
          <w:iCs/>
        </w:rPr>
        <w:t xml:space="preserve">St. Paul</w:t>
      </w:r>
      <w:r>
        <w:t xml:space="preserve">, 888 F.3d at 951. Section 105(a) of the Bankruptcy Code – a provision designed to carry out the other mandates of the Bankruptcy Code – may not be used to circumvent this express prohibition.</w:t>
      </w:r>
      <w:r>
        <w:t xml:space="preserve"> </w:t>
      </w:r>
      <w:r>
        <w:rPr>
          <w:i/>
          <w:iCs/>
        </w:rPr>
        <w:t xml:space="preserve">Law</w:t>
      </w:r>
      <w:r>
        <w:t xml:space="preserve">, 571 U.S. at 421 (“Section 105(a) confers authority to ‘carry out’ the provisions of the Code … it is quite impossible to do that by taking action that the Code prohibits.”). It follows that the Court may not enlist the equitable remedy of substantive consolidation (whose power is derived from section 105(a)) to override the Bankruptcy Code’s explicit protection of nonprofit entities from the equivalent of involuntary bankruptcy.</w:t>
      </w:r>
      <w:r>
        <w:t xml:space="preserve"> </w:t>
      </w:r>
      <w:r>
        <w:rPr>
          <w:i/>
          <w:iCs/>
        </w:rPr>
        <w:t xml:space="preserve">See St. Paul</w:t>
      </w:r>
      <w:r>
        <w:t xml:space="preserve">, 888 F.3d at 952–43. For this reason, the Complaint fails to state a cognizable legal theory for substantive consolidation against the Non-Debtor Defendants and must be dismissed.</w:t>
      </w:r>
    </w:p>
    <w:p>
      <w:pPr>
        <w:keepNext/>
        <w:keepLines/>
        <w:spacing w:before="240" w:after="240" w:line="240" w:lineRule="exact"/>
        <w:ind w:left="2160" w:hanging="720"/>
        <w:jc w:val="left"/>
      </w:pPr>
      <w:r>
        <w:rPr>
          <w:b/>
          <w:bCs/>
        </w:rPr>
        <w:t xml:space="preserve">2.</w:t>
      </w:r>
      <w:r>
        <w:rPr>
          <w:b/>
          <w:bCs/>
        </w:rPr>
        <w:tab/>
      </w:r>
      <w:r>
        <w:rPr>
          <w:b/>
          <w:bCs/>
        </w:rPr>
        <w:t xml:space="preserve">The</w:t>
      </w:r>
      <w:r>
        <w:rPr>
          <w:b/>
          <w:bCs/>
        </w:rPr>
        <w:t xml:space="preserve"> </w:t>
      </w:r>
      <w:r>
        <w:rPr>
          <w:b/>
          <w:bCs/>
        </w:rPr>
        <w:t xml:space="preserve">Committee</w:t>
      </w:r>
      <w:r>
        <w:rPr>
          <w:b/>
          <w:bCs/>
        </w:rPr>
        <w:t xml:space="preserve"> </w:t>
      </w:r>
      <w:r>
        <w:rPr>
          <w:b/>
          <w:bCs/>
        </w:rPr>
        <w:t xml:space="preserve">Has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Adequately</w:t>
      </w:r>
      <w:r>
        <w:rPr>
          <w:b/>
          <w:bCs/>
        </w:rPr>
        <w:t xml:space="preserve"> </w:t>
      </w:r>
      <w:r>
        <w:rPr>
          <w:b/>
          <w:bCs/>
        </w:rPr>
        <w:t xml:space="preserve">Plead</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Substantive</w:t>
      </w:r>
      <w:r>
        <w:rPr>
          <w:b/>
          <w:bCs/>
        </w:rPr>
        <w:t xml:space="preserve"> </w:t>
      </w:r>
      <w:r>
        <w:rPr>
          <w:b/>
          <w:bCs/>
        </w:rPr>
        <w:t xml:space="preserve">Consolidation</w:t>
      </w:r>
    </w:p>
    <w:p>
      <w:pPr>
        <w:pStyle w:val="BodyText"/>
      </w:pPr>
      <w:r>
        <w:t xml:space="preserve">Even if the Court had the authority to substantively consolidate the Non-Debtor Defendants and the Debtor over their objections, the Committee has failed to allege sufficient facts to support substantive consolidation under the standard articulated by the Ninth Circuit. In</w:t>
      </w:r>
      <w:r>
        <w:t xml:space="preserve"> </w:t>
      </w:r>
      <w:r>
        <w:rPr>
          <w:i/>
          <w:iCs/>
        </w:rPr>
        <w:t xml:space="preserve">Bonham</w:t>
      </w:r>
      <w:r>
        <w:t xml:space="preserve">, the Ninth Circuit established a two-part disjunctive test for courts to consider when deciding a request for substantive consolidation: “(1) whether creditors dealt with the entities as a single economic unit and did not rely on their separate identity in extending credit; or (2) whether the affairs of the debtor are so entangled that consolidation will benefit all creditors.” 229 F.3d at 766 (adopting Second Circuit’s test in</w:t>
      </w:r>
      <w:r>
        <w:t xml:space="preserve"> </w:t>
      </w:r>
      <w:r>
        <w:rPr>
          <w:i/>
          <w:iCs/>
        </w:rPr>
        <w:t xml:space="preserve">In</w:t>
      </w:r>
      <w:r>
        <w:rPr>
          <w:i/>
          <w:iCs/>
        </w:rPr>
        <w:t xml:space="preserve"> </w:t>
      </w:r>
      <w:r>
        <w:rPr>
          <w:i/>
          <w:iCs/>
        </w:rPr>
        <w:t xml:space="preserve">re Augie/​Restivo Baking Co.</w:t>
      </w:r>
      <w:r>
        <w:t xml:space="preserve">, 860 F.2d 515, 518 (2d Cir. 1988)).</w:t>
      </w:r>
    </w:p>
    <w:p>
      <w:pPr>
        <w:pStyle w:val="BodyText"/>
      </w:pPr>
      <w:r>
        <w:t xml:space="preserve">The first factor is based on the notion that lenders “structure their loans according to their expectations regarding the borrower and do not anticipate either having the assets of a more sound company available in the case of insolvency or having the creditors of a less sound debtor compete for the borrower’s assets.”</w:t>
      </w:r>
      <w:r>
        <w:t xml:space="preserve"> </w:t>
      </w:r>
      <w:r>
        <w:rPr>
          <w:i/>
          <w:iCs/>
        </w:rPr>
        <w:t xml:space="preserve">Id.</w:t>
      </w:r>
      <w:r>
        <w:t xml:space="preserve"> </w:t>
      </w:r>
      <w:r>
        <w:t xml:space="preserve">(quoting</w:t>
      </w:r>
      <w:r>
        <w:t xml:space="preserve"> </w:t>
      </w:r>
      <w:r>
        <w:rPr>
          <w:i/>
          <w:iCs/>
        </w:rPr>
        <w:t xml:space="preserve">Augie/​Restivo Baking Co.</w:t>
      </w:r>
      <w:r>
        <w:t xml:space="preserve">, 860 F.2d at 518-⁠19);</w:t>
      </w:r>
      <w:r>
        <w:t xml:space="preserve"> </w:t>
      </w:r>
      <w:r>
        <w:rPr>
          <w:i/>
          <w:iCs/>
        </w:rPr>
        <w:t xml:space="preserve">see</w:t>
      </w:r>
      <w:r>
        <w:t xml:space="preserve"> </w:t>
      </w:r>
      <w:r>
        <w:rPr>
          <w:i/>
          <w:iCs/>
        </w:rPr>
        <w:t xml:space="preserve">Owens</w:t>
      </w:r>
      <w:r>
        <w:rPr>
          <w:i/>
          <w:iCs/>
        </w:rPr>
        <w:t xml:space="preserve"> </w:t>
      </w:r>
      <w:r>
        <w:rPr>
          <w:i/>
          <w:iCs/>
        </w:rPr>
        <w:t xml:space="preserve">Corning</w:t>
      </w:r>
      <w:r>
        <w:t xml:space="preserve">, 419 F.3d at 211, n.19 (explaining this factor is “meant to protect the prepetition expectations of those creditors” who in the typical scenario “have been misled by debtors’ actions…and thus perceived incorrectly (and relied on this perception) that multiple entities were one.”). The second factor supports substantive consolidation only where “the time and expense necessary even to attempt to unscramble [the debtors’ affairs] is so substantial as to threaten the realization of any net assets for all the creditors or where no accurate identification and allocation of assets is possible.”</w:t>
      </w:r>
      <w:r>
        <w:t xml:space="preserve"> </w:t>
      </w:r>
      <w:r>
        <w:rPr>
          <w:i/>
          <w:iCs/>
        </w:rPr>
        <w:t xml:space="preserve">Id.</w:t>
      </w:r>
      <w:r>
        <w:t xml:space="preserve"> </w:t>
      </w:r>
      <w:r>
        <w:t xml:space="preserve">(</w:t>
      </w:r>
      <w:r>
        <w:rPr>
          <w:i/>
          <w:iCs/>
        </w:rPr>
        <w:t xml:space="preserve">Augie/​Restivo Baking Co.</w:t>
      </w:r>
      <w:r>
        <w:t xml:space="preserve">, 860 F.2d at 519);</w:t>
      </w:r>
      <w:r>
        <w:t xml:space="preserve"> </w:t>
      </w:r>
      <w:r>
        <w:rPr>
          <w:i/>
          <w:iCs/>
        </w:rPr>
        <w:t xml:space="preserve">see Owens Corning</w:t>
      </w:r>
      <w:r>
        <w:t xml:space="preserve">, 419 F.3d at 211, n.20 (where the entities assets have been “hopelessly commingled” substantive consolidation may be appropriate where without it “all creditors will be worse off (as Humpty Dumpty cannot be reassembled….”). Although “no uniform guideline” exists for ordering substantive consolidation, broadly speaking, courts should consider whether there has been a “disregard for corporate formalities or commingling of assets” by the targeted entities and “the benefits that substantive consolidation would bring against the harms that it would cause.”</w:t>
      </w:r>
      <w:r>
        <w:t xml:space="preserve"> </w:t>
      </w:r>
      <w:r>
        <w:rPr>
          <w:i/>
          <w:iCs/>
        </w:rPr>
        <w:t xml:space="preserve">Bonham</w:t>
      </w:r>
      <w:r>
        <w:t xml:space="preserve">, 229 F.3d at 765.</w:t>
      </w:r>
    </w:p>
    <w:p>
      <w:pPr>
        <w:keepNext/>
        <w:keepLines/>
        <w:spacing w:before="240" w:after="240" w:line="240" w:lineRule="exact"/>
        <w:ind w:left="1440" w:hanging="720"/>
        <w:jc w:val="left"/>
      </w:pPr>
      <w:r>
        <w:rPr>
          <w:b/>
          <w:bCs/>
        </w:rPr>
        <w:t xml:space="preserve">B.</w:t>
      </w:r>
      <w:r>
        <w:rPr>
          <w:b/>
          <w:bCs/>
        </w:rPr>
        <w:tab/>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Committee’s</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Determination</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Non-Debtor</w:t>
      </w:r>
      <w:r>
        <w:rPr>
          <w:b/>
          <w:bCs/>
        </w:rPr>
        <w:t xml:space="preserve"> </w:t>
      </w:r>
      <w:r>
        <w:rPr>
          <w:b/>
          <w:bCs/>
        </w:rPr>
        <w:t xml:space="preserve">Defendants’</w:t>
      </w:r>
      <w:r>
        <w:rPr>
          <w:b/>
          <w:bCs/>
        </w:rPr>
        <w:t xml:space="preserve"> </w:t>
      </w:r>
      <w:r>
        <w:rPr>
          <w:b/>
          <w:bCs/>
        </w:rPr>
        <w:t xml:space="preserve">Property</w:t>
      </w:r>
      <w:r>
        <w:rPr>
          <w:b/>
          <w:bCs/>
        </w:rPr>
        <w:t xml:space="preserve"> </w:t>
      </w:r>
      <w:r>
        <w:rPr>
          <w:b/>
          <w:bCs/>
        </w:rPr>
        <w:t xml:space="preserve">is</w:t>
      </w:r>
      <w:r>
        <w:rPr>
          <w:b/>
          <w:bCs/>
        </w:rPr>
        <w:t xml:space="preserve"> </w:t>
      </w:r>
      <w:r>
        <w:rPr>
          <w:b/>
          <w:bCs/>
        </w:rPr>
        <w:t xml:space="preserve">Property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Debtor’s</w:t>
      </w:r>
      <w:r>
        <w:rPr>
          <w:b/>
          <w:bCs/>
        </w:rPr>
        <w:t xml:space="preserve"> </w:t>
      </w:r>
      <w:r>
        <w:rPr>
          <w:b/>
          <w:bCs/>
        </w:rPr>
        <w:t xml:space="preserve">Bankruptcy</w:t>
      </w:r>
      <w:r>
        <w:rPr>
          <w:b/>
          <w:bCs/>
        </w:rPr>
        <w:t xml:space="preserve"> </w:t>
      </w:r>
      <w:r>
        <w:rPr>
          <w:b/>
          <w:bCs/>
        </w:rPr>
        <w:t xml:space="preserve">Estate</w:t>
      </w:r>
      <w:r>
        <w:rPr>
          <w:b/>
          <w:bCs/>
        </w:rPr>
        <w:t xml:space="preserve"> </w:t>
      </w:r>
      <w:r>
        <w:rPr>
          <w:b/>
          <w:bCs/>
        </w:rPr>
        <w:t xml:space="preserve">(Count</w:t>
      </w:r>
      <w:r>
        <w:rPr>
          <w:b/>
          <w:bCs/>
        </w:rPr>
        <w:t xml:space="preserve"> </w:t>
      </w:r>
      <w:r>
        <w:rPr>
          <w:b/>
          <w:bCs/>
        </w:rPr>
        <w:t xml:space="preserve">1)</w:t>
      </w:r>
    </w:p>
    <w:p>
      <w:pPr>
        <w:pStyle w:val="BodyText"/>
      </w:pPr>
      <w:r>
        <w:t xml:space="preserve">To the extent the Committee asserts this claim solely for the purpose of determining which property, if any, would be subject to substantive consolidation, this claim fails because the Committee’s claim for substantive consolidation fails for the reasons stated above.</w:t>
      </w:r>
    </w:p>
    <w:p>
      <w:pPr>
        <w:pStyle w:val="BodyText"/>
      </w:pPr>
      <w:r>
        <w:t xml:space="preserve">As a stand-alone cause of action, this claim too must fail because it lacks a cognizable legal theory and sufficient facts to support a claim for relief. First, this style of bare bones pleading long been rejected by Ninth Circuit courts because it fails to apprise the Non-Debtor Defendants of the claim against them sufficient to prepare a defense.</w:t>
      </w:r>
      <w:r>
        <w:t xml:space="preserve"> </w:t>
      </w:r>
      <w:r>
        <w:rPr>
          <w:i/>
          <w:iCs/>
        </w:rPr>
        <w:t xml:space="preserve">See, e.g.</w:t>
      </w:r>
      <w:r>
        <w:t xml:space="preserve">,</w:t>
      </w:r>
      <w:r>
        <w:t xml:space="preserve"> </w:t>
      </w:r>
      <w:r>
        <w:rPr>
          <w:i/>
          <w:iCs/>
        </w:rPr>
        <w:t xml:space="preserve">McHenry</w:t>
      </w:r>
      <w:r>
        <w:rPr>
          <w:i/>
          <w:iCs/>
        </w:rPr>
        <w:t xml:space="preserve"> </w:t>
      </w:r>
      <w:r>
        <w:rPr>
          <w:i/>
          <w:iCs/>
        </w:rPr>
        <w:t xml:space="preserve">v. Renne</w:t>
      </w:r>
      <w:r>
        <w:t xml:space="preserve">, 84 F.3d 1172, 1179 (9th Cir. 1996) (To comply with Rule</w:t>
      </w:r>
      <w:r>
        <w:t xml:space="preserve"> </w:t>
      </w:r>
      <w:r>
        <w:t xml:space="preserve">8, a complaint should clearly and fully set forth “who is being sued, for what relief, and on what theory, with enough detail to guide discovery”). Second, the Committee’s blanket request to determine that the Non-Debtor Defendants’ property constitutes property of the Debtor’s estate under section</w:t>
      </w:r>
      <w:r>
        <w:t xml:space="preserve"> </w:t>
      </w:r>
      <w:r>
        <w:t xml:space="preserve">541 of the Bankruptcy Code is not a cognizable claim for relief. Although a declaratory relief action may implicate and even require application of § 541, that section “defines property of the estate, but does not create a right to relief. It, therefore, follows that an action to enforce a right thereunder cannot exist.”</w:t>
      </w:r>
      <w:r>
        <w:t xml:space="preserve"> </w:t>
      </w:r>
      <w:r>
        <w:rPr>
          <w:i/>
          <w:iCs/>
        </w:rPr>
        <w:t xml:space="preserve">Stokes</w:t>
      </w:r>
      <w:r>
        <w:rPr>
          <w:i/>
          <w:iCs/>
        </w:rPr>
        <w:t xml:space="preserve"> </w:t>
      </w:r>
      <w:r>
        <w:rPr>
          <w:i/>
          <w:iCs/>
        </w:rPr>
        <w:t xml:space="preserve">v. Duncan (In re Stokes)</w:t>
      </w:r>
      <w:r>
        <w:t xml:space="preserve">, 2013 WL 5313412, at *6 (B.A.P. 9th Cir. Sept. 23, 2013) (vacating and remanding bankruptcy court’s denial of motion to dismiss a claim for declaratory relief under section 541 of the Bankruptcy Code on the ground that it lacked jurisdiction over the property at issue);</w:t>
      </w:r>
      <w:r>
        <w:t xml:space="preserve"> </w:t>
      </w:r>
      <w:r>
        <w:rPr>
          <w:i/>
          <w:iCs/>
        </w:rPr>
        <w:t xml:space="preserve">see also</w:t>
      </w:r>
      <w:r>
        <w:t xml:space="preserve"> </w:t>
      </w:r>
      <w:r>
        <w:rPr>
          <w:i/>
          <w:iCs/>
        </w:rPr>
        <w:t xml:space="preserve">In</w:t>
      </w:r>
      <w:r>
        <w:rPr>
          <w:i/>
          <w:iCs/>
        </w:rPr>
        <w:t xml:space="preserve"> </w:t>
      </w:r>
      <w:r>
        <w:rPr>
          <w:i/>
          <w:iCs/>
        </w:rPr>
        <w:t xml:space="preserve">re Jackson</w:t>
      </w:r>
      <w:r>
        <w:t xml:space="preserve">, 548 B.R. 353, 380 (Bankr. N.D. Ga. 2016) (in rejecting the plaintiff’s stand-alone claim for a determination that the debtor and the estate lacked an interest in property subject to a constructive trust, the court reasoned that “[s]ection 541 defines property but it does not create a cause of action to determine what is and what is not estate property”);</w:t>
      </w:r>
      <w:r>
        <w:t xml:space="preserve"> </w:t>
      </w:r>
      <w:r>
        <w:rPr>
          <w:i/>
          <w:iCs/>
        </w:rPr>
        <w:t xml:space="preserve">see also</w:t>
      </w:r>
      <w:r>
        <w:t xml:space="preserve"> </w:t>
      </w:r>
      <w:r>
        <w:rPr>
          <w:i/>
          <w:iCs/>
        </w:rPr>
        <w:t xml:space="preserve">Butler</w:t>
      </w:r>
      <w:r>
        <w:rPr>
          <w:i/>
          <w:iCs/>
        </w:rPr>
        <w:t xml:space="preserve"> </w:t>
      </w:r>
      <w:r>
        <w:rPr>
          <w:i/>
          <w:iCs/>
        </w:rPr>
        <w:t xml:space="preserve">v. Candlewood Rd. Partners, LLC (In re Raymond)</w:t>
      </w:r>
      <w:r>
        <w:t xml:space="preserve">, 529 B.R. 455, 470 (Bankr. D. Mass. 2015) (“section 541 of the Bankruptcy Code implicates trustees’ duties under 11 U.S.C. § 704(a) to collect and reduce to money property of the estate, but it does not provide, in and of itself, a substantive claim for relief, absent invocation of the trustee’s so-called ‘strong arm’ powers under 11 U.S.C. §§ 544-⁠551 or 11 U.S.C. § 542.”);</w:t>
      </w:r>
      <w:r>
        <w:t xml:space="preserve"> </w:t>
      </w:r>
      <w:r>
        <w:rPr>
          <w:i/>
          <w:iCs/>
        </w:rPr>
        <w:t xml:space="preserve">cf.</w:t>
      </w:r>
      <w:r>
        <w:t xml:space="preserve"> </w:t>
      </w:r>
      <w:r>
        <w:t xml:space="preserve">Fed.</w:t>
      </w:r>
      <w:r>
        <w:t xml:space="preserve"> </w:t>
      </w:r>
      <w:r>
        <w:t xml:space="preserve">R. Bankr. P. 7001(9) (a proceeding to obtain a declaratory judgment is properly brought as an adversary proceeding with respect to 8 categories of relief, none of which refer to a determination of property of the estate under section 541 of the Bankruptcy Code). Third, the Committee does not allege any facts that the Debtor holds legal or equitable title to any of the Non-Debtor Defendants’ respective property under applicable law. 11</w:t>
      </w:r>
      <w:r>
        <w:t xml:space="preserve"> </w:t>
      </w:r>
      <w:r>
        <w:t xml:space="preserve">U.S.C. § 541(a)⁠(2) (defining property of the estate as “all legal or equitable interests of the debtor in property as of the commencement of the [bankruptcy] case.”);</w:t>
      </w:r>
      <w:r>
        <w:t xml:space="preserve"> </w:t>
      </w:r>
      <w:r>
        <w:rPr>
          <w:i/>
          <w:iCs/>
        </w:rPr>
        <w:t xml:space="preserve">Butner</w:t>
      </w:r>
      <w:r>
        <w:rPr>
          <w:i/>
          <w:iCs/>
        </w:rPr>
        <w:t xml:space="preserve"> </w:t>
      </w:r>
      <w:r>
        <w:rPr>
          <w:i/>
          <w:iCs/>
        </w:rPr>
        <w:t xml:space="preserve">v. U.S.</w:t>
      </w:r>
      <w:r>
        <w:t xml:space="preserve">, 440 U.S. 48, 55 (1979) (“Property interests are created and defined by state law.”). Fourth, to the extent that the Committee is attempting to assert an alter ego claim, such a claim does not exist under federal or California law.</w:t>
      </w:r>
      <w:r>
        <w:t xml:space="preserve"> </w:t>
      </w:r>
      <w:r>
        <w:rPr>
          <w:i/>
          <w:iCs/>
        </w:rPr>
        <w:t xml:space="preserve">Pattern</w:t>
      </w:r>
      <w:r>
        <w:rPr>
          <w:i/>
          <w:iCs/>
        </w:rPr>
        <w:t xml:space="preserve"> </w:t>
      </w:r>
      <w:r>
        <w:rPr>
          <w:i/>
          <w:iCs/>
        </w:rPr>
        <w:t xml:space="preserve">Design LLC v. We Are Sechey Inc.</w:t>
      </w:r>
      <w:r>
        <w:t xml:space="preserve">, 2024 WL 4369668, at *2 (N.D. Cal. Oct. 1, 2024) (dismissing under Rule 12(b)⁠(6) claim for alter ego “to the extent it is pleaded as an independent cause of action rather than a theory of liability.”). Therefore, it cannot form the basis for the Committee’s claim for relief.</w:t>
      </w:r>
    </w:p>
    <w:p>
      <w:pPr>
        <w:keepNext/>
        <w:keepLines/>
        <w:spacing w:before="240" w:after="240" w:line="240" w:lineRule="exact"/>
        <w:ind w:left="720" w:hanging="720"/>
        <w:jc w:val="left"/>
      </w:pPr>
      <w:r>
        <w:rPr>
          <w:b/>
          <w:bCs/>
        </w:rPr>
        <w:t xml:space="preserve">V.</w:t>
      </w:r>
      <w:r>
        <w:rPr>
          <w:b/>
          <w:bCs/>
        </w:rPr>
        <w:tab/>
      </w:r>
      <w:r>
        <w:rPr>
          <w:b/>
          <w:bCs/>
        </w:rPr>
        <w:t xml:space="preserve">Conclusion</w:t>
      </w:r>
    </w:p>
    <w:p>
      <w:pPr>
        <w:pStyle w:val="BodyTextKeep"/>
      </w:pPr>
      <w:r>
        <w:t xml:space="preserve">For the foregoing reasons, the Non-Debtor Defendants respectfully request that their Motion to dismiss the Complaint for failure to state a claim for relief under Rule 12(b)⁠(6) be granted with respect to all of the claims asserted in the Complaint.</w:t>
      </w:r>
    </w:p>
    <w:p>
      <w:pPr>
        <w:keepNext/>
        <w:keepLines/>
        <w:spacing w:before="0" w:after="0" w:line="48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032"/>
        <w:gridCol w:w="4608"/>
      </w:tblGrid>
      <w:tr>
        <w:trPr>
          <w:cantSplit/>
        </w:trPr>
        <w:tc>
          <w:tcPr>
            <w:tcW w:w="4032" w:type="dxa"/>
          </w:tcPr>
          <w:p>
            <w:pPr>
              <w:spacing w:before="0" w:after="0" w:line="240" w:lineRule="exact"/>
              <w:ind w:left="0" w:firstLine="0"/>
              <w:jc w:val="left"/>
            </w:pPr>
            <w:r>
              <w:t xml:space="preserve">Dated:</w:t>
            </w:r>
            <w:r>
              <w:t xml:space="preserve"> </w:t>
            </w:r>
            <w:r>
              <w:t xml:space="preserve">January</w:t>
            </w:r>
            <w:r>
              <w:t xml:space="preserve"> </w:t>
            </w:r>
            <w:r>
              <w:t xml:space="preserve">24,</w:t>
            </w:r>
            <w:r>
              <w:t xml:space="preserve"> </w:t>
            </w:r>
            <w:r>
              <w:t xml:space="preserve">2024</w:t>
            </w:r>
          </w:p>
        </w:tc>
        <w:tc>
          <w:tcPr>
            <w:tcW w:w="4608" w:type="dxa"/>
          </w:tcPr>
          <w:p>
            <w:pPr>
              <w:spacing w:before="0" w:after="0" w:line="240" w:lineRule="exact"/>
              <w:ind w:left="0" w:firstLine="0"/>
              <w:jc w:val="left"/>
            </w:pPr>
            <w:r>
              <w:t xml:space="preserve">REBECCA</w:t>
            </w:r>
            <w:r>
              <w:t xml:space="preserve"> </w:t>
            </w:r>
            <w:r>
              <w:t xml:space="preserve">J.</w:t>
            </w:r>
            <w:r>
              <w:t xml:space="preserve"> </w:t>
            </w:r>
            <w:r>
              <w:t xml:space="preserve">WINTHROP</w:t>
            </w:r>
          </w:p>
          <w:p>
            <w:pPr>
              <w:spacing w:before="0" w:after="0" w:line="240" w:lineRule="exact"/>
              <w:ind w:left="0" w:firstLine="0"/>
              <w:jc w:val="left"/>
            </w:pPr>
            <w:r>
              <w:t xml:space="preserve">RYAN</w:t>
            </w:r>
            <w:r>
              <w:t xml:space="preserve"> </w:t>
            </w:r>
            <w:r>
              <w:t xml:space="preserve">E.</w:t>
            </w:r>
            <w:r>
              <w:t xml:space="preserve"> </w:t>
            </w:r>
            <w:r>
              <w:t xml:space="preserve">MANNS</w:t>
            </w:r>
            <w:r>
              <w:t xml:space="preserve"> </w:t>
            </w:r>
            <w:r>
              <w:t xml:space="preserve">(pro</w:t>
            </w:r>
            <w:r>
              <w:t xml:space="preserve"> </w:t>
            </w:r>
            <w:r>
              <w:t xml:space="preserve">hac</w:t>
            </w:r>
            <w:r>
              <w:t xml:space="preserve"> </w:t>
            </w:r>
            <w:r>
              <w:t xml:space="preserve">vice)</w:t>
            </w:r>
          </w:p>
          <w:p>
            <w:pPr>
              <w:spacing w:before="0" w:after="0" w:line="240" w:lineRule="exact"/>
              <w:ind w:left="0" w:firstLine="0"/>
              <w:jc w:val="left"/>
            </w:pPr>
            <w:r>
              <w:t xml:space="preserve">JASON</w:t>
            </w:r>
            <w:r>
              <w:t xml:space="preserve"> </w:t>
            </w:r>
            <w:r>
              <w:t xml:space="preserve">I.</w:t>
            </w:r>
            <w:r>
              <w:t xml:space="preserve"> </w:t>
            </w:r>
            <w:r>
              <w:t xml:space="preserve">BLANCHARD</w:t>
            </w:r>
            <w:r>
              <w:t xml:space="preserve"> </w:t>
            </w:r>
            <w:r>
              <w:t xml:space="preserve">(pro</w:t>
            </w:r>
            <w:r>
              <w:t xml:space="preserve"> </w:t>
            </w:r>
            <w:r>
              <w:t xml:space="preserve">hac</w:t>
            </w:r>
            <w:r>
              <w:t xml:space="preserve"> </w:t>
            </w:r>
            <w:r>
              <w:t xml:space="preserve">vice</w:t>
            </w:r>
            <w:r>
              <w:t xml:space="preserve"> </w:t>
            </w:r>
            <w:r>
              <w:t xml:space="preserve">forthcoming)</w:t>
            </w:r>
          </w:p>
          <w:p>
            <w:pPr>
              <w:spacing w:before="0" w:after="0" w:line="240" w:lineRule="exact"/>
              <w:ind w:left="0" w:firstLine="0"/>
              <w:jc w:val="left"/>
            </w:pPr>
            <w:r>
              <w:t xml:space="preserve">NORTON</w:t>
            </w:r>
            <w:r>
              <w:t xml:space="preserve"> </w:t>
            </w:r>
            <w:r>
              <w:t xml:space="preserve">ROSE</w:t>
            </w:r>
            <w:r>
              <w:t xml:space="preserve"> </w:t>
            </w:r>
            <w:r>
              <w:t xml:space="preserve">FULBRIGHT</w:t>
            </w:r>
            <w:r>
              <w:t xml:space="preserve"> </w:t>
            </w:r>
            <w:r>
              <w:t xml:space="preserve">US</w:t>
            </w:r>
            <w:r>
              <w:t xml:space="preserve"> </w:t>
            </w:r>
            <w:r>
              <w:t xml:space="preserve">LLP</w:t>
            </w:r>
          </w:p>
          <w:p>
            <w:pPr>
              <w:spacing w:before="480" w:after="0" w:line="240" w:lineRule="exact"/>
              <w:ind w:left="0" w:firstLine="0"/>
              <w:jc w:val="left"/>
            </w:pPr>
            <w:r>
              <w:t xml:space="preserve">By:</w:t>
            </w:r>
            <w:r>
              <w:t xml:space="preserve"> ⁠</w:t>
            </w:r>
            <w:r>
              <w:t xml:space="preserve">/s/</w:t>
            </w:r>
            <w:r>
              <w:t xml:space="preserve"> </w:t>
            </w:r>
            <w:r>
              <w:t xml:space="preserve">Rebecca</w:t>
            </w:r>
            <w:r>
              <w:t xml:space="preserve"> </w:t>
            </w:r>
            <w:r>
              <w:t xml:space="preserve">J.</w:t>
            </w:r>
            <w:r>
              <w:t xml:space="preserve"> </w:t>
            </w:r>
            <w:r>
              <w:t xml:space="preserve">Winthrop</w:t>
            </w:r>
          </w:p>
          <w:p>
            <w:pPr>
              <w:spacing w:before="0" w:after="0" w:line="240" w:lineRule="exact"/>
              <w:ind w:left="0" w:firstLine="0"/>
              <w:jc w:val="left"/>
            </w:pPr>
            <w:r>
              <w:t xml:space="preserve">REBECCA</w:t>
            </w:r>
            <w:r>
              <w:t xml:space="preserve"> </w:t>
            </w:r>
            <w:r>
              <w:t xml:space="preserve">J.</w:t>
            </w:r>
            <w:r>
              <w:t xml:space="preserve"> </w:t>
            </w:r>
            <w:r>
              <w:t xml:space="preserve">WINTHROP</w:t>
            </w:r>
          </w:p>
          <w:p>
            <w:pPr>
              <w:spacing w:before="0" w:after="0" w:line="240" w:lineRule="exact"/>
              <w:ind w:left="0" w:firstLine="0"/>
              <w:jc w:val="left"/>
            </w:pPr>
            <w:r>
              <w:t xml:space="preserve">Attorneys</w:t>
            </w:r>
            <w:r>
              <w:t xml:space="preserve"> </w:t>
            </w:r>
            <w:r>
              <w:t xml:space="preserve">for</w:t>
            </w:r>
            <w:r>
              <w:t xml:space="preserve"> </w:t>
            </w:r>
            <w:r>
              <w:t xml:space="preserve">Roman</w:t>
            </w:r>
            <w:r>
              <w:t xml:space="preserve"> </w:t>
            </w:r>
            <w:r>
              <w:t xml:space="preserve">Catholic</w:t>
            </w:r>
            <w:r>
              <w:t xml:space="preserve"> </w:t>
            </w:r>
            <w:r>
              <w:t xml:space="preserve">Welfare</w:t>
            </w:r>
            <w:r>
              <w:t xml:space="preserve"> </w:t>
            </w:r>
            <w:r>
              <w:t xml:space="preserve">Corporation</w:t>
            </w:r>
            <w:r>
              <w:t xml:space="preserve"> </w:t>
            </w:r>
            <w:r>
              <w:t xml:space="preserve">of</w:t>
            </w:r>
            <w:r>
              <w:t xml:space="preserve"> </w:t>
            </w:r>
            <w:r>
              <w:t xml:space="preserve">Oakland,</w:t>
            </w:r>
            <w:r>
              <w:t xml:space="preserve"> </w:t>
            </w:r>
            <w:r>
              <w:t xml:space="preserve">Roman</w:t>
            </w:r>
            <w:r>
              <w:t xml:space="preserve"> </w:t>
            </w:r>
            <w:r>
              <w:t xml:space="preserve">Catholic</w:t>
            </w:r>
            <w:r>
              <w:t xml:space="preserve"> </w:t>
            </w:r>
            <w:r>
              <w:t xml:space="preserve">Cemeteries</w:t>
            </w:r>
            <w:r>
              <w:t xml:space="preserve"> </w:t>
            </w:r>
            <w:r>
              <w:t xml:space="preserve">of</w:t>
            </w:r>
            <w:r>
              <w:t xml:space="preserve"> </w:t>
            </w:r>
            <w:r>
              <w:t xml:space="preserve">the</w:t>
            </w:r>
            <w:r>
              <w:t xml:space="preserve"> </w:t>
            </w:r>
            <w:r>
              <w:t xml:space="preserve">Diocese</w:t>
            </w:r>
            <w:r>
              <w:t xml:space="preserve"> </w:t>
            </w:r>
            <w:r>
              <w:t xml:space="preserve">of</w:t>
            </w:r>
            <w:r>
              <w:t xml:space="preserve"> </w:t>
            </w:r>
            <w:r>
              <w:t xml:space="preserve">Oakland,</w:t>
            </w:r>
            <w:r>
              <w:t xml:space="preserve"> </w:t>
            </w:r>
            <w:r>
              <w:t xml:space="preserve">and</w:t>
            </w:r>
            <w:r>
              <w:t xml:space="preserve"> </w:t>
            </w:r>
            <w:r>
              <w:t xml:space="preserve">Adventus</w:t>
            </w:r>
          </w:p>
        </w:tc>
      </w:tr>
    </w:tbl>
    <w:sectPr>
      <w:headerReference w:type="default" r:id="rIdXdPleading"/>
      <w:footerReference w:type="default" r:id="rIdXdPage"/>
      <w:pgSz w:w="12240" w:h="15840"/>
      <w:pgMar w:top="1200" w:right="1440" w:bottom="1200" w:left="2160" w:header="720" w:footer="16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30" w:lineRule="exact"/>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Unless stated otherwise, the summary below is based on the non-conclusory factual allegations in the Complaint, which the Non-Debtor Defendants have assumed to be true solely for the purpose of the Motion, the documents incorporated by reference in the Complaint, which the Non-Debtor Defendants have attached to the Declaration of Ryan E. Manns filed concurrently herewith, and matters of which this Court may take judicial notice.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30" w:lineRule="exact"/>
      <w:jc w:val="center"/>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p>
    <w:pPr>
      <w:spacing w:before="0" w:after="0" w:line="230" w:lineRule="exact"/>
      <w:jc w:val="center"/>
    </w:pPr>
    <w:r>
      <w:rPr>
        <w:sz w:val="20"/>
        <w:szCs w:val="20"/>
      </w:rPr>
      <w:t xml:space="preserve">MOTION</w:t>
    </w:r>
    <w:r>
      <w:rPr>
        <w:sz w:val="20"/>
        <w:szCs w:val="20"/>
      </w:rPr>
      <w:t xml:space="preserve"> </w:t>
    </w:r>
    <w:r>
      <w:rPr>
        <w:sz w:val="20"/>
        <w:szCs w:val="20"/>
      </w:rPr>
      <w:t xml:space="preserve">TO</w:t>
    </w:r>
    <w:r>
      <w:rPr>
        <w:sz w:val="20"/>
        <w:szCs w:val="20"/>
      </w:rPr>
      <w:t xml:space="preserve"> </w:t>
    </w:r>
    <w:r>
      <w:rPr>
        <w:sz w:val="20"/>
        <w:szCs w:val="20"/>
      </w:rPr>
      <w:t xml:space="preserve">DISMISS</w:t>
    </w:r>
    <w:r>
      <w:rPr>
        <w:sz w:val="20"/>
        <w:szCs w:val="20"/>
      </w:rPr>
      <w:t xml:space="preserve"> </w:t>
    </w:r>
    <w:r>
      <w:rPr>
        <w:sz w:val="20"/>
        <w:szCs w:val="20"/>
      </w:rPr>
      <w:t xml:space="preserve">COMPLAINT</w:t>
    </w:r>
  </w:p>
</w:ftr>
</file>

<file path=word/ftr-own2.xml><?xml version="1.0" encoding="utf-8"?>
<w:ftr xmlns:w="http://schemas.openxmlformats.org/wordprocessingml/2006/main" xmlns:r="http://schemas.openxmlformats.org/officeDocument/2006/relationships">
  <w:p>
    <w:pPr>
      <w:spacing w:before="0" w:after="0" w:line="230"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hdr-own1.xml><?xml version="1.0" encoding="utf-8"?>
<w:hdr xmlns:w="http://schemas.openxmlformats.org/wordprocessingml/2006/main" xmlns:r="http://schemas.openxmlformats.org/officeDocument/2006/relationships">
  <w:p>
    <w:pPr>
      <w:spacing w:before="0" w:after="0" w:line="20" w:lineRule="exact"/>
    </w:pPr>
    <w:r>
      <w:drawing xmlns:wp="http://schemas.openxmlformats.org/drawingml/2006/wordprocessingDrawing">
        <wp:anchor distT="0" distB="0" distL="0" distR="0" simplePos="0" relativeHeight="1" behindDoc="1" locked="1" layoutInCell="1" allowOverlap="1">
          <wp:simplePos x="0" y="0"/>
          <wp:positionH relativeFrom="page">
            <wp:posOffset>0</wp:posOffset>
          </wp:positionH>
          <wp:positionV relativeFrom="page">
            <wp:posOffset>762000</wp:posOffset>
          </wp:positionV>
          <wp:extent cx="914400" cy="8534400"/>
          <wp:effectExtent l="0" t="0" r="0" b="0"/>
          <wp:wrapNone/>
          <wp:docPr id="9911" name="Pleading line numbers"/>
          <wp:cNvGraphicFramePr/>
          <a:graphic xmlns:a="http://schemas.openxmlformats.org/drawingml/2006/main">
            <a:graphicData uri="http://schemas.microsoft.com/office/word/2010/wordprocessingShape">
              <wps:wsp xmlns:wps="http://schemas.microsoft.com/office/word/2010/wordprocessingShape">
                <wps:cNvSpPr txBox="1"/>
                <wps:spPr>
                  <a:xfrm>
                    <a:off x="0" y="0"/>
                    <a:ext cx="914400" cy="8534400"/>
                  </a:xfrm>
                  <a:prstGeom prst="rect">
                    <a:avLst/>
                  </a:prstGeom>
                  <a:noFill/>
                  <a:ln>
                    <a:noFill/>
                  </a:ln>
                </wps:spPr>
                <wps:txbx>
                  <w:txbxContent>
                    <w:p>
                      <w:pPr>
                        <w:spacing w:before="0" w:after="0" w:line="480" w:lineRule="exact"/>
                        <w:ind w:left="0" w:right="0" w:firstLine="0"/>
                        <w:jc w:val="right"/>
                      </w:pPr>
                      <w:r>
                        <w:rPr>
                          <w:sz w:val="24"/>
                          <w:szCs w:val="24"/>
                        </w:rPr>
                        <w:t>1</w:t>
                      </w:r>
                    </w:p>
                    <w:p>
                      <w:pPr>
                        <w:spacing w:before="0" w:after="0" w:line="480" w:lineRule="exact"/>
                        <w:ind w:left="0" w:right="0" w:firstLine="0"/>
                        <w:jc w:val="right"/>
                      </w:pPr>
                      <w:r>
                        <w:rPr>
                          <w:sz w:val="24"/>
                          <w:szCs w:val="24"/>
                        </w:rPr>
                        <w:t>2</w:t>
                      </w:r>
                    </w:p>
                    <w:p>
                      <w:pPr>
                        <w:spacing w:before="0" w:after="0" w:line="480" w:lineRule="exact"/>
                        <w:ind w:left="0" w:right="0" w:firstLine="0"/>
                        <w:jc w:val="right"/>
                      </w:pPr>
                      <w:r>
                        <w:rPr>
                          <w:sz w:val="24"/>
                          <w:szCs w:val="24"/>
                        </w:rPr>
                        <w:t>3</w:t>
                      </w:r>
                    </w:p>
                    <w:p>
                      <w:pPr>
                        <w:spacing w:before="0" w:after="0" w:line="480" w:lineRule="exact"/>
                        <w:ind w:left="0" w:right="0" w:firstLine="0"/>
                        <w:jc w:val="right"/>
                      </w:pPr>
                      <w:r>
                        <w:rPr>
                          <w:sz w:val="24"/>
                          <w:szCs w:val="24"/>
                        </w:rPr>
                        <w:t>4</w:t>
                      </w:r>
                    </w:p>
                    <w:p>
                      <w:pPr>
                        <w:spacing w:before="0" w:after="0" w:line="480" w:lineRule="exact"/>
                        <w:ind w:left="0" w:right="0" w:firstLine="0"/>
                        <w:jc w:val="right"/>
                      </w:pPr>
                      <w:r>
                        <w:rPr>
                          <w:sz w:val="24"/>
                          <w:szCs w:val="24"/>
                        </w:rPr>
                        <w:t>5</w:t>
                      </w:r>
                    </w:p>
                    <w:p>
                      <w:pPr>
                        <w:spacing w:before="0" w:after="0" w:line="480" w:lineRule="exact"/>
                        <w:ind w:left="0" w:right="0" w:firstLine="0"/>
                        <w:jc w:val="right"/>
                      </w:pPr>
                      <w:r>
                        <w:rPr>
                          <w:sz w:val="24"/>
                          <w:szCs w:val="24"/>
                        </w:rPr>
                        <w:t>6</w:t>
                      </w:r>
                    </w:p>
                    <w:p>
                      <w:pPr>
                        <w:spacing w:before="0" w:after="0" w:line="480" w:lineRule="exact"/>
                        <w:ind w:left="0" w:right="0" w:firstLine="0"/>
                        <w:jc w:val="right"/>
                      </w:pPr>
                      <w:r>
                        <w:rPr>
                          <w:sz w:val="24"/>
                          <w:szCs w:val="24"/>
                        </w:rPr>
                        <w:t>7</w:t>
                      </w:r>
                    </w:p>
                    <w:p>
                      <w:pPr>
                        <w:spacing w:before="0" w:after="0" w:line="480" w:lineRule="exact"/>
                        <w:ind w:left="0" w:right="0" w:firstLine="0"/>
                        <w:jc w:val="right"/>
                      </w:pPr>
                      <w:r>
                        <w:rPr>
                          <w:sz w:val="24"/>
                          <w:szCs w:val="24"/>
                        </w:rPr>
                        <w:t>8</w:t>
                      </w:r>
                    </w:p>
                    <w:p>
                      <w:pPr>
                        <w:spacing w:before="0" w:after="0" w:line="480" w:lineRule="exact"/>
                        <w:ind w:left="0" w:right="0" w:firstLine="0"/>
                        <w:jc w:val="right"/>
                      </w:pPr>
                      <w:r>
                        <w:rPr>
                          <w:sz w:val="24"/>
                          <w:szCs w:val="24"/>
                        </w:rPr>
                        <w:t>9</w:t>
                      </w:r>
                    </w:p>
                    <w:p>
                      <w:pPr>
                        <w:spacing w:before="0" w:after="0" w:line="480" w:lineRule="exact"/>
                        <w:ind w:left="0" w:right="0" w:firstLine="0"/>
                        <w:jc w:val="right"/>
                      </w:pPr>
                      <w:r>
                        <w:rPr>
                          <w:sz w:val="24"/>
                          <w:szCs w:val="24"/>
                        </w:rPr>
                        <w:t>10</w:t>
                      </w:r>
                    </w:p>
                    <w:p>
                      <w:pPr>
                        <w:spacing w:before="0" w:after="0" w:line="480" w:lineRule="exact"/>
                        <w:ind w:left="0" w:right="0" w:firstLine="0"/>
                        <w:jc w:val="right"/>
                      </w:pPr>
                      <w:r>
                        <w:rPr>
                          <w:sz w:val="24"/>
                          <w:szCs w:val="24"/>
                        </w:rPr>
                        <w:t>11</w:t>
                      </w:r>
                    </w:p>
                    <w:p>
                      <w:pPr>
                        <w:spacing w:before="0" w:after="0" w:line="480" w:lineRule="exact"/>
                        <w:ind w:left="0" w:right="0" w:firstLine="0"/>
                        <w:jc w:val="right"/>
                      </w:pPr>
                      <w:r>
                        <w:rPr>
                          <w:sz w:val="24"/>
                          <w:szCs w:val="24"/>
                        </w:rPr>
                        <w:t>12</w:t>
                      </w:r>
                    </w:p>
                    <w:p>
                      <w:pPr>
                        <w:spacing w:before="0" w:after="0" w:line="480" w:lineRule="exact"/>
                        <w:ind w:left="0" w:right="0" w:firstLine="0"/>
                        <w:jc w:val="right"/>
                      </w:pPr>
                      <w:r>
                        <w:rPr>
                          <w:sz w:val="24"/>
                          <w:szCs w:val="24"/>
                        </w:rPr>
                        <w:t>13</w:t>
                      </w:r>
                    </w:p>
                    <w:p>
                      <w:pPr>
                        <w:spacing w:before="0" w:after="0" w:line="480" w:lineRule="exact"/>
                        <w:ind w:left="0" w:right="0" w:firstLine="0"/>
                        <w:jc w:val="right"/>
                      </w:pPr>
                      <w:r>
                        <w:rPr>
                          <w:sz w:val="24"/>
                          <w:szCs w:val="24"/>
                        </w:rPr>
                        <w:t>14</w:t>
                      </w:r>
                    </w:p>
                    <w:p>
                      <w:pPr>
                        <w:spacing w:before="0" w:after="0" w:line="480" w:lineRule="exact"/>
                        <w:ind w:left="0" w:right="0" w:firstLine="0"/>
                        <w:jc w:val="right"/>
                      </w:pPr>
                      <w:r>
                        <w:rPr>
                          <w:sz w:val="24"/>
                          <w:szCs w:val="24"/>
                        </w:rPr>
                        <w:t>15</w:t>
                      </w:r>
                    </w:p>
                    <w:p>
                      <w:pPr>
                        <w:spacing w:before="0" w:after="0" w:line="480" w:lineRule="exact"/>
                        <w:ind w:left="0" w:right="0" w:firstLine="0"/>
                        <w:jc w:val="right"/>
                      </w:pPr>
                      <w:r>
                        <w:rPr>
                          <w:sz w:val="24"/>
                          <w:szCs w:val="24"/>
                        </w:rPr>
                        <w:t>16</w:t>
                      </w:r>
                    </w:p>
                    <w:p>
                      <w:pPr>
                        <w:spacing w:before="0" w:after="0" w:line="480" w:lineRule="exact"/>
                        <w:ind w:left="0" w:right="0" w:firstLine="0"/>
                        <w:jc w:val="right"/>
                      </w:pPr>
                      <w:r>
                        <w:rPr>
                          <w:sz w:val="24"/>
                          <w:szCs w:val="24"/>
                        </w:rPr>
                        <w:t>17</w:t>
                      </w:r>
                    </w:p>
                    <w:p>
                      <w:pPr>
                        <w:spacing w:before="0" w:after="0" w:line="480" w:lineRule="exact"/>
                        <w:ind w:left="0" w:right="0" w:firstLine="0"/>
                        <w:jc w:val="right"/>
                      </w:pPr>
                      <w:r>
                        <w:rPr>
                          <w:sz w:val="24"/>
                          <w:szCs w:val="24"/>
                        </w:rPr>
                        <w:t>18</w:t>
                      </w:r>
                    </w:p>
                    <w:p>
                      <w:pPr>
                        <w:spacing w:before="0" w:after="0" w:line="480" w:lineRule="exact"/>
                        <w:ind w:left="0" w:right="0" w:firstLine="0"/>
                        <w:jc w:val="right"/>
                      </w:pPr>
                      <w:r>
                        <w:rPr>
                          <w:sz w:val="24"/>
                          <w:szCs w:val="24"/>
                        </w:rPr>
                        <w:t>19</w:t>
                      </w:r>
                    </w:p>
                    <w:p>
                      <w:pPr>
                        <w:spacing w:before="0" w:after="0" w:line="480" w:lineRule="exact"/>
                        <w:ind w:left="0" w:right="0" w:firstLine="0"/>
                        <w:jc w:val="right"/>
                      </w:pPr>
                      <w:r>
                        <w:rPr>
                          <w:sz w:val="24"/>
                          <w:szCs w:val="24"/>
                        </w:rPr>
                        <w:t>20</w:t>
                      </w:r>
                    </w:p>
                    <w:p>
                      <w:pPr>
                        <w:spacing w:before="0" w:after="0" w:line="480" w:lineRule="exact"/>
                        <w:ind w:left="0" w:right="0" w:firstLine="0"/>
                        <w:jc w:val="right"/>
                      </w:pPr>
                      <w:r>
                        <w:rPr>
                          <w:sz w:val="24"/>
                          <w:szCs w:val="24"/>
                        </w:rPr>
                        <w:t>21</w:t>
                      </w:r>
                    </w:p>
                    <w:p>
                      <w:pPr>
                        <w:spacing w:before="0" w:after="0" w:line="480" w:lineRule="exact"/>
                        <w:ind w:left="0" w:right="0" w:firstLine="0"/>
                        <w:jc w:val="right"/>
                      </w:pPr>
                      <w:r>
                        <w:rPr>
                          <w:sz w:val="24"/>
                          <w:szCs w:val="24"/>
                        </w:rPr>
                        <w:t>22</w:t>
                      </w:r>
                    </w:p>
                    <w:p>
                      <w:pPr>
                        <w:spacing w:before="0" w:after="0" w:line="480" w:lineRule="exact"/>
                        <w:ind w:left="0" w:right="0" w:firstLine="0"/>
                        <w:jc w:val="right"/>
                      </w:pPr>
                      <w:r>
                        <w:rPr>
                          <w:sz w:val="24"/>
                          <w:szCs w:val="24"/>
                        </w:rPr>
                        <w:t>23</w:t>
                      </w:r>
                    </w:p>
                    <w:p>
                      <w:pPr>
                        <w:spacing w:before="0" w:after="0" w:line="480" w:lineRule="exact"/>
                        <w:ind w:left="0" w:right="0" w:firstLine="0"/>
                        <w:jc w:val="right"/>
                      </w:pPr>
                      <w:r>
                        <w:rPr>
                          <w:sz w:val="24"/>
                          <w:szCs w:val="24"/>
                        </w:rPr>
                        <w:t>24</w:t>
                      </w:r>
                    </w:p>
                    <w:p>
                      <w:pPr>
                        <w:spacing w:before="0" w:after="0" w:line="480" w:lineRule="exact"/>
                        <w:ind w:left="0" w:right="0" w:firstLine="0"/>
                        <w:jc w:val="right"/>
                      </w:pPr>
                      <w:r>
                        <w:rPr>
                          <w:sz w:val="24"/>
                          <w:szCs w:val="24"/>
                        </w:rPr>
                        <w:t>25</w:t>
                      </w:r>
                    </w:p>
                    <w:p>
                      <w:pPr>
                        <w:spacing w:before="0" w:after="0" w:line="480" w:lineRule="exact"/>
                        <w:ind w:left="0" w:right="0" w:firstLine="0"/>
                        <w:jc w:val="right"/>
                      </w:pPr>
                      <w:r>
                        <w:rPr>
                          <w:sz w:val="24"/>
                          <w:szCs w:val="24"/>
                        </w:rPr>
                        <w:t>26</w:t>
                      </w:r>
                    </w:p>
                    <w:p>
                      <w:pPr>
                        <w:spacing w:before="0" w:after="0" w:line="480" w:lineRule="exact"/>
                        <w:ind w:left="0" w:right="0" w:firstLine="0"/>
                        <w:jc w:val="right"/>
                      </w:pPr>
                      <w:r>
                        <w:rPr>
                          <w:sz w:val="24"/>
                          <w:szCs w:val="24"/>
                        </w:rPr>
                        <w:t>27</w:t>
                      </w:r>
                    </w:p>
                    <w:p>
                      <w:pPr>
                        <w:spacing w:before="0" w:after="0" w:line="480" w:lineRule="exact"/>
                        <w:ind w:left="0" w:right="0" w:firstLine="0"/>
                        <w:jc w:val="right"/>
                      </w:pPr>
                      <w:r>
                        <w:rPr>
                          <w:sz w:val="24"/>
                          <w:szCs w:val="24"/>
                        </w:rPr>
                        <w:t>28</w:t>
                      </w:r>
                    </w:p>
                  </w:txbxContent>
                </wps:txbx>
                <wps:bodyPr rot="0" vert="horz" wrap="square" lIns="0" tIns="0" rIns="0" bIns="0" anchor="t" anchorCtr="0">
                  <a:noAutofit/>
                </wps:bodyPr>
              </wps:wsp>
            </a:graphicData>
          </a:graphic>
        </wp:anchor>
      </w:drawing>
    </w:r>
    <w:r>
      <w:drawing xmlns:wp="http://schemas.openxmlformats.org/drawingml/2006/wordprocessingDrawing">
        <wp:anchor distT="0" distB="0" distL="0" distR="0" simplePos="0" relativeHeight="2" behindDoc="1" locked="1" layoutInCell="1" allowOverlap="1">
          <wp:simplePos x="0" y="0"/>
          <wp:positionH relativeFrom="page">
            <wp:posOffset>1188720</wp:posOffset>
          </wp:positionH>
          <wp:positionV relativeFrom="page">
            <wp:posOffset>0</wp:posOffset>
          </wp:positionV>
          <wp:extent cx="0" cy="10058400"/>
          <wp:effectExtent l="0" t="0" r="0" b="0"/>
          <wp:wrapNone/>
          <wp:docPr id="9912" name="Pleading rule 1"/>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wp:anchor distT="0" distB="0" distL="0" distR="0" simplePos="0" relativeHeight="3" behindDoc="1" locked="1" layoutInCell="1" allowOverlap="1">
          <wp:simplePos x="0" y="0"/>
          <wp:positionH relativeFrom="page">
            <wp:posOffset>1225550</wp:posOffset>
          </wp:positionH>
          <wp:positionV relativeFrom="page">
            <wp:posOffset>0</wp:posOffset>
          </wp:positionV>
          <wp:extent cx="0" cy="10058400"/>
          <wp:effectExtent l="0" t="0" r="0" b="0"/>
          <wp:wrapNone/>
          <wp:docPr id="9913" name="Pleading rule 2"/>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wp:anchor distT="0" distB="0" distL="0" distR="0" simplePos="0" relativeHeight="4" behindDoc="1" locked="1" layoutInCell="1" allowOverlap="1">
          <wp:simplePos x="0" y="0"/>
          <wp:positionH relativeFrom="page">
            <wp:posOffset>6949440</wp:posOffset>
          </wp:positionH>
          <wp:positionV relativeFrom="page">
            <wp:posOffset>0</wp:posOffset>
          </wp:positionV>
          <wp:extent cx="0" cy="10058400"/>
          <wp:effectExtent l="0" t="0" r="0" b="0"/>
          <wp:wrapNone/>
          <wp:docPr id="9914" name="Pleading rule 3"/>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3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3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3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3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3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30" w:lineRule="exact"/>
      <w:ind w:firstLine="0" w:left="720" w:right="720"/>
    </w:pPr>
  </w:style>
  <w:style w:type="paragraph" w:styleId="FootnoteText">
    <w:name w:val="Footnote Text"/>
    <w:basedOn w:val="Normal"/>
    <w:next w:val="FootnoteText"/>
    <w:uiPriority w:val="9"/>
    <w:unhideWhenUsed/>
    <w:qFormat/>
    <w:pPr>
      <w:keepLines/>
      <w:spacing w:before="116" w:after="140" w:line="24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40" w:lineRule="exact"/>
      <w:ind w:left="720" w:right="720" w:firstLine="0"/>
    </w:pPr>
  </w:style>
  <w:style w:type="paragraph" w:customStyle="1" w:styleId="XdQuoteFirst">
    <w:name w:val="Xd Quote First"/>
    <w:basedOn w:val="Normal"/>
    <w:qFormat/>
    <w:pPr>
      <w:spacing w:before="0" w:after="0" w:line="240" w:lineRule="exact"/>
      <w:ind w:left="720" w:right="720" w:firstLine="0"/>
    </w:pPr>
  </w:style>
  <w:style w:type="paragraph" w:customStyle="1" w:styleId="XdQuoteLast">
    <w:name w:val="Xd Quote Last"/>
    <w:basedOn w:val="Normal"/>
    <w:qFormat/>
    <w:pPr>
      <w:spacing w:before="0" w:after="480" w:line="240" w:lineRule="exact"/>
      <w:ind w:left="720" w:right="720" w:firstLine="0"/>
    </w:pPr>
  </w:style>
  <w:style w:type="paragraph" w:customStyle="1" w:styleId="XdQuoteOnly">
    <w:name w:val="Xd Quote Only"/>
    <w:basedOn w:val="Normal"/>
    <w:qFormat/>
    <w:pPr>
      <w:spacing w:before="0" w:after="480" w:line="240" w:lineRule="exact"/>
      <w:ind w:left="720" w:right="720" w:firstLine="0"/>
    </w:pPr>
  </w:style>
  <w:style w:type="paragraph" w:customStyle="1" w:styleId="XdTail">
    <w:name w:val="Xd Tail"/>
    <w:basedOn w:val="Normal"/>
    <w:qFormat/>
    <w:pPr>
      <w:spacing w:before="0" w:after="0" w:line="240"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40" w:lineRule="exact"/>
      <w:ind w:left="720" w:hanging="720"/>
    </w:pPr>
  </w:style>
  <w:style w:type="paragraph" w:customStyle="1" w:styleId="XdTailList2">
    <w:name w:val="XdTailList 2"/>
    <w:basedOn w:val="Normal"/>
    <w:qFormat/>
    <w:pPr>
      <w:spacing w:before="0" w:after="0" w:line="240" w:lineRule="exact"/>
      <w:ind w:left="1440" w:hanging="720"/>
    </w:pPr>
  </w:style>
  <w:style w:type="paragraph" w:customStyle="1" w:styleId="XdTailList3">
    <w:name w:val="XdTailList 3"/>
    <w:basedOn w:val="Normal"/>
    <w:qFormat/>
    <w:pPr>
      <w:spacing w:before="0" w:after="0" w:line="240" w:lineRule="exact"/>
      <w:ind w:left="2160" w:hanging="720"/>
    </w:pPr>
  </w:style>
  <w:style w:type="paragraph" w:customStyle="1" w:styleId="XdQuoteList1">
    <w:name w:val="Xd Quote List 1"/>
    <w:basedOn w:val="Normal"/>
    <w:qFormat/>
    <w:pPr>
      <w:spacing w:before="0" w:after="0" w:line="240" w:lineRule="exact"/>
      <w:ind w:left="1440" w:right="720" w:hanging="720"/>
    </w:pPr>
  </w:style>
  <w:style w:type="paragraph" w:customStyle="1" w:styleId="XdQuoteList2">
    <w:name w:val="Xd Quote List 2"/>
    <w:basedOn w:val="Normal"/>
    <w:qFormat/>
    <w:pPr>
      <w:spacing w:before="0" w:after="0" w:line="240" w:lineRule="exact"/>
      <w:ind w:left="2160" w:right="720" w:hanging="720"/>
    </w:pPr>
  </w:style>
  <w:style w:type="paragraph" w:customStyle="1" w:styleId="XdQuoteList3">
    <w:name w:val="Xd Quote List 3"/>
    <w:basedOn w:val="Normal"/>
    <w:qFormat/>
    <w:pPr>
      <w:spacing w:before="0" w:after="0" w:line="240"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 Type="http://schemas.openxmlformats.org/officeDocument/2006/relationships/header" Id="rIdXdPleading" Target="hd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