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rPr>
          <w:b/>
          <w:bCs/>
        </w:rPr>
        <w:t xml:space="preserve">BAP No. [——–]</w:t>
      </w:r>
    </w:p>
    <w:p>
      <w:pPr>
        <w:pStyle w:val="CoverGap"/>
      </w:pPr>
      <w:r>
        <w:t xml:space="preserve"> </w:t>
      </w:r>
    </w:p>
    <w:p>
      <w:pPr>
        <w:pStyle w:val="DoubleRule"/>
      </w:pPr>
      <w:r>
        <w:t xml:space="preserve"> </w:t>
      </w:r>
    </w:p>
    <w:p>
      <w:pPr>
        <w:pStyle w:val="CoverGap"/>
      </w:pPr>
      <w:r>
        <w:t xml:space="preserve"> </w:t>
      </w:r>
    </w:p>
    <w:p>
      <w:pPr>
        <w:pStyle w:val="CoverCenter"/>
      </w:pPr>
      <w:r>
        <w:rPr>
          <w:b/>
          <w:bCs/>
        </w:rPr>
        <w:t xml:space="preserve">UNITED STATES BANKRUPTCY APPELLATE PANEL FOR THE EIGHTH CIRCUIT</w:t>
      </w:r>
    </w:p>
    <w:p>
      <w:pPr>
        <w:pStyle w:val="CoverGap"/>
      </w:pPr>
      <w:r>
        <w:t xml:space="preserve"> </w:t>
      </w:r>
    </w:p>
    <w:p>
      <w:pPr>
        <w:pStyle w:val="ShortRule"/>
      </w:pPr>
      <w:r>
        <w:t xml:space="preserve"> </w:t>
      </w:r>
    </w:p>
    <w:p>
      <w:pPr>
        <w:pStyle w:val="CoverGap"/>
      </w:pPr>
      <w:r>
        <w:t xml:space="preserve"> </w:t>
      </w:r>
    </w:p>
    <w:p>
      <w:pPr>
        <w:pStyle w:val="CoverCenter"/>
      </w:pPr>
      <w:r>
        <w:t xml:space="preserve">IN RE [DEBTOR NAME],</w:t>
      </w:r>
    </w:p>
    <w:p>
      <w:pPr>
        <w:pStyle w:val="CoverIndent"/>
      </w:pPr>
      <w:r>
        <w:t xml:space="preserve">Debtor.</w:t>
      </w:r>
    </w:p>
    <w:p>
      <w:pPr>
        <w:pStyle w:val="CoverGap"/>
      </w:pPr>
      <w:r>
        <w:t xml:space="preserve"> </w:t>
      </w:r>
    </w:p>
    <w:p>
      <w:pPr>
        <w:pStyle w:val="CoverCenter"/>
      </w:pPr>
      <w:r>
        <w:t xml:space="preserve">v.</w:t>
      </w:r>
    </w:p>
    <w:p>
      <w:pPr>
        <w:pStyle w:val="CoverGap"/>
      </w:pPr>
      <w:r>
        <w:t xml:space="preserve"> </w:t>
      </w:r>
    </w:p>
    <w:p>
      <w:pPr>
        <w:pStyle w:val="CoverCenter"/>
      </w:pPr>
      <w:r>
        <w:t xml:space="preserve">[APPELLANT NAME],</w:t>
      </w:r>
    </w:p>
    <w:p>
      <w:pPr>
        <w:pStyle w:val="CoverIndent"/>
      </w:pPr>
      <w:r>
        <w:t xml:space="preserve">Appellant,</w:t>
      </w:r>
    </w:p>
    <w:p>
      <w:pPr>
        <w:pStyle w:val="CoverGap"/>
      </w:pPr>
      <w:r>
        <w:t xml:space="preserve"> </w:t>
      </w:r>
    </w:p>
    <w:p>
      <w:pPr>
        <w:pStyle w:val="CoverCenter"/>
      </w:pPr>
      <w:r>
        <w:t xml:space="preserve">v.</w:t>
      </w:r>
    </w:p>
    <w:p>
      <w:pPr>
        <w:pStyle w:val="CoverGap"/>
      </w:pPr>
      <w:r>
        <w:t xml:space="preserve"> </w:t>
      </w:r>
    </w:p>
    <w:p>
      <w:pPr>
        <w:pStyle w:val="CoverCenter"/>
      </w:pPr>
      <w:r>
        <w:t xml:space="preserve">[APPELLEE NAME],</w:t>
      </w:r>
    </w:p>
    <w:p>
      <w:pPr>
        <w:pStyle w:val="CoverIndent"/>
      </w:pPr>
      <w:r>
        <w:t xml:space="preserve">Appellee.</w:t>
      </w:r>
    </w:p>
    <w:p>
      <w:pPr>
        <w:pStyle w:val="CoverGap"/>
      </w:pPr>
      <w:r>
        <w:t xml:space="preserve"> </w:t>
      </w:r>
    </w:p>
    <w:p>
      <w:pPr>
        <w:pStyle w:val="ShortRule"/>
      </w:pPr>
      <w:r>
        <w:t xml:space="preserve"> </w:t>
      </w:r>
    </w:p>
    <w:p>
      <w:pPr>
        <w:pStyle w:val="CoverGap"/>
      </w:pPr>
      <w:r>
        <w:t xml:space="preserve"> </w:t>
      </w:r>
    </w:p>
    <w:p>
      <w:pPr>
        <w:pStyle w:val="CoverCenter"/>
      </w:pPr>
      <w:r>
        <w:t xml:space="preserve">Appeal from the United States Bankruptcy Court for the [District] (placeholder: not a filed document)</w:t>
      </w:r>
    </w:p>
    <w:p>
      <w:pPr>
        <w:pStyle w:val="CoverGap"/>
      </w:pPr>
      <w:r>
        <w:t xml:space="preserve"> </w:t>
      </w:r>
    </w:p>
    <w:p>
      <w:pPr>
        <w:pStyle w:val="ShortRule"/>
      </w:pPr>
      <w:r>
        <w:t xml:space="preserve"> </w:t>
      </w:r>
    </w:p>
    <w:p>
      <w:pPr>
        <w:pStyle w:val="CoverGap"/>
      </w:pPr>
      <w:r>
        <w:t xml:space="preserve"> </w:t>
      </w:r>
    </w:p>
    <w:p>
      <w:pPr>
        <w:pStyle w:val="CoverCenter"/>
      </w:pPr>
      <w:r>
        <w:rPr>
          <w:b/>
          <w:bCs/>
        </w:rPr>
        <w:t xml:space="preserve">BRIEF OF APPELLEE</w:t>
      </w:r>
    </w:p>
    <w:p>
      <w:pPr>
        <w:pStyle w:val="CoverGap"/>
      </w:pPr>
      <w:r>
        <w:t xml:space="preserve"> </w:t>
      </w:r>
    </w:p>
    <w:p>
      <w:pPr>
        <w:pStyle w:val="ShortRule"/>
      </w:pPr>
      <w:r>
        <w:t xml:space="preserve"> </w:t>
      </w:r>
    </w:p>
    <w:p>
      <w:pPr>
        <w:pStyle w:val="CoverGap"/>
      </w:pPr>
      <w:r>
        <w:t xml:space="preserve"> </w:t>
      </w:r>
    </w:p>
    <w:p>
      <w:pPr>
        <w:pStyle w:val="CoverIndent"/>
      </w:pPr>
      <w:r>
        <w:t xml:space="preserve">[Counsel Name]</w:t>
      </w:r>
    </w:p>
    <w:p>
      <w:pPr>
        <w:pStyle w:val="CoverIndent"/>
      </w:pPr>
      <w:r>
        <w:t xml:space="preserve">[Bar Number]</w:t>
      </w:r>
    </w:p>
    <w:p>
      <w:pPr>
        <w:pStyle w:val="CoverIndent"/>
      </w:pPr>
      <w:r>
        <w:rPr>
          <w:i/>
          <w:iCs/>
        </w:rPr>
        <w:t xml:space="preserve">[Firm Name]</w:t>
      </w:r>
    </w:p>
    <w:p>
      <w:pPr>
        <w:pStyle w:val="CoverIndent"/>
      </w:pPr>
      <w:r>
        <w:rPr>
          <w:i/>
          <w:iCs/>
        </w:rPr>
        <w:t xml:space="preserve">[Street Address]</w:t>
      </w:r>
    </w:p>
    <w:p>
      <w:pPr>
        <w:pStyle w:val="CoverIndent"/>
      </w:pPr>
      <w:r>
        <w:rPr>
          <w:i/>
          <w:iCs/>
        </w:rPr>
        <w:t xml:space="preserve">[City, State ZIP]</w:t>
      </w:r>
    </w:p>
    <w:p>
      <w:pPr>
        <w:pStyle w:val="CoverIndent"/>
      </w:pPr>
      <w:r>
        <w:rPr>
          <w:i/>
          <w:iCs/>
        </w:rPr>
        <w:t xml:space="preserve">[(000) 000-0000]</w:t>
      </w:r>
    </w:p>
    <w:p>
      <w:pPr>
        <w:pStyle w:val="CoverIndent"/>
      </w:pPr>
      <w:r>
        <w:rPr>
          <w:i/>
          <w:iCs/>
        </w:rPr>
        <w:t xml:space="preserve">[counsel@example.invalid]</w:t>
      </w:r>
    </w:p>
    <w:p>
      <w:pPr>
        <w:pStyle w:val="DoubleRule"/>
      </w:pPr>
      <w:r>
        <w:t xml:space="preserve"> </w:t>
      </w:r>
    </w:p>
    <w:p>
      <w:pPr>
        <w:spacing w:before="0" w:after="0" w:line="20" w:lineRule="exact"/>
        <w:sectPr>
          <w:pgSz w:w="12240" w:h="15840"/>
          <w:pgMar w:top="1440" w:right="1440" w:bottom="1440" w:left="1440" w:header="720" w:footer="720" w:gutter="0"/>
        </w:sectPr>
      </w:pPr>
    </w:p>
    <w:p>
      <w:pPr>
        <w:pStyle w:val="FrontHeading"/>
      </w:pPr>
      <w:r>
        <w:t xml:space="preserve">Certification of Interested Parties</w:t>
      </w:r>
    </w:p>
    <w:p>
      <w:pPr>
        <w:pStyle w:val="Single"/>
      </w:pPr>
      <w:r>
        <w:t xml:space="preserve">BAP No. [——–]</w:t>
      </w:r>
    </w:p>
    <w:p>
      <w:pPr>
        <w:pStyle w:val="Single"/>
      </w:pPr>
      <w:r>
        <w:t xml:space="preserve">The undersigned, counsel of record for Appellee [APPELLEE NAME], certifies that the following listed party (or parties) has (have) an interest in the outcome of this appeal. These representations are made to enable the judges of the panel to evaluate possible disqualification or recusal.</w:t>
      </w:r>
    </w:p>
    <w:p>
      <w:pPr>
        <w:pStyle w:val="BulletItem"/>
      </w:pPr>
      <w:r>
        <w:t xml:space="preserve">•</w:t>
      </w:r>
      <w:r>
        <w:tab/>
      </w:r>
      <w:r>
        <w:t xml:space="preserve">[Appellant name], Appellant</w:t>
      </w:r>
    </w:p>
    <w:p>
      <w:pPr>
        <w:pStyle w:val="BulletItem"/>
      </w:pPr>
      <w:r>
        <w:t xml:space="preserve">•</w:t>
      </w:r>
      <w:r>
        <w:tab/>
      </w:r>
      <w:r>
        <w:t xml:space="preserve">[Appellee name], Appellee</w:t>
      </w:r>
    </w:p>
    <w:p>
      <w:pPr>
        <w:pStyle w:val="BulletItem"/>
      </w:pPr>
      <w:r>
        <w:t xml:space="preserve">•</w:t>
      </w:r>
      <w:r>
        <w:tab/>
      </w:r>
      <w:r>
        <w:t xml:space="preserve">[Counsel firms, if any]</w:t>
      </w:r>
    </w:p>
    <w:p>
      <w:pPr>
        <w:pStyle w:val="SigGap"/>
      </w:pPr>
      <w:r>
        <w:t xml:space="preserve"> </w:t>
      </w:r>
    </w:p>
    <w:p>
      <w:pPr>
        <w:pStyle w:val="Signature"/>
      </w:pPr>
      <w:r>
        <w:t xml:space="preserve">/s/ [Counsel Name]</w:t>
      </w:r>
      <w:r>
        <w:br/>
      </w:r>
      <w:r>
        <w:t xml:space="preserve">Attorney for Appellee [APPELLEE NAME]</w:t>
      </w:r>
      <w:r>
        <w:br/>
      </w:r>
      <w:r>
        <w:t xml:space="preserve">Dated: [Date]</w:t>
      </w:r>
    </w:p>
    <w:p>
      <w:r>
        <w:br w:type="page"/>
      </w:r>
    </w:p>
    <w:p>
      <w:pPr>
        <w:pStyle w:val="FrontHeading"/>
      </w:pPr>
      <w:r>
        <w:t xml:space="preserve">Certification of Related Cases</w:t>
      </w:r>
    </w:p>
    <w:p>
      <w:pPr>
        <w:pStyle w:val="Indented"/>
      </w:pPr>
      <w:r>
        <w:t xml:space="preserve">None known. (Placeholder text; no related case has been identified.)</w:t>
      </w:r>
    </w:p>
    <w:p>
      <w:pPr>
        <w:pStyle w:val="SigGap"/>
      </w:pPr>
      <w:r>
        <w:t xml:space="preserve"> </w:t>
      </w:r>
    </w:p>
    <w:p>
      <w:pPr>
        <w:pStyle w:val="Signature"/>
      </w:pPr>
      <w:r>
        <w:t xml:space="preserve">/s/ [Counsel Name]</w:t>
      </w:r>
      <w:r>
        <w:br/>
      </w:r>
      <w:r>
        <w:t xml:space="preserve">Attorney for Appellee [APPELLEE NAME]</w:t>
      </w:r>
      <w:r>
        <w:br/>
      </w:r>
      <w:r>
        <w:t xml:space="preserve">Dated: [Date]</w:t>
      </w:r>
    </w:p>
    <w:p>
      <w:r>
        <w:br w:type="page"/>
      </w:r>
    </w:p>
    <w:p>
      <w:pPr>
        <w:pStyle w:val="FrontHeading"/>
      </w:pPr>
      <w:r>
        <w:t xml:space="preserve">Table of Contents</w:t>
      </w:r>
    </w:p>
    <w:p>
      <w:pPr>
        <w:pStyle w:val="PageLabel"/>
      </w:pPr>
      <w:r>
        <w:rPr>
          <w:b/>
          <w:bCs/>
          <w:u w:val="single"/>
        </w:rPr>
        <w:t xml:space="preserve">Page</w:t>
      </w:r>
    </w:p>
    <w:p>
      <w:pPr>
        <w:pStyle w:val="TOC1"/>
      </w:pPr>
      <w:r>
        <w:t xml:space="preserve">SUMMARY OF ARGUMENT</w:t>
      </w:r>
      <w:r>
        <w:tab/>
      </w:r>
      <w:r>
        <w:t xml:space="preserve">1</w:t>
      </w:r>
    </w:p>
    <w:p>
      <w:pPr>
        <w:pStyle w:val="TOC1"/>
      </w:pPr>
      <w:r>
        <w:t xml:space="preserve">ARGUMENT</w:t>
      </w:r>
      <w:r>
        <w:tab/>
      </w:r>
      <w:r>
        <w:t xml:space="preserve">1</w:t>
      </w:r>
    </w:p>
    <w:p>
      <w:pPr>
        <w:pStyle w:val="TOCArg"/>
      </w:pPr>
      <w:r>
        <w:t xml:space="preserve">I.</w:t>
      </w:r>
      <w:r>
        <w:tab/>
      </w:r>
      <w:r>
        <w:t xml:space="preserve">The bankruptcy court applied the correct standard</w:t>
      </w:r>
      <w:r>
        <w:tab/>
      </w:r>
      <w:r>
        <w:t xml:space="preserve">1</w:t>
      </w:r>
    </w:p>
    <w:p>
      <w:pPr>
        <w:pStyle w:val="TOC2"/>
      </w:pPr>
      <w:r>
        <w:t xml:space="preserve">A.</w:t>
      </w:r>
      <w:r>
        <w:tab/>
      </w:r>
      <w:r>
        <w:t xml:space="preserve">The appellant’s reading of the rule is incomplete</w:t>
      </w:r>
      <w:r>
        <w:tab/>
      </w:r>
      <w:r>
        <w:t xml:space="preserve">1</w:t>
      </w:r>
    </w:p>
    <w:p>
      <w:pPr>
        <w:pStyle w:val="TOC2"/>
      </w:pPr>
      <w:r>
        <w:t xml:space="preserve">B.</w:t>
      </w:r>
      <w:r>
        <w:tab/>
      </w:r>
      <w:r>
        <w:t xml:space="preserve">The record supports the findings</w:t>
      </w:r>
      <w:r>
        <w:tab/>
      </w:r>
      <w:r>
        <w:t xml:space="preserve">1</w:t>
      </w:r>
    </w:p>
    <w:p>
      <w:pPr>
        <w:pStyle w:val="TOCArg"/>
      </w:pPr>
      <w:r>
        <w:t xml:space="preserve">II.</w:t>
      </w:r>
      <w:r>
        <w:tab/>
      </w:r>
      <w:r>
        <w:t xml:space="preserve">The second ruling is not an abuse of discretion</w:t>
      </w:r>
      <w:r>
        <w:tab/>
      </w:r>
      <w:r>
        <w:t xml:space="preserve">1</w:t>
      </w:r>
    </w:p>
    <w:p>
      <w:pPr>
        <w:pStyle w:val="TOC1"/>
      </w:pPr>
      <w:r>
        <w:t xml:space="preserve">CONCLUSION</w:t>
      </w:r>
      <w:r>
        <w:tab/>
      </w:r>
      <w:r>
        <w:t xml:space="preserve">2</w:t>
      </w:r>
    </w:p>
    <w:p>
      <w:r>
        <w:br w:type="page"/>
      </w:r>
    </w:p>
    <w:p>
      <w:pPr>
        <w:pStyle w:val="FrontHeading"/>
      </w:pPr>
      <w:r>
        <w:t xml:space="preserve">Table of Authorities</w:t>
      </w:r>
    </w:p>
    <w:p>
      <w:pPr>
        <w:pStyle w:val="TOAGroup"/>
      </w:pPr>
      <w:r>
        <w:rPr>
          <w:b/>
          <w:bCs/>
        </w:rPr>
        <w:t xml:space="preserve">Statutes:</w:t>
      </w:r>
      <w:r>
        <w:tab/>
      </w:r>
      <w:r>
        <w:rPr>
          <w:b/>
          <w:bCs/>
          <w:u w:val="single"/>
        </w:rPr>
        <w:t xml:space="preserve">Page(s)</w:t>
      </w:r>
    </w:p>
    <w:p>
      <w:pPr>
        <w:pStyle w:val="TOAEntry"/>
      </w:pPr>
      <w:r>
        <w:t xml:space="preserve">11 U.S.C. § 541(a)</w:t>
      </w:r>
      <w:r>
        <w:tab/>
      </w:r>
      <w:r>
        <w:t xml:space="preserve">1</w:t>
      </w:r>
    </w:p>
    <w:p>
      <w:pPr>
        <w:pStyle w:val="TOAGroup"/>
      </w:pPr>
      <w:r>
        <w:rPr>
          <w:b/>
          <w:bCs/>
        </w:rPr>
        <w:t xml:space="preserve">Rules:</w:t>
      </w:r>
    </w:p>
    <w:p>
      <w:pPr>
        <w:pStyle w:val="TOAEntry"/>
      </w:pPr>
      <w:r>
        <w:t xml:space="preserve">Fed. R. Bankr. P. 8014(a)</w:t>
      </w:r>
      <w:r>
        <w:tab/>
      </w:r>
      <w:r>
        <w:t xml:space="preserve">1</w:t>
      </w:r>
    </w:p>
    <w:p>
      <w:pPr>
        <w:pStyle w:val="TOAEntry"/>
      </w:pPr>
      <w:r>
        <w:t xml:space="preserve">Fed. R. Bankr. P. 8015(a)(7)(B)</w:t>
      </w:r>
      <w:r>
        <w:tab/>
      </w:r>
      <w:r>
        <w:t xml:space="preserve">1, 3</w:t>
      </w:r>
    </w:p>
    <w:p>
      <w:pPr>
        <w:spacing w:before="0" w:after="0" w:line="20" w:lineRule="exact"/>
        <w:sectPr>
          <w:footerReference w:type="default" r:id="rId9"/>
          <w:pgSz w:w="12240" w:h="15840"/>
          <w:pgMar w:top="1440" w:right="1440" w:bottom="1440" w:left="1440" w:header="720" w:footer="720" w:gutter="0"/>
          <w:pgNumType w:fmt="lowerRoman" w:start="1"/>
        </w:sectPr>
      </w:pPr>
    </w:p>
    <w:p>
      <w:pPr>
        <w:pStyle w:val="SectionHeadingTop"/>
      </w:pPr>
      <w:r>
        <w:t xml:space="preserve">Summary of Argument</w:t>
      </w:r>
    </w:p>
    <w:p>
      <w:pPr>
        <w:pStyle w:val="BodyText"/>
      </w:pPr>
      <w:r>
        <w:t xml:space="preserve">The appellee’s position is that the bankruptcy court’s order rests on the correct standard and on findings the record supports. Placeholder text: the summary states the arguments made in the body and does not repeat the headings.</w:t>
      </w:r>
    </w:p>
    <w:p>
      <w:pPr>
        <w:pStyle w:val="SectionHeading"/>
      </w:pPr>
      <w:r>
        <w:t xml:space="preserve">Argument</w:t>
      </w:r>
    </w:p>
    <w:p>
      <w:pPr>
        <w:pStyle w:val="PointHeading"/>
      </w:pPr>
      <w:r>
        <w:t xml:space="preserve">I. The bankruptcy court applied the correct standard</w:t>
      </w:r>
    </w:p>
    <w:p>
      <w:pPr>
        <w:pStyle w:val="BodyText"/>
      </w:pPr>
      <w:r>
        <w:t xml:space="preserve">Placeholder text: the appellee responds to the appellant’s first issue. The argument cites the governing rule, Fed. R. Bankr. P. 8014(b), which sets out what an appellee’s brief must contain.</w:t>
      </w:r>
    </w:p>
    <w:p>
      <w:pPr>
        <w:pStyle w:val="ArgSub3"/>
      </w:pPr>
      <w:r>
        <w:t xml:space="preserve">A.</w:t>
      </w:r>
      <w:r>
        <w:tab/>
      </w:r>
      <w:r>
        <w:t xml:space="preserve">The appellant’s reading of the rule is incomplete</w:t>
      </w:r>
    </w:p>
    <w:p>
      <w:pPr>
        <w:pStyle w:val="BodyText"/>
      </w:pPr>
      <w:r>
        <w:t xml:space="preserve">Placeholder paragraph. The response explains why the appellant’s reading would expand the estate beyond 11 U.S.C. § 541(a) and why the court’s narrower reading is the one the statute supports.</w:t>
      </w:r>
    </w:p>
    <w:p>
      <w:pPr>
        <w:pStyle w:val="ArgSub3"/>
      </w:pPr>
      <w:r>
        <w:t xml:space="preserve">B.</w:t>
      </w:r>
      <w:r>
        <w:tab/>
      </w:r>
      <w:r>
        <w:t xml:space="preserve">The record supports the findings</w:t>
      </w:r>
    </w:p>
    <w:p>
      <w:pPr>
        <w:pStyle w:val="BodyText"/>
      </w:pPr>
      <w:r>
        <w:t xml:space="preserve">Placeholder paragraph. The appellee cites the record at each point and explains why the findings the appellant challenges are not clearly erroneous.</w:t>
      </w:r>
    </w:p>
    <w:p>
      <w:pPr>
        <w:pStyle w:val="PointHeading"/>
      </w:pPr>
      <w:r>
        <w:t xml:space="preserve">II. The second ruling is not an abuse of discretion</w:t>
      </w:r>
    </w:p>
    <w:p>
      <w:pPr>
        <w:pStyle w:val="BodyText"/>
      </w:pPr>
      <w:r>
        <w:t xml:space="preserve">Placeholder text: the appellee responds to the second issue, and the argument states the length of this brief is governed by Fed. R. Bankr. P. 8015(a)(7)(B).</w:t>
      </w:r>
    </w:p>
    <w:p>
      <w:pPr>
        <w:pStyle w:val="SectionHeading"/>
      </w:pPr>
      <w:r>
        <w:t xml:space="preserve">Conclusion</w:t>
      </w:r>
    </w:p>
    <w:p>
      <w:pPr>
        <w:pStyle w:val="BodyKeep"/>
      </w:pPr>
      <w:r>
        <w:t xml:space="preserve">For these reasons, the appellee asks the Panel to affirm the order of the bankruptcy court.</w:t>
      </w:r>
    </w:p>
    <w:p>
      <w:pPr>
        <w:pStyle w:val="SigGap"/>
      </w:pPr>
      <w:r>
        <w:t xml:space="preserve"> </w:t>
      </w:r>
    </w:p>
    <w:p>
      <w:pPr>
        <w:pStyle w:val="Signature"/>
      </w:pPr>
      <w:r>
        <w:t xml:space="preserve">Respectfully submitted,</w:t>
      </w:r>
    </w:p>
    <w:p>
      <w:pPr>
        <w:pStyle w:val="SigGap"/>
      </w:pPr>
      <w:r>
        <w:t xml:space="preserve"> </w:t>
      </w:r>
    </w:p>
    <w:p>
      <w:pPr>
        <w:pStyle w:val="Signature"/>
      </w:pPr>
      <w:r>
        <w:t xml:space="preserve">/s/ [Counsel Name]</w:t>
      </w:r>
      <w:r>
        <w:br/>
      </w:r>
      <w:r>
        <w:t xml:space="preserve">[COUNSEL NAME]</w:t>
      </w:r>
      <w:r>
        <w:br/>
      </w:r>
      <w:r>
        <w:t xml:space="preserve">[Firm Name]</w:t>
      </w:r>
      <w:r>
        <w:br/>
      </w:r>
      <w:r>
        <w:t xml:space="preserve">[Street Address]</w:t>
      </w:r>
      <w:r>
        <w:br/>
      </w:r>
      <w:r>
        <w:t xml:space="preserve">[City, State ZIP]</w:t>
      </w:r>
      <w:r>
        <w:br/>
      </w:r>
      <w:r>
        <w:t xml:space="preserve">Tel. [(000) 000-0000]</w:t>
      </w:r>
      <w:r>
        <w:br/>
      </w:r>
      <w:r>
        <w:t xml:space="preserve">[counsel@example.invalid]</w:t>
      </w:r>
    </w:p>
    <w:p>
      <w:pPr>
        <w:pStyle w:val="Single"/>
      </w:pPr>
      <w:r>
        <w:t xml:space="preserve">[Date]</w:t>
      </w:r>
    </w:p>
    <w:p>
      <w:r>
        <w:br w:type="page"/>
      </w:r>
    </w:p>
    <w:p>
      <w:pPr>
        <w:pStyle w:val="FrontHeading"/>
      </w:pPr>
      <w:r>
        <w:t xml:space="preserve">Certificate of Compliance</w:t>
      </w:r>
    </w:p>
    <w:p>
      <w:pPr>
        <w:pStyle w:val="Single"/>
      </w:pPr>
      <w:r>
        <w:t xml:space="preserve">1. This brief complies with the type-volume limitation of Fed. R. Bankr. P. 8015(a)(7)(B) because, excluding the parts of the brief exempted by Fed. R. Bankr. P. 8015(g):</w:t>
      </w:r>
    </w:p>
    <w:p>
      <w:pPr>
        <w:pStyle w:val="CertBox"/>
      </w:pPr>
      <w:r>
        <w:t xml:space="preserve">[X] this brief contains 195 words.</w:t>
      </w:r>
    </w:p>
    <w:p>
      <w:pPr>
        <w:pStyle w:val="Single"/>
      </w:pPr>
      <w:r>
        <w:t xml:space="preserve">2. This brief complies with the typeface requirements of Fed. R. Bankr. P. 8015(a)(5) and the type-style requirements of Fed. R. Bankr. P. 8015(a)(6) because:</w:t>
      </w:r>
    </w:p>
    <w:p>
      <w:pPr>
        <w:pStyle w:val="CertBox"/>
      </w:pPr>
      <w:r>
        <w:t xml:space="preserve">[X] this brief has been prepared in a proportionally spaced typeface using Typst 0.15.0 in 14-point EB Garamond roman type.</w:t>
      </w:r>
    </w:p>
    <w:p>
      <w:pPr>
        <w:pStyle w:val="Signature"/>
      </w:pPr>
      <w:r>
        <w:t xml:space="preserve">/s/ [Counsel Name]</w:t>
      </w:r>
      <w:r>
        <w:br/>
      </w:r>
      <w:r>
        <w:t xml:space="preserve">Attorney for Appellee [APPELLEE NAME]</w:t>
      </w:r>
      <w:r>
        <w:br/>
      </w:r>
      <w:r>
        <w:t xml:space="preserve">Dated: [Date]</w:t>
      </w:r>
    </w:p>
    <w:p>
      <w:r>
        <w:br w:type="page"/>
      </w:r>
    </w:p>
    <w:p>
      <w:pPr>
        <w:pStyle w:val="FrontHeading"/>
      </w:pPr>
      <w:r>
        <w:t xml:space="preserve">Certificate of Service</w:t>
      </w:r>
    </w:p>
    <w:p>
      <w:pPr>
        <w:pStyle w:val="Single"/>
      </w:pPr>
      <w:r>
        <w:t xml:space="preserve">I hereby certify that on [Date], I electronically filed the foregoing with the Clerk of the United States Bankruptcy Appellate Panel for the Eighth Circuit by using the CM/ECF system, which will send notification of such filing to all counsel of record.</w:t>
      </w:r>
    </w:p>
    <w:p>
      <w:pPr>
        <w:pStyle w:val="Signature"/>
      </w:pPr>
      <w:r>
        <w:t xml:space="preserve">/s/ [Counsel Name]</w:t>
      </w:r>
      <w:r>
        <w:br/>
      </w:r>
      <w:r>
        <w:t xml:space="preserve">Attorney for Appellee [APPELLEE NAME]</w:t>
      </w:r>
      <w:r>
        <w:br/>
      </w:r>
      <w:r>
        <w:t xml:space="preserve">Dated: [Date]</w:t>
      </w:r>
    </w:p>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kern w:val="2"/>
        <w:sz w:val="28"/>
        <w:szCs w:val="28"/>
        <w:lang w:bidi="ar-SA" w:eastAsia="en-US" w:val="en-US"/>
      </w:rPr>
    </w:rPrDefault>
    <w:pPrDefault>
      <w:pPr>
        <w:widowControl/>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cstheme="majorBid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cstheme="majorBid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default="1" w:styleId="Normal" w:type="paragraph">
    <w:name w:val="Normal"/>
    <w:qFormat/>
    <w:pPr>
      <w:widowControl/>
      <w:spacing w:after="0" w:before="0" w:line="240" w:lineRule="auto"/>
      <w:ind w:firstLine="0"/>
      <w:jc w:val="left"/>
    </w:pPr>
    <w:rPr>
      <w:rFonts w:ascii="EB Garamond" w:cs="EB Garamond" w:eastAsia="EB Garamond" w:hAnsi="EB Garamond"/>
      <w:sz w:val="28"/>
      <w:szCs w:val="28"/>
    </w:rPr>
  </w:style>
  <w:style w:styleId="BodyText" w:type="paragraph">
    <w:name w:val="Body Text"/>
    <w:basedOn w:val="Normal"/>
    <w:qFormat/>
    <w:pPr>
      <w:widowControl/>
      <w:spacing w:after="0" w:before="0" w:line="629" w:lineRule="exact"/>
      <w:ind w:firstLine="720"/>
    </w:pPr>
  </w:style>
  <w:style w:styleId="FirstParagraph" w:type="paragraph">
    <w:name w:val="First Paragraph"/>
    <w:basedOn w:val="BodyText"/>
    <w:next w:val="BodyText"/>
    <w:qFormat/>
    <w:pPr>
      <w:spacing w:after="0" w:before="0" w:line="629" w:lineRule="exact"/>
      <w:ind w:firstLine="720"/>
    </w:pPr>
  </w:style>
  <w:style w:styleId="Compact" w:type="paragraph">
    <w:name w:val="Compact"/>
    <w:basedOn w:val="BodyText"/>
    <w:qFormat/>
    <w:pPr>
      <w:spacing w:after="0" w:before="0" w:line="629" w:lineRule="exact"/>
      <w:ind w:firstLine="0"/>
    </w:pPr>
  </w:style>
  <w:style w:styleId="BlockText" w:type="paragraph">
    <w:name w:val="Block Text"/>
    <w:basedOn w:val="Normal"/>
    <w:qFormat/>
    <w:pPr>
      <w:keepLines/>
      <w:spacing w:after="280" w:before="280" w:line="240" w:lineRule="auto"/>
      <w:ind w:firstLine="0" w:left="720" w:right="720"/>
    </w:pPr>
  </w:style>
  <w:style w:styleId="FootnoteText" w:type="paragraph">
    <w:name w:val="footnote text"/>
    <w:basedOn w:val="Normal"/>
    <w:pPr>
      <w:spacing w:after="140" w:before="0" w:line="240" w:lineRule="auto"/>
      <w:ind w:firstLine="0"/>
    </w:pPr>
    <w:rPr>
      <w:sz w:val="28"/>
      <w:szCs w:val="28"/>
    </w:rPr>
  </w:style>
  <w:style w:styleId="FootnoteReference" w:type="character">
    <w:name w:val="footnote reference"/>
    <w:rPr>
      <w:vertAlign w:val="superscript"/>
    </w:rPr>
  </w:style>
  <w:style w:styleId="Hyperlink" w:type="character">
    <w:name w:val="Hyperlink"/>
    <w:rPr>
      <w:color w:val="000000"/>
    </w:rPr>
  </w:style>
  <w:style w:styleId="Footer" w:type="paragraph">
    <w:name w:val="footer"/>
    <w:basedOn w:val="Normal"/>
    <w:pPr>
      <w:jc w:val="center"/>
    </w:pPr>
    <w:rPr>
      <w:sz w:val="28"/>
      <w:szCs w:val="28"/>
    </w:rPr>
  </w:style>
  <w:style w:customStyle="1" w:styleId="CoverCenter" w:type="paragraph">
    <w:name w:val="Cover Center"/>
    <w:basedOn w:val="Normal"/>
    <w:pPr>
      <w:spacing w:after="0" w:before="0" w:line="240" w:lineRule="auto"/>
      <w:jc w:val="center"/>
    </w:pPr>
  </w:style>
  <w:style w:customStyle="1" w:styleId="CoverLeft" w:type="paragraph">
    <w:name w:val="Cover Left"/>
    <w:basedOn w:val="Normal"/>
    <w:pPr>
      <w:spacing w:after="0" w:before="0" w:line="240" w:lineRule="auto"/>
      <w:jc w:val="left"/>
    </w:pPr>
  </w:style>
  <w:style w:customStyle="1" w:styleId="CoverIndent" w:type="paragraph">
    <w:name w:val="Cover Indent"/>
    <w:basedOn w:val="Normal"/>
    <w:pPr>
      <w:spacing w:after="0" w:before="0" w:line="240" w:lineRule="auto"/>
      <w:ind w:firstLine="0" w:left="4680"/>
      <w:jc w:val="left"/>
    </w:pPr>
  </w:style>
  <w:style w:customStyle="1" w:styleId="CoverGap" w:type="paragraph">
    <w:name w:val="Cover Gap"/>
    <w:basedOn w:val="Normal"/>
    <w:pPr>
      <w:spacing w:after="0" w:before="0" w:line="200" w:lineRule="exact"/>
      <w:jc w:val="center"/>
    </w:pPr>
  </w:style>
  <w:style w:customStyle="1" w:styleId="DoubleRule" w:type="paragraph">
    <w:name w:val="Double Rule"/>
    <w:basedOn w:val="Normal"/>
    <w:pPr>
      <w:pBdr>
        <w:bottom w:color="000000" w:space="1" w:sz="6" w:val="double"/>
      </w:pBdr>
      <w:spacing w:after="240" w:before="0" w:line="240" w:lineRule="auto"/>
    </w:pPr>
    <w:rPr>
      <w:sz w:val="8"/>
      <w:szCs w:val="8"/>
    </w:rPr>
  </w:style>
  <w:style w:customStyle="1" w:styleId="ShortRule" w:type="paragraph">
    <w:name w:val="Short Rule"/>
    <w:basedOn w:val="Normal"/>
    <w:pPr>
      <w:pBdr>
        <w:bottom w:color="000000" w:space="1" w:sz="6" w:val="single"/>
      </w:pBdr>
      <w:spacing w:after="240" w:before="0" w:line="240" w:lineRule="auto"/>
      <w:ind w:firstLine="0" w:left="3240" w:right="3240"/>
      <w:jc w:val="center"/>
    </w:pPr>
    <w:rPr>
      <w:sz w:val="8"/>
      <w:szCs w:val="8"/>
    </w:rPr>
  </w:style>
  <w:style w:customStyle="1" w:styleId="Single" w:type="paragraph">
    <w:name w:val="Single"/>
    <w:basedOn w:val="Normal"/>
    <w:pPr>
      <w:spacing w:after="280" w:before="0" w:line="240" w:lineRule="auto"/>
      <w:ind w:firstLine="0"/>
    </w:pPr>
  </w:style>
  <w:style w:customStyle="1" w:styleId="Indented" w:type="paragraph">
    <w:name w:val="Indented"/>
    <w:basedOn w:val="Normal"/>
    <w:pPr>
      <w:keepLines/>
      <w:spacing w:after="140" w:before="0" w:line="240" w:lineRule="auto"/>
      <w:ind w:firstLine="0" w:left="720"/>
    </w:pPr>
  </w:style>
  <w:style w:customStyle="1" w:styleId="BulletItem" w:type="paragraph">
    <w:name w:val="Bullet Item"/>
    <w:basedOn w:val="Normal"/>
    <w:pPr>
      <w:keepLines/>
      <w:tabs>
        <w:tab w:pos="360" w:val="left"/>
      </w:tabs>
      <w:spacing w:after="140" w:before="0" w:line="240" w:lineRule="auto"/>
      <w:ind w:hanging="360" w:left="360"/>
    </w:pPr>
  </w:style>
  <w:style w:customStyle="1" w:styleId="CertBox" w:type="paragraph">
    <w:name w:val="Certificate Box"/>
    <w:basedOn w:val="Normal"/>
    <w:pPr>
      <w:keepLines/>
      <w:spacing w:after="160" w:before="160" w:line="240" w:lineRule="auto"/>
      <w:ind w:firstLine="0" w:left="720"/>
    </w:pPr>
  </w:style>
  <w:style w:customStyle="1" w:styleId="Signature" w:type="paragraph">
    <w:name w:val="Signature"/>
    <w:basedOn w:val="Normal"/>
    <w:pPr>
      <w:keepNext/>
      <w:keepLines/>
      <w:spacing w:after="0" w:before="0" w:line="240" w:lineRule="auto"/>
      <w:ind w:firstLine="0" w:left="4680"/>
      <w:jc w:val="left"/>
    </w:pPr>
  </w:style>
  <w:style w:customStyle="1" w:styleId="FrontHeading" w:type="paragraph">
    <w:name w:val="Front Heading"/>
    <w:basedOn w:val="Normal"/>
    <w:pPr>
      <w:keepNext/>
      <w:keepLines/>
      <w:spacing w:after="308" w:before="0" w:line="320" w:lineRule="exact"/>
      <w:ind w:firstLine="0"/>
      <w:jc w:val="center"/>
    </w:pPr>
    <w:rPr>
      <w:b/>
      <w:bCs/>
      <w:caps/>
      <w:sz w:val="32"/>
      <w:szCs w:val="32"/>
    </w:rPr>
  </w:style>
  <w:style w:customStyle="1" w:styleId="SectionHeading" w:type="paragraph">
    <w:name w:val="Section Heading"/>
    <w:basedOn w:val="FrontHeading"/>
    <w:next w:val="BodyText"/>
    <w:pPr>
      <w:spacing w:after="120" w:before="420" w:line="320" w:lineRule="exact"/>
      <w:outlineLvl w:val="0"/>
    </w:pPr>
  </w:style>
  <w:style w:customStyle="1" w:styleId="SectionHeadingTop" w:type="paragraph">
    <w:name w:val="Section Heading Top"/>
    <w:basedOn w:val="SectionHeading"/>
    <w:next w:val="BodyText"/>
    <w:pPr>
      <w:keepNext/>
      <w:keepLines/>
      <w:spacing w:after="120" w:before="0" w:line="240" w:lineRule="auto"/>
      <w:outlineLvl w:val="0"/>
    </w:pPr>
  </w:style>
  <w:style w:customStyle="1" w:styleId="PointHeading" w:type="paragraph">
    <w:name w:val="Point Heading"/>
    <w:basedOn w:val="Normal"/>
    <w:next w:val="BodyText"/>
    <w:pPr>
      <w:keepNext/>
      <w:keepLines/>
      <w:spacing w:after="280" w:before="336" w:line="240" w:lineRule="auto"/>
      <w:ind w:firstLine="0"/>
      <w:jc w:val="center"/>
      <w:outlineLvl w:val="1"/>
    </w:pPr>
    <w:rPr>
      <w:b/>
      <w:bCs/>
      <w:smallCaps/>
    </w:rPr>
  </w:style>
  <w:style w:customStyle="1" w:styleId="Sub2" w:type="paragraph">
    <w:name w:val="Sub2"/>
    <w:basedOn w:val="Normal"/>
    <w:next w:val="BodyText"/>
    <w:pPr>
      <w:keepNext/>
      <w:keepLines/>
      <w:tabs>
        <w:tab w:pos="1440" w:val="left"/>
      </w:tabs>
      <w:spacing w:after="180" w:before="220" w:line="240" w:lineRule="auto"/>
      <w:ind w:firstLine="0" w:hanging="720" w:left="1440"/>
      <w:jc w:val="left"/>
      <w:outlineLvl w:val="1"/>
    </w:pPr>
    <w:rPr>
      <w:b/>
      <w:bCs/>
    </w:rPr>
  </w:style>
  <w:style w:customStyle="1" w:styleId="Sub3" w:type="paragraph">
    <w:name w:val="Sub3"/>
    <w:basedOn w:val="Normal"/>
    <w:next w:val="BodyText"/>
    <w:pPr>
      <w:keepNext/>
      <w:keepLines/>
      <w:tabs>
        <w:tab w:pos="2160" w:val="left"/>
      </w:tabs>
      <w:spacing w:after="180" w:before="220" w:line="240" w:lineRule="auto"/>
      <w:ind w:firstLine="0" w:hanging="720" w:left="2160"/>
      <w:jc w:val="left"/>
      <w:outlineLvl w:val="2"/>
    </w:pPr>
    <w:rPr>
      <w:b/>
      <w:bCs/>
    </w:rPr>
  </w:style>
  <w:style w:customStyle="1" w:styleId="Sub4" w:type="paragraph">
    <w:name w:val="Sub4"/>
    <w:basedOn w:val="Normal"/>
    <w:next w:val="BodyText"/>
    <w:pPr>
      <w:keepNext/>
      <w:keepLines/>
      <w:tabs>
        <w:tab w:pos="2880" w:val="left"/>
      </w:tabs>
      <w:spacing w:after="180" w:before="220" w:line="240" w:lineRule="auto"/>
      <w:ind w:firstLine="0" w:hanging="720" w:left="2880"/>
      <w:jc w:val="left"/>
      <w:outlineLvl w:val="3"/>
    </w:pPr>
    <w:rPr>
      <w:b/>
      <w:bCs/>
      <w:i/>
      <w:iCs/>
    </w:rPr>
  </w:style>
  <w:style w:customStyle="1" w:styleId="Sub5" w:type="paragraph">
    <w:name w:val="Sub5"/>
    <w:basedOn w:val="Normal"/>
    <w:next w:val="BodyText"/>
    <w:pPr>
      <w:keepNext/>
      <w:keepLines/>
      <w:tabs>
        <w:tab w:pos="3600" w:val="left"/>
      </w:tabs>
      <w:spacing w:after="180" w:before="220" w:line="240" w:lineRule="auto"/>
      <w:ind w:firstLine="0" w:hanging="720" w:left="3600"/>
      <w:jc w:val="left"/>
      <w:outlineLvl w:val="4"/>
    </w:pPr>
    <w:rPr>
      <w:b/>
      <w:bCs/>
      <w:i/>
      <w:iCs/>
    </w:rPr>
  </w:style>
  <w:style w:customStyle="1" w:styleId="ArgSub3" w:type="paragraph">
    <w:name w:val="ArgSub3"/>
    <w:basedOn w:val="Normal"/>
    <w:next w:val="BodyText"/>
    <w:pPr>
      <w:keepNext/>
      <w:keepLines/>
      <w:tabs>
        <w:tab w:pos="1440" w:val="left"/>
      </w:tabs>
      <w:spacing w:after="180" w:before="220" w:line="240" w:lineRule="auto"/>
      <w:ind w:firstLine="0" w:hanging="720" w:left="1440"/>
      <w:jc w:val="left"/>
      <w:outlineLvl w:val="2"/>
    </w:pPr>
    <w:rPr>
      <w:b/>
      <w:bCs/>
    </w:rPr>
  </w:style>
  <w:style w:customStyle="1" w:styleId="ArgSub4" w:type="paragraph">
    <w:name w:val="ArgSub4"/>
    <w:basedOn w:val="Normal"/>
    <w:next w:val="BodyText"/>
    <w:pPr>
      <w:keepNext/>
      <w:keepLines/>
      <w:tabs>
        <w:tab w:pos="2160" w:val="left"/>
      </w:tabs>
      <w:spacing w:after="180" w:before="220" w:line="240" w:lineRule="auto"/>
      <w:ind w:firstLine="0" w:hanging="720" w:left="2160"/>
      <w:jc w:val="left"/>
      <w:outlineLvl w:val="3"/>
    </w:pPr>
    <w:rPr>
      <w:b/>
      <w:bCs/>
      <w:i/>
      <w:iCs/>
    </w:rPr>
  </w:style>
  <w:style w:customStyle="1" w:styleId="ArgSub5" w:type="paragraph">
    <w:name w:val="ArgSub5"/>
    <w:basedOn w:val="Normal"/>
    <w:next w:val="BodyText"/>
    <w:pPr>
      <w:keepNext/>
      <w:keepLines/>
      <w:tabs>
        <w:tab w:pos="2880" w:val="left"/>
      </w:tabs>
      <w:spacing w:after="180" w:before="220" w:line="240" w:lineRule="auto"/>
      <w:ind w:firstLine="0" w:hanging="720" w:left="2880"/>
      <w:jc w:val="left"/>
      <w:outlineLvl w:val="4"/>
    </w:pPr>
    <w:rPr>
      <w:b/>
      <w:bCs/>
      <w:i/>
      <w:iCs/>
    </w:rPr>
  </w:style>
  <w:style w:customStyle="1" w:styleId="TOCArg" w:type="paragraph">
    <w:name w:val="TOCArg"/>
    <w:basedOn w:val="Normal"/>
    <w:pPr>
      <w:keepLines/>
      <w:tabs>
        <w:tab w:pos="720" w:val="left"/>
        <w:tab w:leader="dot" w:pos="9360" w:val="right"/>
      </w:tabs>
      <w:spacing w:after="0" w:before="140" w:line="240" w:lineRule="auto"/>
      <w:ind w:hanging="720" w:left="720" w:right="720"/>
      <w:jc w:val="left"/>
    </w:pPr>
  </w:style>
  <w:style w:customStyle="1" w:styleId="TOC2" w:type="paragraph">
    <w:name w:val="TOC2"/>
    <w:basedOn w:val="Normal"/>
    <w:pPr>
      <w:keepLines/>
      <w:tabs>
        <w:tab w:pos="1440" w:val="left"/>
        <w:tab w:leader="dot" w:pos="9360" w:val="right"/>
      </w:tabs>
      <w:spacing w:after="0" w:before="140" w:line="240" w:lineRule="auto"/>
      <w:ind w:hanging="720" w:left="1440" w:right="720"/>
      <w:jc w:val="left"/>
    </w:pPr>
  </w:style>
  <w:style w:customStyle="1" w:styleId="TOC3" w:type="paragraph">
    <w:name w:val="TOC3"/>
    <w:basedOn w:val="Normal"/>
    <w:pPr>
      <w:keepLines/>
      <w:tabs>
        <w:tab w:pos="2160" w:val="left"/>
        <w:tab w:leader="dot" w:pos="9360" w:val="right"/>
      </w:tabs>
      <w:spacing w:after="0" w:before="140" w:line="240" w:lineRule="auto"/>
      <w:ind w:hanging="720" w:left="2160" w:right="720"/>
      <w:jc w:val="left"/>
    </w:pPr>
  </w:style>
  <w:style w:customStyle="1" w:styleId="TOC4" w:type="paragraph">
    <w:name w:val="TOC4"/>
    <w:basedOn w:val="Normal"/>
    <w:pPr>
      <w:keepLines/>
      <w:tabs>
        <w:tab w:pos="2880" w:val="left"/>
        <w:tab w:leader="dot" w:pos="9360" w:val="right"/>
      </w:tabs>
      <w:spacing w:after="0" w:before="140" w:line="240" w:lineRule="auto"/>
      <w:ind w:hanging="720" w:left="2880" w:right="720"/>
      <w:jc w:val="left"/>
    </w:pPr>
  </w:style>
  <w:style w:customStyle="1" w:styleId="TOC5" w:type="paragraph">
    <w:name w:val="TOC5"/>
    <w:basedOn w:val="Normal"/>
    <w:pPr>
      <w:keepLines/>
      <w:tabs>
        <w:tab w:pos="3600" w:val="left"/>
        <w:tab w:leader="dot" w:pos="9360" w:val="right"/>
      </w:tabs>
      <w:spacing w:after="0" w:before="140" w:line="240" w:lineRule="auto"/>
      <w:ind w:hanging="720" w:left="3600" w:right="720"/>
      <w:jc w:val="left"/>
    </w:pPr>
  </w:style>
  <w:style w:customStyle="1" w:styleId="TOC1" w:type="paragraph">
    <w:name w:val="TOC1"/>
    <w:basedOn w:val="Normal"/>
    <w:pPr>
      <w:keepLines/>
      <w:tabs>
        <w:tab w:pos="0" w:val="left"/>
        <w:tab w:leader="dot" w:pos="9360" w:val="right"/>
      </w:tabs>
      <w:spacing w:after="0" w:before="140" w:line="240" w:lineRule="auto"/>
      <w:ind w:hanging="0" w:left="0" w:right="720"/>
      <w:jc w:val="left"/>
    </w:pPr>
  </w:style>
  <w:style w:customStyle="1" w:styleId="PageLabel" w:type="paragraph">
    <w:name w:val="Page Label"/>
    <w:basedOn w:val="Normal"/>
    <w:pPr>
      <w:spacing w:after="240" w:before="0" w:line="240" w:lineRule="auto"/>
      <w:ind w:firstLine="0"/>
      <w:jc w:val="right"/>
    </w:pPr>
  </w:style>
  <w:style w:customStyle="1" w:styleId="SigGap" w:type="paragraph">
    <w:name w:val="Signature Gap"/>
    <w:basedOn w:val="Normal"/>
    <w:pPr>
      <w:keepNext/>
      <w:spacing w:after="240" w:before="0" w:line="240" w:lineRule="auto"/>
      <w:ind w:firstLine="0"/>
    </w:pPr>
  </w:style>
  <w:style w:customStyle="1" w:styleId="BodyKeep" w:type="paragraph">
    <w:name w:val="Body Keep"/>
    <w:basedOn w:val="BodyText"/>
    <w:pPr>
      <w:keepNext/>
    </w:pPr>
  </w:style>
  <w:style w:customStyle="1" w:styleId="TOAGroup" w:type="paragraph">
    <w:name w:val="TOA Group"/>
    <w:basedOn w:val="Normal"/>
    <w:pPr>
      <w:keepNext/>
      <w:tabs>
        <w:tab w:pos="9360" w:val="right"/>
      </w:tabs>
      <w:spacing w:after="120" w:before="280" w:line="240" w:lineRule="auto"/>
      <w:ind w:firstLine="0"/>
    </w:pPr>
    <w:rPr>
      <w:b/>
      <w:bCs/>
    </w:rPr>
  </w:style>
  <w:style w:customStyle="1" w:styleId="TOAEntry" w:type="paragraph">
    <w:name w:val="TOA Entry"/>
    <w:basedOn w:val="Normal"/>
    <w:pPr>
      <w:keepLines/>
      <w:tabs>
        <w:tab w:leader="dot" w:pos="9360" w:val="right"/>
      </w:tabs>
      <w:spacing w:after="0" w:before="140" w:line="240" w:lineRule="auto"/>
      <w:ind w:hanging="504" w:left="504" w:right="720"/>
      <w:jc w:val="left"/>
    </w:pPr>
  </w:style>
  <w:style w:type="paragraph" w:customStyle="1" w:styleId="BodyKeep">
    <w:name w:val="BodyKeep"/>
    <w:basedOn w:val="BodyText"/>
    <w:qFormat/>
  </w:style>
  <w:style w:type="paragraph" w:customStyle="1" w:styleId="BulletItem">
    <w:name w:val="BulletItem"/>
    <w:basedOn w:val="BodyText"/>
    <w:qFormat/>
  </w:style>
  <w:style w:type="paragraph" w:customStyle="1" w:styleId="CertBox">
    <w:name w:val="CertBox"/>
    <w:basedOn w:val="BodyText"/>
    <w:qFormat/>
  </w:style>
  <w:style w:type="paragraph" w:customStyle="1" w:styleId="CoverCenter">
    <w:name w:val="CoverCenter"/>
    <w:basedOn w:val="BodyText"/>
    <w:qFormat/>
  </w:style>
  <w:style w:type="paragraph" w:customStyle="1" w:styleId="CoverGap">
    <w:name w:val="CoverGap"/>
    <w:basedOn w:val="BodyText"/>
    <w:qFormat/>
  </w:style>
  <w:style w:type="paragraph" w:customStyle="1" w:styleId="CoverIndent">
    <w:name w:val="CoverIndent"/>
    <w:basedOn w:val="BodyText"/>
    <w:qFormat/>
  </w:style>
  <w:style w:type="paragraph" w:customStyle="1" w:styleId="DoubleRule">
    <w:name w:val="DoubleRule"/>
    <w:basedOn w:val="BodyText"/>
    <w:qFormat/>
  </w:style>
  <w:style w:type="paragraph" w:customStyle="1" w:styleId="FrontHeading">
    <w:name w:val="FrontHeading"/>
    <w:basedOn w:val="BodyText"/>
    <w:qFormat/>
  </w:style>
  <w:style w:type="paragraph" w:customStyle="1" w:styleId="PageLabel">
    <w:name w:val="PageLabel"/>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Top">
    <w:name w:val="SectionHeadingTop"/>
    <w:basedOn w:val="BodyText"/>
    <w:qFormat/>
  </w:style>
  <w:style w:type="paragraph" w:customStyle="1" w:styleId="ShortRule">
    <w:name w:val="ShortRule"/>
    <w:basedOn w:val="BodyText"/>
    <w:qFormat/>
  </w:style>
  <w:style w:type="paragraph" w:customStyle="1" w:styleId="SigGap">
    <w:name w:val="SigGap"/>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2026-10-15T13:06:51Z</dcterms:created>
  <dcterms:modified xsi:type="dcterms:W3CDTF">2026-10-15T13:06:51Z</dcterms:modified>
</cp:coreProperties>
</file>

<file path=docProps/custom.xml><?xml version="1.0" encoding="utf-8"?>
<Properties xmlns="http://schemas.openxmlformats.org/officeDocument/2006/custom-properties" xmlns:vt="http://schemas.openxmlformats.org/officeDocument/2006/docPropsVTypes"/>
</file>