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 THE UNITED STATES DISTRICT COURT</w:t>
      </w:r>
    </w:p>
    <w:p>
      <w:pPr>
        <w:pStyle w:val="CourtHeading"/>
      </w:pPr>
      <w:r>
        <w:t xml:space="preserve">FOR THE MIDDLE DISTRICT OF GEORGIA</w:t>
      </w:r>
    </w:p>
    <w:p>
      <w:pPr>
        <w:pStyle w:val="CourtHeading"/>
      </w:pPr>
      <w:r>
        <w:t xml:space="preserve">MACON DIVISION</w:t>
      </w:r>
    </w:p>
    <w:p>
      <w:pPr>
        <w:pStyle w:val="BodyText"/>
      </w:pPr>
    </w:p>
    <w:tbl>
      <w:tblPr>
        <w:tblW w:w="9360" w:type="dxa"/>
        <w:tblInd w:w="0" w:type="dxa"/>
        <w:tblLayout w:type="fixed"/>
        <w:tblCellMar>
          <w:left w:w="0" w:type="dxa"/>
          <w:right w:w="0" w:type="dxa"/>
        </w:tblCellMar>
      </w:tblPr>
      <w:tblGrid>
        <w:gridCol w:w="4752"/>
        <w:gridCol w:w="432"/>
        <w:gridCol w:w="4176"/>
      </w:tblGrid>
      <w:tr>
        <w:trPr>
          <w:cantSplit/>
        </w:trPr>
        <w:tc>
          <w:tcPr>
            <w:tcW w:w="4752" w:type="dxa"/>
            <w:tcBorders>
              <w:right w:val="single" w:sz="4" w:space="0" w:color="000000"/>
            </w:tcBorders>
          </w:tcPr>
          <w:p>
            <w:pPr>
              <w:pStyle w:val="CaptionName"/>
            </w:pPr>
            <w:r>
              <w:t xml:space="preserve">AMY SOLEN,</w:t>
            </w:r>
          </w:p>
          <w:p>
            <w:pPr>
              <w:pStyle w:val="CaptionDesignation"/>
            </w:pPr>
            <w:r>
              <w:t xml:space="preserve">Plaintiff,</w:t>
            </w:r>
          </w:p>
        </w:tc>
        <w:tc>
          <w:tcPr>
            <w:tcW w:w="432" w:type="dxa"/>
          </w:tcPr>
          <w:p>
            <w:pPr>
              <w:pStyle w:val="CaptionName"/>
            </w:pPr>
          </w:p>
        </w:tc>
        <w:tc>
          <w:tcPr>
            <w:tcW w:w="4176" w:type="dxa"/>
          </w:tcPr>
          <w:p>
            <w:pPr>
              <w:pStyle w:val="CaptionRight"/>
            </w:pPr>
            <w:r>
              <w:t xml:space="preserve">Civil Action No.</w:t>
            </w:r>
          </w:p>
        </w:tc>
      </w:tr>
      <w:tr>
        <w:trPr>
          <w:cantSplit/>
        </w:trPr>
        <w:tc>
          <w:tcPr>
            <w:tcW w:w="4752" w:type="dxa"/>
            <w:tcBorders>
              <w:right w:val="single" w:sz="4" w:space="0" w:color="000000"/>
            </w:tcBorders>
          </w:tcPr>
          <w:p>
            <w:pPr>
              <w:pStyle w:val="CaptionName"/>
            </w:pPr>
            <w:r>
              <w:t xml:space="preserve">v.</w:t>
            </w:r>
          </w:p>
        </w:tc>
        <w:tc>
          <w:tcPr>
            <w:tcW w:w="432" w:type="dxa"/>
          </w:tcPr>
          <w:p>
            <w:pPr>
              <w:pStyle w:val="CaptionName"/>
            </w:pPr>
          </w:p>
        </w:tc>
        <w:tc>
          <w:tcPr>
            <w:tcW w:w="4176" w:type="dxa"/>
          </w:tcPr>
          <w:p>
            <w:pPr>
              <w:pStyle w:val="CaptionRight"/>
            </w:pPr>
          </w:p>
        </w:tc>
      </w:tr>
      <w:tr>
        <w:trPr>
          <w:cantSplit/>
        </w:trPr>
        <w:tc>
          <w:tcPr>
            <w:tcW w:w="4752" w:type="dxa"/>
            <w:tcBorders>
              <w:right w:val="single" w:sz="4" w:space="0" w:color="000000"/>
            </w:tcBorders>
          </w:tcPr>
          <w:p>
            <w:pPr>
              <w:pStyle w:val="CaptionName"/>
            </w:pPr>
            <w:r>
              <w:t xml:space="preserve">HOPEBRIDGE, LLC,</w:t>
            </w:r>
          </w:p>
          <w:p>
            <w:pPr>
              <w:pStyle w:val="CaptionDesignation"/>
            </w:pPr>
            <w:r>
              <w:t xml:space="preserve">Defendant.</w:t>
            </w:r>
          </w:p>
        </w:tc>
        <w:tc>
          <w:tcPr>
            <w:tcW w:w="432" w:type="dxa"/>
          </w:tcPr>
          <w:p>
            <w:pPr>
              <w:pStyle w:val="CaptionName"/>
            </w:pPr>
          </w:p>
        </w:tc>
        <w:tc>
          <w:tcPr>
            <w:tcW w:w="4176" w:type="dxa"/>
          </w:tcPr>
          <w:p>
            <w:pPr>
              <w:pStyle w:val="CaptionRight"/>
            </w:pPr>
            <w:r>
              <w:rPr>
                <w:b/>
                <w:bCs/>
              </w:rPr>
              <w:t xml:space="preserve">JURY TRIAL DEMANDED</w:t>
            </w:r>
          </w:p>
        </w:tc>
      </w:tr>
      <w:tr>
        <w:trPr>
          <w:cantSplit/>
        </w:trPr>
        <w:tc>
          <w:tcPr>
            <w:tcW w:w="4752" w:type="dxa"/>
            <w:tcBorders>
              <w:right w:val="single" w:sz="4" w:space="0" w:color="000000"/>
            </w:tcBorders>
          </w:tcPr>
          <w:p>
            <w:pPr>
              <w:pStyle w:val="CaptionName"/>
              <w:pBdr>
                <w:bottom w:val="single" w:sz="4" w:space="1" w:color="000000"/>
              </w:pBdr>
            </w:pPr>
          </w:p>
        </w:tc>
        <w:tc>
          <w:tcPr>
            <w:tcW w:w="432" w:type="dxa"/>
          </w:tcPr>
          <w:p>
            <w:pPr>
              <w:pStyle w:val="CaptionName"/>
            </w:pPr>
          </w:p>
        </w:tc>
        <w:tc>
          <w:tcPr>
            <w:tcW w:w="4176" w:type="dxa"/>
          </w:tcPr>
          <w:p>
            <w:pPr>
              <w:pStyle w:val="CaptionRight"/>
            </w:pPr>
          </w:p>
        </w:tc>
      </w:tr>
    </w:tbl>
    <w:p>
      <w:pPr>
        <w:pStyle w:val="BodyText"/>
      </w:pPr>
    </w:p>
    <w:p>
      <w:pPr>
        <w:pStyle w:val="CoverTitle"/>
      </w:pPr>
      <w:r>
        <w:t xml:space="preserve">COMPLAINT FOR DAMAGES</w:t>
      </w:r>
    </w:p>
    <w:p>
      <w:pPr>
        <w:pStyle w:val="AllegationText"/>
      </w:pPr>
      <w:r>
        <w:t xml:space="preserve">COMES NOW, Plaintiff Amy Solen (“Plaintiff”), by and through undersigned counsel, and files this, her Complaint against Defendant Hopebridge, LLC’s (“Defendant”), and shows the Court as follows:</w:t>
      </w:r>
    </w:p>
    <w:p>
      <w:pPr>
        <w:pStyle w:val="Heading1"/>
      </w:pPr>
      <w:bookmarkStart w:id="9" w:name="_bb5c4dafd4176f5817400b0a2d1177a7db9f918"/>
      <w:r>
        <w:t xml:space="preserve">NATURE OF COMPLAINT</w:t>
      </w:r>
      <w:bookmarkEnd w:id="9"/>
    </w:p>
    <w:p>
      <w:pPr>
        <w:pStyle w:val="AllegationNumber"/>
      </w:pPr>
      <w:fldSimple w:instr=" SEQ Allegation \* ARABIC ">
        <w:r>
          <w:t>1</w:t>
        </w:r>
      </w:fldSimple>
      <w:r>
        <w:t>.</w:t>
      </w:r>
    </w:p>
    <w:p>
      <w:pPr>
        <w:pStyle w:val="AllegationText"/>
      </w:pPr>
      <w:r>
        <w:t xml:space="preserve">Plaintiff brings this action for damages and reasonable attorney fees for Defendant’s violations of her rights under the Americans with Disabilities Act of 1990, as amended, 42 U.S.C. § 12111 et seq. (“ADA”).</w:t>
      </w:r>
    </w:p>
    <w:p>
      <w:pPr>
        <w:pStyle w:val="Heading1"/>
      </w:pPr>
      <w:bookmarkStart w:id="10" w:name="_0e2df9c0fe52ebd43073ce38f4076c822df9b17"/>
      <w:r>
        <w:t xml:space="preserve">JURISDICTION AND VENUE</w:t>
      </w:r>
      <w:bookmarkEnd w:id="10"/>
    </w:p>
    <w:p>
      <w:pPr>
        <w:pStyle w:val="AllegationNumber"/>
      </w:pPr>
      <w:fldSimple w:instr=" SEQ Allegation \* ARABIC ">
        <w:r>
          <w:t>2</w:t>
        </w:r>
      </w:fldSimple>
      <w:r>
        <w:t>.</w:t>
      </w:r>
    </w:p>
    <w:p>
      <w:pPr>
        <w:pStyle w:val="AllegationText"/>
      </w:pPr>
      <w:r>
        <w:t xml:space="preserve">Plaintiff invokes the jurisdiction of this court pursuant to 28 U.S.C. § 1331 and 42 U.S.C. § 12117 and 12203.</w:t>
      </w:r>
    </w:p>
    <w:p>
      <w:pPr>
        <w:pStyle w:val="AllegationNumber"/>
      </w:pPr>
      <w:fldSimple w:instr=" SEQ Allegation \* ARABIC ">
        <w:r>
          <w:t>3</w:t>
        </w:r>
      </w:fldSimple>
      <w:r>
        <w:t>.</w:t>
      </w:r>
    </w:p>
    <w:p>
      <w:pPr>
        <w:pStyle w:val="AllegationText"/>
      </w:pPr>
      <w:r>
        <w:t xml:space="preserve">The unlawful employment practices alleged in this Complaint were committed within this district. In accordance with 28 U.S.C. § 1391 and 42 U.S.C. § 2000(e)-5(f), as incorporated in 42 U.S.C. § 12117(a), venue is appropriate in this Court.</w:t>
      </w:r>
    </w:p>
    <w:p>
      <w:pPr>
        <w:pStyle w:val="Heading1"/>
      </w:pPr>
      <w:bookmarkStart w:id="11" w:name="_parties"/>
      <w:r>
        <w:t xml:space="preserve">PARTIES</w:t>
      </w:r>
      <w:bookmarkEnd w:id="11"/>
    </w:p>
    <w:p>
      <w:pPr>
        <w:pStyle w:val="AllegationNumber"/>
      </w:pPr>
      <w:fldSimple w:instr=" SEQ Allegation \* ARABIC ">
        <w:r>
          <w:t>4</w:t>
        </w:r>
      </w:fldSimple>
      <w:r>
        <w:t>.</w:t>
      </w:r>
    </w:p>
    <w:p>
      <w:pPr>
        <w:pStyle w:val="AllegationText"/>
      </w:pPr>
      <w:r>
        <w:t xml:space="preserve">Plaintiff is a resident of the State of Georgia and a citizen of the United States of America and is entitled to bring actions of this kind and nature.</w:t>
      </w:r>
    </w:p>
    <w:p>
      <w:pPr>
        <w:pStyle w:val="AllegationNumber"/>
      </w:pPr>
      <w:fldSimple w:instr=" SEQ Allegation \* ARABIC ">
        <w:r>
          <w:t>5</w:t>
        </w:r>
      </w:fldSimple>
      <w:r>
        <w:t>.</w:t>
      </w:r>
    </w:p>
    <w:p>
      <w:pPr>
        <w:pStyle w:val="AllegationText"/>
      </w:pPr>
      <w:r>
        <w:t xml:space="preserve">Defendant Hopebridge, LLC is a foreign limited liability corporation licensed to do business in Georgia which may be served pursuant to Rule 4 of the Federal Rules of Civil Procedure through its registered agent for service of process, URS Agents, LLC (CA), 3675 Crestwood Parkway, Suite 350, Duluth, GA, 30096.</w:t>
      </w:r>
    </w:p>
    <w:p>
      <w:pPr>
        <w:pStyle w:val="Heading1"/>
      </w:pPr>
      <w:bookmarkStart w:id="12" w:name="_b202bb1b7dfa0140e4ca4909cd1bb3f96c1f99d"/>
      <w:r>
        <w:t xml:space="preserve">ADMINISTRATIVE PROCEDURES</w:t>
      </w:r>
      <w:bookmarkEnd w:id="12"/>
    </w:p>
    <w:p>
      <w:pPr>
        <w:pStyle w:val="AllegationNumber"/>
      </w:pPr>
      <w:fldSimple w:instr=" SEQ Allegation \* ARABIC ">
        <w:r>
          <w:t>6</w:t>
        </w:r>
      </w:fldSimple>
      <w:r>
        <w:t>.</w:t>
      </w:r>
    </w:p>
    <w:p>
      <w:pPr>
        <w:pStyle w:val="AllegationText"/>
      </w:pPr>
      <w:r>
        <w:t xml:space="preserve">Plaintiff timely filed a charge of discrimination against Defendant with the Equal Employment Opportunity Commission (“EEOC”) on March 26, 2020. Defendant had notice of the Charge and an opportunity to participate in the investigation and conciliation of the Charge and did in fact participate in the investigation of the Charge.</w:t>
      </w:r>
    </w:p>
    <w:p>
      <w:pPr>
        <w:pStyle w:val="AllegationNumber"/>
      </w:pPr>
      <w:fldSimple w:instr=" SEQ Allegation \* ARABIC ">
        <w:r>
          <w:t>7</w:t>
        </w:r>
      </w:fldSimple>
      <w:r>
        <w:t>.</w:t>
      </w:r>
    </w:p>
    <w:p>
      <w:pPr>
        <w:pStyle w:val="AllegationText"/>
      </w:pPr>
      <w:r>
        <w:t xml:space="preserve">The EEOC issued a “Notice of Right to Sue” on April 22, 2021, entitling an action to be commenced within ninety (90) days of receipt of that notice.</w:t>
      </w:r>
    </w:p>
    <w:p>
      <w:pPr>
        <w:pStyle w:val="AllegationNumber"/>
      </w:pPr>
      <w:fldSimple w:instr=" SEQ Allegation \* ARABIC ">
        <w:r>
          <w:t>8</w:t>
        </w:r>
      </w:fldSimple>
      <w:r>
        <w:t>.</w:t>
      </w:r>
    </w:p>
    <w:p>
      <w:pPr>
        <w:pStyle w:val="AllegationText"/>
      </w:pPr>
      <w:r>
        <w:t xml:space="preserve">This action has been commenced within ninety (90) days of receipt of the “Notice of Right to Sue”.</w:t>
      </w:r>
    </w:p>
    <w:p>
      <w:pPr>
        <w:pStyle w:val="Heading1"/>
      </w:pPr>
      <w:bookmarkStart w:id="13" w:name="_d221e47df2d2bfb45f1f5035ae39638c7f80357"/>
      <w:r>
        <w:t xml:space="preserve">FACTUAL ALLEGATIONS</w:t>
      </w:r>
      <w:bookmarkEnd w:id="13"/>
    </w:p>
    <w:p>
      <w:pPr>
        <w:pStyle w:val="AllegationNumber"/>
      </w:pPr>
      <w:fldSimple w:instr=" SEQ Allegation \* ARABIC ">
        <w:r>
          <w:t>9</w:t>
        </w:r>
      </w:fldSimple>
      <w:r>
        <w:t>.</w:t>
      </w:r>
    </w:p>
    <w:p>
      <w:pPr>
        <w:pStyle w:val="AllegationText"/>
      </w:pPr>
      <w:r>
        <w:t xml:space="preserve">Defendant is now and at all times during the period of Plaintiff’s employment and thereafter has been an employer engaged in an industry affecting commerce within the meaning of 42 U.S.C. § 1211(5)(a) and 15 or more employees for each working day in each of 20 or more calendar weeks in the 2019 or 2018 calendar year.</w:t>
      </w:r>
    </w:p>
    <w:p>
      <w:pPr>
        <w:pStyle w:val="AllegationNumber"/>
      </w:pPr>
      <w:fldSimple w:instr=" SEQ Allegation \* ARABIC ">
        <w:r>
          <w:t>10</w:t>
        </w:r>
      </w:fldSimple>
      <w:r>
        <w:t>.</w:t>
      </w:r>
    </w:p>
    <w:p>
      <w:pPr>
        <w:pStyle w:val="AllegationText"/>
      </w:pPr>
      <w:r>
        <w:t xml:space="preserve">Defendant has employed more than 500 employees in each of 20 or more calendar weeks in the 2018 or 2019 calendar years.</w:t>
      </w:r>
    </w:p>
    <w:p>
      <w:pPr>
        <w:pStyle w:val="AllegationNumber"/>
      </w:pPr>
      <w:fldSimple w:instr=" SEQ Allegation \* ARABIC ">
        <w:r>
          <w:t>11</w:t>
        </w:r>
      </w:fldSimple>
      <w:r>
        <w:t>.</w:t>
      </w:r>
    </w:p>
    <w:p>
      <w:pPr>
        <w:pStyle w:val="AllegationText"/>
      </w:pPr>
      <w:r>
        <w:t xml:space="preserve">Defendant’s annual revenues exceed $40,000,000.</w:t>
      </w:r>
    </w:p>
    <w:p>
      <w:pPr>
        <w:pStyle w:val="AllegationNumber"/>
      </w:pPr>
      <w:fldSimple w:instr=" SEQ Allegation \* ARABIC ">
        <w:r>
          <w:t>12</w:t>
        </w:r>
      </w:fldSimple>
      <w:r>
        <w:t>.</w:t>
      </w:r>
    </w:p>
    <w:p>
      <w:pPr>
        <w:pStyle w:val="AllegationText"/>
      </w:pPr>
      <w:r>
        <w:t xml:space="preserve">Defendant was thus able to grant the accommodation requested by Plaintiff.</w:t>
      </w:r>
    </w:p>
    <w:p>
      <w:pPr>
        <w:pStyle w:val="AllegationNumber"/>
      </w:pPr>
      <w:fldSimple w:instr=" SEQ Allegation \* ARABIC ">
        <w:r>
          <w:t>13</w:t>
        </w:r>
      </w:fldSimple>
      <w:r>
        <w:t>.</w:t>
      </w:r>
    </w:p>
    <w:p>
      <w:pPr>
        <w:pStyle w:val="AllegationText"/>
      </w:pPr>
      <w:r>
        <w:t xml:space="preserve">Plaintiff was hired by Defendant on September 9, 2019 as a Board Certified Behavior Analyst.</w:t>
      </w:r>
    </w:p>
    <w:p>
      <w:pPr>
        <w:pStyle w:val="AllegationNumber"/>
      </w:pPr>
      <w:fldSimple w:instr=" SEQ Allegation \* ARABIC ">
        <w:r>
          <w:t>14</w:t>
        </w:r>
      </w:fldSimple>
      <w:r>
        <w:t>.</w:t>
      </w:r>
    </w:p>
    <w:p>
      <w:pPr>
        <w:pStyle w:val="AllegationText"/>
      </w:pPr>
      <w:r>
        <w:t xml:space="preserve">After she was hired, Plaintiff disclosed to Trent Goode, the Center Manager, as well as Registered Behavior Technicians then working at the Center, that she suffers from primary immunodeficiency, which requires Plaintiff to have regular infusions of Hizentra, that requires her to have regular appointments with an immunologist for treatments that present cost over $18,000 per month.</w:t>
      </w:r>
    </w:p>
    <w:p>
      <w:pPr>
        <w:pStyle w:val="AllegationNumber"/>
      </w:pPr>
      <w:fldSimple w:instr=" SEQ Allegation \* ARABIC ">
        <w:r>
          <w:t>15</w:t>
        </w:r>
      </w:fldSimple>
      <w:r>
        <w:t>.</w:t>
      </w:r>
    </w:p>
    <w:p>
      <w:pPr>
        <w:pStyle w:val="AllegationText"/>
      </w:pPr>
      <w:r>
        <w:t xml:space="preserve">Plaintiff discussed the precautions she needed to exercise in order to manage the risks associated with her disability.</w:t>
      </w:r>
    </w:p>
    <w:p>
      <w:pPr>
        <w:pStyle w:val="AllegationNumber"/>
      </w:pPr>
      <w:fldSimple w:instr=" SEQ Allegation \* ARABIC ">
        <w:r>
          <w:t>16</w:t>
        </w:r>
      </w:fldSimple>
      <w:r>
        <w:t>.</w:t>
      </w:r>
    </w:p>
    <w:p>
      <w:pPr>
        <w:pStyle w:val="AllegationText"/>
      </w:pPr>
      <w:r>
        <w:t xml:space="preserve">As part of her discussions about these precautions, she had numerous conversations with Mr. Goode regarding her concerns about children being in the clinic with fevers or other symptoms indicating that they suffered from contagious disease.</w:t>
      </w:r>
    </w:p>
    <w:p>
      <w:pPr>
        <w:pStyle w:val="AllegationNumber"/>
      </w:pPr>
      <w:fldSimple w:instr=" SEQ Allegation \* ARABIC ">
        <w:r>
          <w:t>17</w:t>
        </w:r>
      </w:fldSimple>
      <w:r>
        <w:t>.</w:t>
      </w:r>
    </w:p>
    <w:p>
      <w:pPr>
        <w:pStyle w:val="AllegationText"/>
      </w:pPr>
      <w:r>
        <w:t xml:space="preserve">Mr. Goode represented to Plaintiff that it had a policy of not permitting children with contagious diseases to be present at the Center, which policy was contained in patient packets and on a flyer hung in the lobby.</w:t>
      </w:r>
    </w:p>
    <w:p>
      <w:pPr>
        <w:pStyle w:val="AllegationNumber"/>
      </w:pPr>
      <w:fldSimple w:instr=" SEQ Allegation \* ARABIC ">
        <w:r>
          <w:t>18</w:t>
        </w:r>
      </w:fldSimple>
      <w:r>
        <w:t>.</w:t>
      </w:r>
    </w:p>
    <w:p>
      <w:pPr>
        <w:pStyle w:val="AllegationText"/>
      </w:pPr>
      <w:r>
        <w:t xml:space="preserve">However, it readily became apparent that this policy was not followed, as numerous children were ill, with fevers, and very few children were sent home.</w:t>
      </w:r>
    </w:p>
    <w:p>
      <w:pPr>
        <w:pStyle w:val="AllegationNumber"/>
      </w:pPr>
      <w:fldSimple w:instr=" SEQ Allegation \* ARABIC ">
        <w:r>
          <w:t>19</w:t>
        </w:r>
      </w:fldSimple>
      <w:r>
        <w:t>.</w:t>
      </w:r>
    </w:p>
    <w:p>
      <w:pPr>
        <w:pStyle w:val="AllegationText"/>
      </w:pPr>
      <w:r>
        <w:t xml:space="preserve">Some children were so ill that they merely slept through the day while they were supposed to be receiving services.</w:t>
      </w:r>
    </w:p>
    <w:p>
      <w:pPr>
        <w:pStyle w:val="AllegationNumber"/>
      </w:pPr>
      <w:fldSimple w:instr=" SEQ Allegation \* ARABIC ">
        <w:r>
          <w:t>20</w:t>
        </w:r>
      </w:fldSimple>
      <w:r>
        <w:t>.</w:t>
      </w:r>
    </w:p>
    <w:p>
      <w:pPr>
        <w:pStyle w:val="AllegationText"/>
      </w:pPr>
      <w:r>
        <w:t xml:space="preserve">Plaintiff disclosed this on-going violation of policy to the then Regional Center Manager, Stacy Scarrette.</w:t>
      </w:r>
    </w:p>
    <w:p>
      <w:pPr>
        <w:pStyle w:val="AllegationNumber"/>
      </w:pPr>
      <w:fldSimple w:instr=" SEQ Allegation \* ARABIC ">
        <w:r>
          <w:t>21</w:t>
        </w:r>
      </w:fldSimple>
      <w:r>
        <w:t>.</w:t>
      </w:r>
    </w:p>
    <w:p>
      <w:pPr>
        <w:pStyle w:val="AllegationText"/>
      </w:pPr>
      <w:r>
        <w:t xml:space="preserve">During this same period, Mr. Goode reinstated from suspension a Registered Behavior Technician who had been sent home for striking one of the three-year-old patients at the Center.</w:t>
      </w:r>
    </w:p>
    <w:p>
      <w:pPr>
        <w:pStyle w:val="AllegationNumber"/>
      </w:pPr>
      <w:fldSimple w:instr=" SEQ Allegation \* ARABIC ">
        <w:r>
          <w:t>22</w:t>
        </w:r>
      </w:fldSimple>
      <w:r>
        <w:t>.</w:t>
      </w:r>
    </w:p>
    <w:p>
      <w:pPr>
        <w:pStyle w:val="AllegationText"/>
      </w:pPr>
      <w:r>
        <w:t xml:space="preserve">On November 11, 2019, due to the failure to enforce the policy against permitting contagious children to remain at the Clinic, the fraudulent practice alleged above and because Mr. Goode had reinstated the Registered Behavior Technician who had struck a three-year-old patient at the Center, Plaintiff told Mr. Goode and other members of the staff that, unless things changed, her last day would be November 22, 2019.</w:t>
      </w:r>
    </w:p>
    <w:p>
      <w:pPr>
        <w:pStyle w:val="AllegationNumber"/>
      </w:pPr>
      <w:fldSimple w:instr=" SEQ Allegation \* ARABIC ">
        <w:r>
          <w:t>23</w:t>
        </w:r>
      </w:fldSimple>
      <w:r>
        <w:t>.</w:t>
      </w:r>
    </w:p>
    <w:p>
      <w:pPr>
        <w:pStyle w:val="AllegationText"/>
      </w:pPr>
      <w:r>
        <w:t xml:space="preserve">On November 11, 2019, Plaintiff also reported Mr. Goode to Defendant’s corporate compliance officer for requiring Karina Massey to prepare fraudulent billing notes and instructing Plaintiff to sign off on fraudulent billing notes, so that they could be used for billing purposes.</w:t>
      </w:r>
    </w:p>
    <w:p>
      <w:pPr>
        <w:pStyle w:val="AllegationNumber"/>
      </w:pPr>
      <w:fldSimple w:instr=" SEQ Allegation \* ARABIC ">
        <w:r>
          <w:t>24</w:t>
        </w:r>
      </w:fldSimple>
      <w:r>
        <w:t>.</w:t>
      </w:r>
    </w:p>
    <w:p>
      <w:pPr>
        <w:pStyle w:val="AllegationText"/>
      </w:pPr>
      <w:r>
        <w:t xml:space="preserve">On the evening of November 11, 2019, the Regional Center Manager, Stacy Scarrette and informed her of the preceding facts. Ms. Scarrette reassured that the issues she had reported would be taken seriously and changes would be made.</w:t>
      </w:r>
    </w:p>
    <w:p>
      <w:pPr>
        <w:pStyle w:val="AllegationNumber"/>
      </w:pPr>
      <w:fldSimple w:instr=" SEQ Allegation \* ARABIC ">
        <w:r>
          <w:t>25</w:t>
        </w:r>
      </w:fldSimple>
      <w:r>
        <w:t>.</w:t>
      </w:r>
    </w:p>
    <w:p>
      <w:pPr>
        <w:pStyle w:val="AllegationText"/>
      </w:pPr>
      <w:r>
        <w:t xml:space="preserve">Ms. Scarrette asked Plaintiff to rescind her verbal resignation and Plaintiff agreed.</w:t>
      </w:r>
    </w:p>
    <w:p>
      <w:pPr>
        <w:pStyle w:val="AllegationNumber"/>
      </w:pPr>
      <w:fldSimple w:instr=" SEQ Allegation \* ARABIC ">
        <w:r>
          <w:t>26</w:t>
        </w:r>
      </w:fldSimple>
      <w:r>
        <w:t>.</w:t>
      </w:r>
    </w:p>
    <w:p>
      <w:pPr>
        <w:pStyle w:val="AllegationText"/>
      </w:pPr>
      <w:r>
        <w:t xml:space="preserve">Subsequently, despite Plaintiff’s stated concerns and notwithstanding the stated “no contagious children” policy, on November 18, 2019, Plaintiff was informed by an RBT named Kelsey that a child was dropped off at the Center by his mother with an oozing, pustulant sore on the back of his leg and had a prescription antibiotic cream which she recognized as one used to treat staph infections.</w:t>
      </w:r>
    </w:p>
    <w:p>
      <w:pPr>
        <w:pStyle w:val="AllegationNumber"/>
      </w:pPr>
      <w:fldSimple w:instr=" SEQ Allegation \* ARABIC ">
        <w:r>
          <w:t>27</w:t>
        </w:r>
      </w:fldSimple>
      <w:r>
        <w:t>.</w:t>
      </w:r>
    </w:p>
    <w:p>
      <w:pPr>
        <w:pStyle w:val="AllegationText"/>
      </w:pPr>
      <w:r>
        <w:t xml:space="preserve">Plaintiff attempted to reach the child’s mother several times, without success.</w:t>
      </w:r>
    </w:p>
    <w:p>
      <w:pPr>
        <w:pStyle w:val="AllegationNumber"/>
      </w:pPr>
      <w:fldSimple w:instr=" SEQ Allegation \* ARABIC ">
        <w:r>
          <w:t>28</w:t>
        </w:r>
      </w:fldSimple>
      <w:r>
        <w:t>.</w:t>
      </w:r>
    </w:p>
    <w:p>
      <w:pPr>
        <w:pStyle w:val="AllegationText"/>
      </w:pPr>
      <w:r>
        <w:t xml:space="preserve">Plaintiff then contacted the pharmacist who filled the prescription and the pharmacist stated that it was prescribed for bacterial infections such as staph. The pharmacist confirmed that the infection was contagious, given the nature of the medication.</w:t>
      </w:r>
    </w:p>
    <w:p>
      <w:pPr>
        <w:pStyle w:val="AllegationNumber"/>
      </w:pPr>
      <w:fldSimple w:instr=" SEQ Allegation \* ARABIC ">
        <w:r>
          <w:t>29</w:t>
        </w:r>
      </w:fldSimple>
      <w:r>
        <w:t>.</w:t>
      </w:r>
    </w:p>
    <w:p>
      <w:pPr>
        <w:pStyle w:val="AllegationText"/>
      </w:pPr>
      <w:r>
        <w:t xml:space="preserve">Kelsey contacted Plaintiff and informed her that Mr. Goode had informed her merely to use good handwashing protocols while changing the child’s diaper. She also reported that the child had stuck his hands in the infected sore and wiped the pus on Kelsey’s face and ear.</w:t>
      </w:r>
    </w:p>
    <w:p>
      <w:pPr>
        <w:pStyle w:val="AllegationNumber"/>
      </w:pPr>
      <w:fldSimple w:instr=" SEQ Allegation \* ARABIC ">
        <w:r>
          <w:t>30</w:t>
        </w:r>
      </w:fldSimple>
      <w:r>
        <w:t>.</w:t>
      </w:r>
    </w:p>
    <w:p>
      <w:pPr>
        <w:pStyle w:val="AllegationText"/>
      </w:pPr>
      <w:r>
        <w:t xml:space="preserve">The child’s mother then contacted Plaintiff via telephone. Plaintiff asked about the child’s condition, which the mother described as a “boil.” The mother did not know what kind of infection the child had and, on further questioning, admitted that she did not have a note from the doctor stating that the child could safely be in the Clinic without risk of infection staff and other patients.</w:t>
      </w:r>
    </w:p>
    <w:p>
      <w:pPr>
        <w:pStyle w:val="AllegationNumber"/>
      </w:pPr>
      <w:fldSimple w:instr=" SEQ Allegation \* ARABIC ">
        <w:r>
          <w:t>31</w:t>
        </w:r>
      </w:fldSimple>
      <w:r>
        <w:t>.</w:t>
      </w:r>
    </w:p>
    <w:p>
      <w:pPr>
        <w:pStyle w:val="AllegationText"/>
      </w:pPr>
      <w:r>
        <w:t xml:space="preserve">Plaintiff then checked online and found a scholarly article written by infectious disease professionals that stated that “A boil, also known as a furuncle, is a bacterial infection involving the perifolligular tissue that usually originates from pre-existing folliculitis.” It also stated that “Staphylococcus aureus is the most common pathogen of folliculitis and boils.” See Lin, H. S., Lin, P. T., Tsai, Y. S., Wang, S. H., &amp; Chi, C. C. (2018). Interventions for bacterial folliculitis and boils (furuncles and carbuncles). The Cochrane Database of Systematic Reviews, 2018(8), CD013099. https://doi.org/10.1002/14651858.CD013099.</w:t>
      </w:r>
    </w:p>
    <w:p>
      <w:pPr>
        <w:pStyle w:val="AllegationNumber"/>
      </w:pPr>
      <w:fldSimple w:instr=" SEQ Allegation \* ARABIC ">
        <w:r>
          <w:t>32</w:t>
        </w:r>
      </w:fldSimple>
      <w:r>
        <w:t>.</w:t>
      </w:r>
    </w:p>
    <w:p>
      <w:pPr>
        <w:pStyle w:val="AllegationText"/>
      </w:pPr>
      <w:r>
        <w:t xml:space="preserve">Plaintiff informed Mr. Goode and Oascha, the Regional BCBA, that, because of her disability, if she were to become infected, it could be fatal. She requested that another BCBA provide oversight, unless the child were sent home as required by policy.</w:t>
      </w:r>
    </w:p>
    <w:p>
      <w:pPr>
        <w:pStyle w:val="AllegationNumber"/>
      </w:pPr>
      <w:fldSimple w:instr=" SEQ Allegation \* ARABIC ">
        <w:r>
          <w:t>33</w:t>
        </w:r>
      </w:fldSimple>
      <w:r>
        <w:t>.</w:t>
      </w:r>
    </w:p>
    <w:p>
      <w:pPr>
        <w:pStyle w:val="AllegationText"/>
      </w:pPr>
      <w:r>
        <w:t xml:space="preserve">Plaintiff was then fired and escorted from the building.</w:t>
      </w:r>
    </w:p>
    <w:p>
      <w:pPr>
        <w:pStyle w:val="Heading1"/>
      </w:pPr>
      <w:bookmarkStart w:id="14" w:name="_4c5e14c9003ca2a471ea58566a129022fcc1c10"/>
      <w:r>
        <w:t xml:space="preserve">CLAIMS FOR RELIEF</w:t>
      </w:r>
      <w:bookmarkEnd w:id="14"/>
    </w:p>
    <w:p>
      <w:pPr>
        <w:pStyle w:val="Heading2"/>
      </w:pPr>
      <w:bookmarkStart w:id="15" w:name="_2eb99a6c0717141861defdcd4cca144b569f974"/>
      <w:r>
        <w:t xml:space="preserve">COUNT I: DISABILITY DISCRIMINATION IN VIOLATION OF ADA</w:t>
      </w:r>
      <w:bookmarkEnd w:id="15"/>
    </w:p>
    <w:p>
      <w:pPr>
        <w:pStyle w:val="AllegationNumber"/>
      </w:pPr>
      <w:fldSimple w:instr=" SEQ Allegation \* ARABIC ">
        <w:r>
          <w:t>34</w:t>
        </w:r>
      </w:fldSimple>
      <w:r>
        <w:t>.</w:t>
      </w:r>
    </w:p>
    <w:p>
      <w:pPr>
        <w:pStyle w:val="AllegationText"/>
      </w:pPr>
      <w:r>
        <w:t xml:space="preserve">Plaintiff re-alleges paragraphs 9-33 as if set forth fully herein.</w:t>
      </w:r>
    </w:p>
    <w:p>
      <w:pPr>
        <w:pStyle w:val="AllegationNumber"/>
      </w:pPr>
      <w:fldSimple w:instr=" SEQ Allegation \* ARABIC ">
        <w:r>
          <w:t>35</w:t>
        </w:r>
      </w:fldSimple>
      <w:r>
        <w:t>.</w:t>
      </w:r>
    </w:p>
    <w:p>
      <w:pPr>
        <w:pStyle w:val="AllegationText"/>
      </w:pPr>
      <w:r>
        <w:t xml:space="preserve">Plaintiff has a physical impaiment and a record of such an impairment which substantially limits one or more major life activities, i.e., a major bodily function, including but not limited to, functions of the immune system.</w:t>
      </w:r>
    </w:p>
    <w:p>
      <w:pPr>
        <w:pStyle w:val="Heading1"/>
      </w:pPr>
      <w:bookmarkStart w:id="16" w:name="_ef66b8fb8023651585f5d55fe5a420ee6f5e8cc"/>
      <w:r>
        <w:t xml:space="preserve">PRAYER FOR RELIEF</w:t>
      </w:r>
      <w:bookmarkEnd w:id="16"/>
    </w:p>
    <w:p>
      <w:pPr>
        <w:pStyle w:val="AllegationText"/>
      </w:pPr>
      <w:r>
        <w:t xml:space="preserve">WHEREFORE, Plaintiff respectfully requests that this Court:</w:t>
      </w:r>
    </w:p>
    <w:p>
      <w:pPr>
        <w:pStyle w:val="PrayerItem"/>
      </w:pPr>
      <w:r>
        <w:t>(</w:t>
      </w:r>
      <w:fldSimple w:instr=" SEQ Prayer \r 1 \* alphabetic ">
        <w:r>
          <w:t>a</w:t>
        </w:r>
      </w:fldSimple>
      <w:r>
        <w:t>)</w:t>
      </w:r>
      <w:r>
        <w:tab/>
      </w:r>
      <w:r>
        <w:t xml:space="preserve">General damages for mental and emotional suffering caused by Defendant’s misconduct;</w:t>
      </w:r>
    </w:p>
    <w:p>
      <w:pPr>
        <w:pStyle w:val="PrayerItem"/>
      </w:pPr>
      <w:r>
        <w:t>(</w:t>
      </w:r>
      <w:fldSimple w:instr=" SEQ Prayer \* alphabetic ">
        <w:r>
          <w:t>b</w:t>
        </w:r>
      </w:fldSimple>
      <w:r>
        <w:t>)</w:t>
      </w:r>
      <w:r>
        <w:tab/>
      </w:r>
      <w:r>
        <w:t xml:space="preserve">Punitive damages based on Defendant’s willful, malicious, intentional, and deliberate acts, including ratification, condonation and approval of said acts;</w:t>
      </w:r>
    </w:p>
    <w:p>
      <w:pPr>
        <w:pStyle w:val="PrayerItem"/>
      </w:pPr>
      <w:r>
        <w:t>(</w:t>
      </w:r>
      <w:fldSimple w:instr=" SEQ Prayer \* alphabetic ">
        <w:r>
          <w:t>c</w:t>
        </w:r>
      </w:fldSimple>
      <w:r>
        <w:t>)</w:t>
      </w:r>
      <w:r>
        <w:tab/>
      </w:r>
      <w:r>
        <w:t xml:space="preserve">Special damages for lost wages and benefits and prejudgment interest thereon;</w:t>
      </w:r>
    </w:p>
    <w:p>
      <w:pPr>
        <w:pStyle w:val="PrayerItem"/>
      </w:pPr>
      <w:r>
        <w:t>(</w:t>
      </w:r>
      <w:fldSimple w:instr=" SEQ Prayer \* alphabetic ">
        <w:r>
          <w:t>d</w:t>
        </w:r>
      </w:fldSimple>
      <w:r>
        <w:t>)</w:t>
      </w:r>
      <w:r>
        <w:tab/>
      </w:r>
      <w:r>
        <w:t xml:space="preserve">Reasonable attorney’s fees and expenses of litigation;</w:t>
      </w:r>
    </w:p>
    <w:p>
      <w:pPr>
        <w:pStyle w:val="PrayerItem"/>
      </w:pPr>
      <w:r>
        <w:t>(</w:t>
      </w:r>
      <w:fldSimple w:instr=" SEQ Prayer \* alphabetic ">
        <w:r>
          <w:t>e</w:t>
        </w:r>
      </w:fldSimple>
      <w:r>
        <w:t>)</w:t>
      </w:r>
      <w:r>
        <w:tab/>
      </w:r>
      <w:r>
        <w:t xml:space="preserve">Trial by jury as to all issues;</w:t>
      </w:r>
    </w:p>
    <w:p>
      <w:pPr>
        <w:pStyle w:val="PrayerItem"/>
      </w:pPr>
      <w:r>
        <w:t>(</w:t>
      </w:r>
      <w:fldSimple w:instr=" SEQ Prayer \* alphabetic ">
        <w:r>
          <w:t>f</w:t>
        </w:r>
      </w:fldSimple>
      <w:r>
        <w:t>)</w:t>
      </w:r>
      <w:r>
        <w:tab/>
      </w:r>
      <w:r>
        <w:t xml:space="preserve">Prejudgment interest at the rate allowed by law;</w:t>
      </w:r>
    </w:p>
    <w:p>
      <w:pPr>
        <w:pStyle w:val="PrayerItem"/>
      </w:pPr>
      <w:r>
        <w:t>(</w:t>
      </w:r>
      <w:fldSimple w:instr=" SEQ Prayer \* alphabetic ">
        <w:r>
          <w:t>g</w:t>
        </w:r>
      </w:fldSimple>
      <w:r>
        <w:t>)</w:t>
      </w:r>
      <w:r>
        <w:tab/>
      </w:r>
      <w:r>
        <w:t xml:space="preserve">Declaratory relief to the effect that Defendant has violated Plaintiff’s statutory rights;</w:t>
      </w:r>
    </w:p>
    <w:p>
      <w:pPr>
        <w:pStyle w:val="PrayerItem"/>
      </w:pPr>
      <w:r>
        <w:t>(</w:t>
      </w:r>
      <w:fldSimple w:instr=" SEQ Prayer \* alphabetic ">
        <w:r>
          <w:t>h</w:t>
        </w:r>
      </w:fldSimple>
      <w:r>
        <w:t>)</w:t>
      </w:r>
      <w:r>
        <w:tab/>
      </w:r>
      <w:r>
        <w:t xml:space="preserve">Injunctive relief of reinstatement, or front pay in lieu thereof, and prohibiting Defendant from further unlawful conduct of the type described herein; and</w:t>
      </w:r>
    </w:p>
    <w:p>
      <w:pPr>
        <w:pStyle w:val="PrayerItem"/>
      </w:pPr>
      <w:r>
        <w:t>(</w:t>
      </w:r>
      <w:fldSimple w:instr=" SEQ Prayer \* alphabetic ">
        <w:r>
          <w:t>i</w:t>
        </w:r>
      </w:fldSimple>
      <w:r>
        <w:t>)</w:t>
      </w:r>
      <w:r>
        <w:tab/>
      </w:r>
      <w:r>
        <w:t xml:space="preserve">All other relief to which she may be entitled.</w:t>
      </w:r>
    </w:p>
    <w:p>
      <w:pPr>
        <w:pStyle w:val="SignatureLead"/>
      </w:pPr>
      <w:r>
        <w:t xml:space="preserve">Respectfully submitted the 15th day of June, 2021.</w:t>
      </w:r>
    </w:p>
    <w:p>
      <w:pPr>
        <w:pStyle w:val="SignatureBlockGap"/>
      </w:pPr>
      <w:r>
        <w:t xml:space="preserve">BARRETT &amp; FARAHANY</w:t>
      </w:r>
    </w:p>
    <w:p>
      <w:pPr>
        <w:pStyle w:val="SignatureBlock"/>
      </w:pPr>
      <w:r>
        <w:t xml:space="preserve">/s Matthew C. Billips</w:t>
      </w:r>
    </w:p>
    <w:p>
      <w:pPr>
        <w:pStyle w:val="SignatureBlock"/>
      </w:pPr>
      <w:r>
        <w:t xml:space="preserve">Matthew C. Billips</w:t>
      </w:r>
    </w:p>
    <w:p>
      <w:pPr>
        <w:pStyle w:val="SignatureBlockGap"/>
      </w:pPr>
      <w:r>
        <w:t xml:space="preserve">Georgia Bar No. 057110</w:t>
      </w:r>
    </w:p>
    <w:p>
      <w:pPr>
        <w:pStyle w:val="SignatureBlock"/>
      </w:pPr>
      <w:r>
        <w:t xml:space="preserve">Catherine Gavrilidis</w:t>
      </w:r>
    </w:p>
    <w:p>
      <w:pPr>
        <w:pStyle w:val="SignatureBlockGap"/>
      </w:pPr>
      <w:r>
        <w:t xml:space="preserve">Georgia Bar No. 565343</w:t>
      </w:r>
    </w:p>
    <w:p>
      <w:pPr>
        <w:pStyle w:val="AddressBlock"/>
      </w:pPr>
      <w:r>
        <w:t xml:space="preserve">Lead Counsel: Matthew C. Billips</w:t>
      </w:r>
    </w:p>
    <w:p>
      <w:pPr>
        <w:pStyle w:val="AddressBlock"/>
      </w:pPr>
      <w:r>
        <w:t xml:space="preserve">1100 Peachtree Street, N.E., Suite 500</w:t>
      </w:r>
    </w:p>
    <w:p>
      <w:pPr>
        <w:pStyle w:val="AddressBlock"/>
      </w:pPr>
      <w:r>
        <w:t xml:space="preserve">Atlanta, GA 30309</w:t>
      </w:r>
    </w:p>
    <w:p>
      <w:pPr>
        <w:pStyle w:val="AddressBlock"/>
      </w:pPr>
      <w:r>
        <w:t xml:space="preserve">(404) 214-0120</w:t>
      </w:r>
    </w:p>
    <w:p>
      <w:pPr>
        <w:pStyle w:val="AddressBlock"/>
      </w:pPr>
      <w:r>
        <w:t xml:space="preserve">(404) 214-0125 Facsimile</w:t>
      </w:r>
    </w:p>
    <w:p>
      <w:pPr>
        <w:pStyle w:val="AddressBlock"/>
      </w:pPr>
      <w:r>
        <w:t xml:space="preserve">matt@justiceatwork.com</w:t>
      </w:r>
    </w:p>
    <w:p>
      <w:pPr>
        <w:pStyle w:val="AddressBlockGap"/>
      </w:pPr>
      <w:r>
        <w:t xml:space="preserve">catherine@justiceatwork.com</w:t>
      </w:r>
    </w:p>
    <w:p>
      <w:pPr>
        <w:pStyle w:val="AddressBlock"/>
      </w:pPr>
      <w:r>
        <w:t xml:space="preserve">Attorney for Plaintiff Amy Solen</w:t>
      </w:r>
    </w:p>
    <w:sectPr>
      <w:footerReference w:type="default" r:id="rIdFtrDefault"/>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fldSimple w:instr=" PAGE ">
      <w:r>
        <w:rPr>
          <w:sz w:val="24"/>
          <w:szCs w:val="24"/>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eastAsia="Times New Roman" w:cs="Times New Roman"/>
        <w:sz w:val="28"/>
        <w:szCs w:val="28"/>
        <w:lang w:val="en-US" w:eastAsia="en-US" w:bidi="ar-SA"/>
      </w:rPr>
    </w:rPrDefault>
    <w:pPrDefault>
      <w:pPr>
        <w:spacing w:before="0" w:after="0" w:line="640" w:lineRule="exact"/>
      </w:pPr>
    </w:pPrDefault>
  </w:docDefaults>
  <w:style w:type="paragraph" w:default="1" w:styleId="Normal">
    <w:name w:val="Normal"/>
    <w:qFormat/>
    <w:pPr>
      <w:widowControl/>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numbering" w:default="1" w:styleId="NoList">
    <w:name w:val="No List"/>
    <w:uiPriority w:val="99"/>
    <w:semiHidden/>
    <w:unhideWhenUsed/>
  </w:style>
  <w:style w:type="paragraph" w:styleId="BodyText">
    <w:name w:val="Body Text"/>
    <w:basedOn w:val="Normal"/>
    <w:qFormat/>
    <w:pPr>
      <w:spacing w:before="0" w:after="0" w:line="640" w:lineRule="exact"/>
    </w:pPr>
  </w:style>
  <w:style w:type="paragraph" w:styleId="FirstParagraph">
    <w:name w:val="First Paragraph"/>
    <w:basedOn w:val="BodyText"/>
    <w:next w:val="BodyText"/>
    <w:qFormat/>
  </w:style>
  <w:style w:type="paragraph" w:styleId="Compact">
    <w:name w:val="Compact"/>
    <w:basedOn w:val="BodyText"/>
    <w:qFormat/>
  </w:style>
  <w:style w:type="paragraph" w:customStyle="1" w:styleId="AllegationText">
    <w:name w:val="Allegation Text"/>
    <w:basedOn w:val="BodyText"/>
    <w:qFormat/>
    <w:pPr>
      <w:ind w:firstLine="720"/>
    </w:pPr>
  </w:style>
  <w:style w:type="paragraph" w:customStyle="1" w:styleId="AllegationNumber">
    <w:name w:val="Allegation Number"/>
    <w:basedOn w:val="BodyText"/>
    <w:qFormat/>
    <w:pPr>
      <w:keepNext/>
      <w:keepLines/>
      <w:jc w:val="center"/>
    </w:pPr>
  </w:style>
  <w:style w:type="paragraph" w:customStyle="1" w:styleId="PrayerItem">
    <w:name w:val="Prayer Item"/>
    <w:basedOn w:val="BodyText"/>
    <w:qFormat/>
    <w:pPr>
      <w:ind w:left="1296" w:hanging="576"/>
    </w:pPr>
  </w:style>
  <w:style w:type="paragraph" w:customStyle="1" w:styleId="CourtHeading">
    <w:name w:val="Court Heading"/>
    <w:basedOn w:val="Normal"/>
    <w:qFormat/>
    <w:pPr>
      <w:keepNext/>
      <w:keepLines/>
      <w:spacing w:before="0" w:after="0" w:line="240" w:lineRule="auto"/>
      <w:jc w:val="center"/>
    </w:pPr>
    <w:rPr>
      <w:b/>
      <w:bCs/>
    </w:rPr>
  </w:style>
  <w:style w:type="paragraph" w:customStyle="1" w:styleId="CaptionName">
    <w:name w:val="Caption Name"/>
    <w:basedOn w:val="Normal"/>
    <w:qFormat/>
    <w:pPr>
      <w:keepLines/>
      <w:spacing w:before="0" w:after="0" w:line="320" w:lineRule="exact"/>
    </w:pPr>
  </w:style>
  <w:style w:type="paragraph" w:customStyle="1" w:styleId="CaptionDesignation">
    <w:name w:val="Caption Designation"/>
    <w:basedOn w:val="CaptionName"/>
    <w:qFormat/>
    <w:pPr>
      <w:ind w:left="1440"/>
    </w:pPr>
  </w:style>
  <w:style w:type="paragraph" w:customStyle="1" w:styleId="CaptionRight">
    <w:name w:val="Caption Right"/>
    <w:basedOn w:val="CaptionName"/>
    <w:qFormat/>
  </w:style>
  <w:style w:type="paragraph" w:customStyle="1" w:styleId="CoverTitle">
    <w:name w:val="Cover Title"/>
    <w:basedOn w:val="BodyText"/>
    <w:qFormat/>
    <w:pPr>
      <w:keepNext/>
      <w:keepLines/>
      <w:jc w:val="center"/>
    </w:pPr>
    <w:rPr>
      <w:b/>
      <w:bCs/>
    </w:rPr>
  </w:style>
  <w:style w:type="paragraph" w:styleId="Heading1">
    <w:name w:val="heading 1"/>
    <w:basedOn w:val="BodyText"/>
    <w:next w:val="AllegationText"/>
    <w:uiPriority w:val="9"/>
    <w:qFormat/>
    <w:pPr>
      <w:keepNext/>
      <w:keepLines/>
      <w:jc w:val="center"/>
      <w:outlineLvl w:val="0"/>
    </w:pPr>
    <w:rPr>
      <w:b/>
      <w:bCs/>
      <w:caps/>
    </w:rPr>
  </w:style>
  <w:style w:type="paragraph" w:styleId="Heading2">
    <w:name w:val="heading 2"/>
    <w:basedOn w:val="BodyText"/>
    <w:next w:val="AllegationText"/>
    <w:uiPriority w:val="9"/>
    <w:unhideWhenUsed/>
    <w:qFormat/>
    <w:pPr>
      <w:keepNext/>
      <w:keepLines/>
      <w:jc w:val="center"/>
      <w:outlineLvl w:val="1"/>
    </w:pPr>
    <w:rPr>
      <w:b/>
      <w:bCs/>
    </w:rPr>
  </w:style>
  <w:style w:type="paragraph" w:styleId="Heading3">
    <w:name w:val="heading 3"/>
    <w:basedOn w:val="BodyText"/>
    <w:next w:val="AllegationText"/>
    <w:uiPriority w:val="9"/>
    <w:unhideWhenUsed/>
    <w:qFormat/>
    <w:pPr>
      <w:keepNext/>
      <w:keepLines/>
      <w:outlineLvl w:val="2"/>
    </w:pPr>
    <w:rPr>
      <w:b/>
      <w:bCs/>
      <w:i/>
      <w:iCs/>
    </w:rPr>
  </w:style>
  <w:style w:type="paragraph" w:customStyle="1" w:styleId="SignatureLead">
    <w:name w:val="Signature Lead"/>
    <w:basedOn w:val="BodyText"/>
    <w:qFormat/>
    <w:pPr>
      <w:keepNext/>
      <w:keepLines/>
      <w:spacing w:before="460" w:after="300"/>
    </w:pPr>
  </w:style>
  <w:style w:type="paragraph" w:customStyle="1" w:styleId="SignatureBlock">
    <w:name w:val="Signature Block"/>
    <w:basedOn w:val="CaptionName"/>
    <w:qFormat/>
    <w:pPr>
      <w:keepNext/>
      <w:ind w:left="4320"/>
    </w:pPr>
  </w:style>
  <w:style w:type="paragraph" w:customStyle="1" w:styleId="SignatureBlockGap">
    <w:name w:val="Signature Block Gap"/>
    <w:basedOn w:val="SignatureBlock"/>
    <w:qFormat/>
    <w:pPr>
      <w:spacing w:after="300"/>
    </w:pPr>
  </w:style>
  <w:style w:type="paragraph" w:customStyle="1" w:styleId="AddressBlock">
    <w:name w:val="Address Block"/>
    <w:basedOn w:val="CaptionName"/>
    <w:qFormat/>
  </w:style>
  <w:style w:type="paragraph" w:customStyle="1" w:styleId="AddressBlockGap">
    <w:name w:val="Address Block Gap"/>
    <w:basedOn w:val="AddressBlock"/>
    <w:qFormat/>
    <w:pPr>
      <w:keepNext/>
      <w:spacing w:after="300"/>
    </w:pPr>
  </w:style>
  <w:style w:type="paragraph" w:styleId="FootnoteText">
    <w:name w:val="footnote text"/>
    <w:basedOn w:val="Normal"/>
    <w:uiPriority w:val="99"/>
    <w:unhideWhenUsed/>
    <w:pPr>
      <w:spacing w:before="0" w:after="80" w:line="240" w:lineRule="auto"/>
    </w:pPr>
    <w:rPr>
      <w:sz w:val="22"/>
      <w:szCs w:val="22"/>
    </w:rPr>
  </w:style>
  <w:style w:type="character" w:styleId="FootnoteReference">
    <w:name w:val="footnote reference"/>
    <w:uiPriority w:val="99"/>
    <w:unhideWhenUsed/>
    <w:rPr>
      <w:vertAlign w:val="superscript"/>
    </w:rPr>
  </w:style>
  <w:style w:type="paragraph" w:styleId="Footer">
    <w:name w:val="footer"/>
    <w:basedOn w:val="Normal"/>
    <w:uiPriority w:val="99"/>
    <w:unhideWhenUsed/>
    <w:pPr>
      <w:spacing w:before="0" w:after="0" w:line="240" w:lineRule="auto"/>
      <w:jc w:val="center"/>
    </w:pPr>
    <w:rPr>
      <w:sz w:val="24"/>
      <w:szCs w:val="24"/>
    </w:rPr>
  </w:style>
  <w:style w:type="character" w:styleId="Hyperlink">
    <w:name w:val="Hyperlink"/>
    <w:uiPriority w:val="99"/>
    <w:unhideWhenUsed/>
    <w:rPr>
      <w:color w:val="0000FF"/>
      <w:u w:val="single"/>
    </w:rPr>
  </w:style>
  <w:style w:type="character" w:styleId="VerbatimChar">
    <w:name w:val="Verbatim Char"/>
    <w:rPr>
      <w:rFonts w:ascii="Courier New" w:hAnsi="Courier New"/>
    </w:rPr>
  </w:style>
  <w:style w:type="paragraph" w:customStyle="1" w:styleId="AddressBlock">
    <w:name w:val="AddressBlock"/>
    <w:basedOn w:val="BodyText"/>
    <w:qFormat/>
  </w:style>
  <w:style w:type="paragraph" w:customStyle="1" w:styleId="AddressBlockGap">
    <w:name w:val="AddressBlockGap"/>
    <w:basedOn w:val="BodyText"/>
    <w:qFormat/>
  </w:style>
  <w:style w:type="paragraph" w:customStyle="1" w:styleId="AllegationText">
    <w:name w:val="AllegationText"/>
    <w:basedOn w:val="BodyText"/>
    <w:qFormat/>
  </w:style>
  <w:style w:type="paragraph" w:customStyle="1" w:styleId="CourtHeading">
    <w:name w:val="CourtHeading"/>
    <w:basedOn w:val="BodyText"/>
    <w:qFormat/>
  </w:style>
  <w:style w:type="paragraph" w:customStyle="1" w:styleId="CoverTitle">
    <w:name w:val="CoverTitle"/>
    <w:basedOn w:val="BodyText"/>
    <w:qFormat/>
  </w:style>
  <w:style w:type="paragraph" w:customStyle="1" w:styleId="PrayerItem">
    <w:name w:val="PrayerItem"/>
    <w:basedOn w:val="BodyText"/>
    <w:qFormat/>
  </w:style>
  <w:style w:type="paragraph" w:customStyle="1" w:styleId="SignatureBlock">
    <w:name w:val="SignatureBlock"/>
    <w:basedOn w:val="BodyText"/>
    <w:qFormat/>
  </w:style>
  <w:style w:type="paragraph" w:customStyle="1" w:styleId="SignatureBlockGap">
    <w:name w:val="SignatureBlockGap"/>
    <w:basedOn w:val="BodyText"/>
    <w:qFormat/>
  </w:style>
  <w:style w:type="paragraph" w:customStyle="1" w:styleId="SignatureLead">
    <w:name w:val="SignatureLea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Default"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