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Centered"/>
      </w:pPr>
      <w:r>
        <w:t xml:space="preserve">Appellate</w:t>
      </w:r>
      <w:r>
        <w:t xml:space="preserve"> </w:t>
      </w:r>
      <w:r>
        <w:t xml:space="preserve">Case</w:t>
      </w:r>
      <w:r>
        <w:t xml:space="preserve"> </w:t>
      </w:r>
      <w:r>
        <w:t xml:space="preserve">No:25</w:t>
      </w:r>
      <w:r>
        <w:t xml:space="preserve"> </w:t>
      </w:r>
      <w:r>
        <w:t xml:space="preserve">-2231</w:t>
      </w:r>
    </w:p>
    <w:p>
      <w:pPr>
        <w:pStyle w:val="CACoverCourt"/>
      </w:pPr>
      <w:r>
        <w:t xml:space="preserve">In the United States Court of Appeals</w:t>
      </w:r>
    </w:p>
    <w:p>
      <w:pPr>
        <w:pStyle w:val="CACoverCourt"/>
      </w:pPr>
      <w:r>
        <w:rPr>
          <w:b/>
        </w:rPr>
        <w:t xml:space="preserve">FOR THE SEVENTH CIRCUIT</w:t>
      </w:r>
    </w:p>
    <w:p>
      <w:pPr>
        <w:pStyle w:val="CACentered"/>
      </w:pPr>
      <w:r>
        <w:t xml:space="preserve">NIKKO</w:t>
      </w:r>
      <w:r>
        <w:t xml:space="preserve"> </w:t>
      </w:r>
      <w:r>
        <w:t xml:space="preserve">D’AMBROSIO,</w:t>
      </w:r>
    </w:p>
    <w:p>
      <w:pPr>
        <w:pStyle w:val="CACaption"/>
      </w:pPr>
      <w:r>
        <w:t xml:space="preserve">Plaintiff-Appellant,</w:t>
      </w:r>
    </w:p>
    <w:p>
      <w:pPr>
        <w:pStyle w:val="CACentered"/>
      </w:pPr>
      <w:r>
        <w:t xml:space="preserve">v.</w:t>
      </w:r>
    </w:p>
    <w:p>
      <w:pPr>
        <w:pStyle w:val="CACentered"/>
      </w:pPr>
      <w:r>
        <w:t xml:space="preserve">ABBIGAIL</w:t>
      </w:r>
      <w:r>
        <w:t xml:space="preserve"> </w:t>
      </w:r>
      <w:r>
        <w:t xml:space="preserve">RAJALA,</w:t>
      </w:r>
    </w:p>
    <w:p>
      <w:pPr>
        <w:pStyle w:val="CACentered"/>
      </w:pPr>
      <w:r>
        <w:t xml:space="preserve">CAROL</w:t>
      </w:r>
      <w:r>
        <w:t xml:space="preserve"> </w:t>
      </w:r>
      <w:r>
        <w:t xml:space="preserve">RAJALA,</w:t>
      </w:r>
      <w:r>
        <w:t xml:space="preserve"> </w:t>
      </w:r>
      <w:r>
        <w:t xml:space="preserve">RODNEY</w:t>
      </w:r>
      <w:r>
        <w:t xml:space="preserve"> </w:t>
      </w:r>
      <w:r>
        <w:t xml:space="preserve">RAJALA,</w:t>
      </w:r>
    </w:p>
    <w:p>
      <w:pPr>
        <w:pStyle w:val="CACentered"/>
      </w:pPr>
      <w:r>
        <w:t xml:space="preserve">PAOLA</w:t>
      </w:r>
      <w:r>
        <w:t xml:space="preserve"> </w:t>
      </w:r>
      <w:r>
        <w:t xml:space="preserve">SANCHEZ,</w:t>
      </w:r>
    </w:p>
    <w:p>
      <w:pPr>
        <w:pStyle w:val="CACentered"/>
      </w:pPr>
      <w:r>
        <w:t xml:space="preserve">BLAKE</w:t>
      </w:r>
      <w:r>
        <w:t xml:space="preserve"> </w:t>
      </w:r>
      <w:r>
        <w:t xml:space="preserve">MILLBRAND,</w:t>
      </w:r>
    </w:p>
    <w:p>
      <w:pPr>
        <w:pStyle w:val="CACentered"/>
      </w:pPr>
      <w:r>
        <w:t xml:space="preserve">META</w:t>
      </w:r>
      <w:r>
        <w:t xml:space="preserve"> </w:t>
      </w:r>
      <w:r>
        <w:t xml:space="preserve">PLATFORMS,</w:t>
      </w:r>
      <w:r>
        <w:t xml:space="preserve"> </w:t>
      </w:r>
      <w:r>
        <w:t xml:space="preserve">INC.,</w:t>
      </w:r>
      <w:r>
        <w:t xml:space="preserve"> </w:t>
      </w:r>
      <w:r>
        <w:t xml:space="preserve">a</w:t>
      </w:r>
      <w:r>
        <w:t xml:space="preserve"> </w:t>
      </w:r>
      <w:r>
        <w:t xml:space="preserve">Delaware</w:t>
      </w:r>
      <w:r>
        <w:t xml:space="preserve"> </w:t>
      </w:r>
      <w:r>
        <w:t xml:space="preserve">Corporation,</w:t>
      </w:r>
    </w:p>
    <w:p>
      <w:pPr>
        <w:pStyle w:val="CACentered"/>
      </w:pPr>
      <w:r>
        <w:t xml:space="preserve">SPILL</w:t>
      </w:r>
      <w:r>
        <w:t xml:space="preserve"> </w:t>
      </w:r>
      <w:r>
        <w:t xml:space="preserve">THE</w:t>
      </w:r>
      <w:r>
        <w:t xml:space="preserve"> </w:t>
      </w:r>
      <w:r>
        <w:t xml:space="preserve">TEA,</w:t>
      </w:r>
      <w:r>
        <w:t xml:space="preserve"> </w:t>
      </w:r>
      <w:r>
        <w:t xml:space="preserve">INC.,</w:t>
      </w:r>
      <w:r>
        <w:t xml:space="preserve"> </w:t>
      </w:r>
      <w:r>
        <w:t xml:space="preserve">a</w:t>
      </w:r>
      <w:r>
        <w:t xml:space="preserve"> </w:t>
      </w:r>
      <w:r>
        <w:t xml:space="preserve">Delaware</w:t>
      </w:r>
      <w:r>
        <w:t xml:space="preserve"> </w:t>
      </w:r>
      <w:r>
        <w:t xml:space="preserve">Corporation,</w:t>
      </w:r>
    </w:p>
    <w:p>
      <w:pPr>
        <w:pStyle w:val="CACentered"/>
      </w:pPr>
      <w:r>
        <w:t xml:space="preserve">JANE</w:t>
      </w:r>
      <w:r>
        <w:t xml:space="preserve"> </w:t>
      </w:r>
      <w:r>
        <w:t xml:space="preserve">DOES</w:t>
      </w:r>
      <w:r>
        <w:t xml:space="preserve"> </w:t>
      </w:r>
      <w:r>
        <w:t xml:space="preserve">1-26,</w:t>
      </w:r>
      <w:r>
        <w:t xml:space="preserve"> </w:t>
      </w:r>
      <w:r>
        <w:t xml:space="preserve">Unnamed</w:t>
      </w:r>
      <w:r>
        <w:t xml:space="preserve"> </w:t>
      </w:r>
      <w:r>
        <w:t xml:space="preserve">Defendants</w:t>
      </w:r>
      <w:r>
        <w:t xml:space="preserve"> </w:t>
      </w:r>
      <w:r>
        <w:t xml:space="preserve">using</w:t>
      </w:r>
      <w:r>
        <w:t xml:space="preserve"> </w:t>
      </w:r>
      <w:r>
        <w:t xml:space="preserve">screen</w:t>
      </w:r>
      <w:r>
        <w:t xml:space="preserve"> </w:t>
      </w:r>
      <w:r>
        <w:t xml:space="preserve">names:</w:t>
      </w:r>
      <w:r>
        <w:t xml:space="preserve"> </w:t>
      </w:r>
      <w:r>
        <w:t xml:space="preserve">Sam</w:t>
      </w:r>
      <w:r>
        <w:t xml:space="preserve"> </w:t>
      </w:r>
      <w:r>
        <w:t xml:space="preserve">Daniels,</w:t>
      </w:r>
      <w:r>
        <w:t xml:space="preserve"> </w:t>
      </w:r>
      <w:r>
        <w:t xml:space="preserve">Alexis</w:t>
      </w:r>
      <w:r>
        <w:t xml:space="preserve"> </w:t>
      </w:r>
      <w:r>
        <w:t xml:space="preserve">Kyle,</w:t>
      </w:r>
      <w:r>
        <w:t xml:space="preserve"> </w:t>
      </w:r>
      <w:r>
        <w:t xml:space="preserve">Coraline</w:t>
      </w:r>
      <w:r>
        <w:t xml:space="preserve"> </w:t>
      </w:r>
      <w:r>
        <w:t xml:space="preserve">Lotz,</w:t>
      </w:r>
      <w:r>
        <w:t xml:space="preserve"> </w:t>
      </w:r>
      <w:r>
        <w:t xml:space="preserve">Dianne</w:t>
      </w:r>
      <w:r>
        <w:t xml:space="preserve"> </w:t>
      </w:r>
      <w:r>
        <w:t xml:space="preserve">Wesley,</w:t>
      </w:r>
      <w:r>
        <w:t xml:space="preserve"> </w:t>
      </w:r>
      <w:r>
        <w:t xml:space="preserve">Madison</w:t>
      </w:r>
      <w:r>
        <w:t xml:space="preserve"> </w:t>
      </w:r>
      <w:r>
        <w:t xml:space="preserve">Pierce,</w:t>
      </w:r>
      <w:r>
        <w:t xml:space="preserve"> </w:t>
      </w:r>
      <w:r>
        <w:t xml:space="preserve">Madison</w:t>
      </w:r>
      <w:r>
        <w:t xml:space="preserve"> </w:t>
      </w:r>
      <w:r>
        <w:t xml:space="preserve">Bynum,</w:t>
      </w:r>
      <w:r>
        <w:t xml:space="preserve"> </w:t>
      </w:r>
      <w:r>
        <w:t xml:space="preserve">Vanessa</w:t>
      </w:r>
      <w:r>
        <w:t xml:space="preserve"> </w:t>
      </w:r>
      <w:r>
        <w:t xml:space="preserve">Villatoro,</w:t>
      </w:r>
      <w:r>
        <w:t xml:space="preserve"> </w:t>
      </w:r>
      <w:r>
        <w:t xml:space="preserve">Christy</w:t>
      </w:r>
      <w:r>
        <w:t xml:space="preserve"> </w:t>
      </w:r>
      <w:r>
        <w:t xml:space="preserve">Graessle,</w:t>
      </w:r>
      <w:r>
        <w:t xml:space="preserve"> </w:t>
      </w:r>
      <w:r>
        <w:t xml:space="preserve">Sharleen</w:t>
      </w:r>
      <w:r>
        <w:t xml:space="preserve"> </w:t>
      </w:r>
      <w:r>
        <w:t xml:space="preserve">Waa,</w:t>
      </w:r>
      <w:r>
        <w:t xml:space="preserve"> </w:t>
      </w:r>
      <w:r>
        <w:t xml:space="preserve">Kaitlyn</w:t>
      </w:r>
      <w:r>
        <w:t xml:space="preserve"> </w:t>
      </w:r>
      <w:r>
        <w:t xml:space="preserve">Mishay</w:t>
      </w:r>
      <w:r>
        <w:t xml:space="preserve"> </w:t>
      </w:r>
      <w:r>
        <w:t xml:space="preserve">Moody,</w:t>
      </w:r>
      <w:r>
        <w:t xml:space="preserve"> </w:t>
      </w:r>
      <w:r>
        <w:t xml:space="preserve">Linda</w:t>
      </w:r>
      <w:r>
        <w:t xml:space="preserve"> </w:t>
      </w:r>
      <w:r>
        <w:t xml:space="preserve">Juarez,</w:t>
      </w:r>
      <w:r>
        <w:t xml:space="preserve"> </w:t>
      </w:r>
      <w:r>
        <w:t xml:space="preserve">Amber</w:t>
      </w:r>
      <w:r>
        <w:t xml:space="preserve"> </w:t>
      </w:r>
      <w:r>
        <w:t xml:space="preserve">Michelle,</w:t>
      </w:r>
      <w:r>
        <w:t xml:space="preserve"> </w:t>
      </w:r>
      <w:r>
        <w:t xml:space="preserve">Laura</w:t>
      </w:r>
      <w:r>
        <w:t xml:space="preserve"> </w:t>
      </w:r>
      <w:r>
        <w:t xml:space="preserve">Maddox,</w:t>
      </w:r>
      <w:r>
        <w:t xml:space="preserve"> </w:t>
      </w:r>
      <w:r>
        <w:t xml:space="preserve">Alina</w:t>
      </w:r>
      <w:r>
        <w:t xml:space="preserve"> </w:t>
      </w:r>
      <w:r>
        <w:t xml:space="preserve">Drake,</w:t>
      </w:r>
      <w:r>
        <w:t xml:space="preserve"> </w:t>
      </w:r>
      <w:r>
        <w:t xml:space="preserve">Chandi</w:t>
      </w:r>
      <w:r>
        <w:t xml:space="preserve"> </w:t>
      </w:r>
      <w:r>
        <w:t xml:space="preserve">Constance,</w:t>
      </w:r>
      <w:r>
        <w:t xml:space="preserve"> </w:t>
      </w:r>
      <w:r>
        <w:t xml:space="preserve">Alicia</w:t>
      </w:r>
      <w:r>
        <w:t xml:space="preserve"> </w:t>
      </w:r>
      <w:r>
        <w:t xml:space="preserve">Ann,</w:t>
      </w:r>
      <w:r>
        <w:t xml:space="preserve"> </w:t>
      </w:r>
      <w:r>
        <w:t xml:space="preserve">Salisha</w:t>
      </w:r>
      <w:r>
        <w:t xml:space="preserve"> </w:t>
      </w:r>
      <w:r>
        <w:t xml:space="preserve">P.</w:t>
      </w:r>
      <w:r>
        <w:t xml:space="preserve"> </w:t>
      </w:r>
      <w:r>
        <w:t xml:space="preserve">Dean,</w:t>
      </w:r>
      <w:r>
        <w:t xml:space="preserve"> </w:t>
      </w:r>
      <w:r>
        <w:t xml:space="preserve">Jillian</w:t>
      </w:r>
      <w:r>
        <w:t xml:space="preserve"> </w:t>
      </w:r>
      <w:r>
        <w:t xml:space="preserve">Cara,</w:t>
      </w:r>
      <w:r>
        <w:t xml:space="preserve"> </w:t>
      </w:r>
      <w:r>
        <w:t xml:space="preserve">Jen</w:t>
      </w:r>
      <w:r>
        <w:t xml:space="preserve"> </w:t>
      </w:r>
      <w:r>
        <w:t xml:space="preserve">Rahbar,</w:t>
      </w:r>
      <w:r>
        <w:t xml:space="preserve"> </w:t>
      </w:r>
      <w:r>
        <w:t xml:space="preserve">Shannon</w:t>
      </w:r>
      <w:r>
        <w:t xml:space="preserve"> </w:t>
      </w:r>
      <w:r>
        <w:t xml:space="preserve">Marie,</w:t>
      </w:r>
      <w:r>
        <w:t xml:space="preserve"> </w:t>
      </w:r>
      <w:r>
        <w:t xml:space="preserve">Luisa</w:t>
      </w:r>
      <w:r>
        <w:t xml:space="preserve"> </w:t>
      </w:r>
      <w:r>
        <w:t xml:space="preserve">Resendez,</w:t>
      </w:r>
      <w:r>
        <w:t xml:space="preserve"> </w:t>
      </w:r>
      <w:r>
        <w:t xml:space="preserve">Daryl</w:t>
      </w:r>
      <w:r>
        <w:t xml:space="preserve"> </w:t>
      </w:r>
      <w:r>
        <w:t xml:space="preserve">Ceasar,</w:t>
      </w:r>
      <w:r>
        <w:t xml:space="preserve"> </w:t>
      </w:r>
      <w:r>
        <w:t xml:space="preserve">Lisa</w:t>
      </w:r>
      <w:r>
        <w:t xml:space="preserve"> </w:t>
      </w:r>
      <w:r>
        <w:t xml:space="preserve">Miko,</w:t>
      </w:r>
      <w:r>
        <w:t xml:space="preserve"> </w:t>
      </w:r>
      <w:r>
        <w:t xml:space="preserve">Amy</w:t>
      </w:r>
      <w:r>
        <w:t xml:space="preserve"> </w:t>
      </w:r>
      <w:r>
        <w:t xml:space="preserve">Dukstein-Reynolds,</w:t>
      </w:r>
      <w:r>
        <w:t xml:space="preserve"> </w:t>
      </w:r>
      <w:r>
        <w:t xml:space="preserve">Melissa</w:t>
      </w:r>
      <w:r>
        <w:t xml:space="preserve"> </w:t>
      </w:r>
      <w:r>
        <w:t xml:space="preserve">Pinkerton,</w:t>
      </w:r>
      <w:r>
        <w:t xml:space="preserve"> </w:t>
      </w:r>
      <w:r>
        <w:t xml:space="preserve">Monica</w:t>
      </w:r>
      <w:r>
        <w:t xml:space="preserve"> </w:t>
      </w:r>
      <w:r>
        <w:t xml:space="preserve">Tska,</w:t>
      </w:r>
    </w:p>
    <w:p>
      <w:pPr>
        <w:pStyle w:val="CACaption"/>
      </w:pPr>
      <w:r>
        <w:t xml:space="preserve">Defendants-Appellees.</w:t>
      </w:r>
    </w:p>
    <w:p>
      <w:pPr>
        <w:pStyle w:val="CARule"/>
      </w:pPr>
    </w:p>
    <w:p>
      <w:pPr>
        <w:pStyle w:val="CACentered"/>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Illinois,</w:t>
      </w:r>
      <w:r>
        <w:t xml:space="preserve"> </w:t>
      </w:r>
      <w:r>
        <w:t xml:space="preserve">Eastern</w:t>
      </w:r>
      <w:r>
        <w:t xml:space="preserve"> </w:t>
      </w:r>
      <w:r>
        <w:t xml:space="preserve">Division</w:t>
      </w:r>
    </w:p>
    <w:p>
      <w:pPr>
        <w:pStyle w:val="CACentered"/>
      </w:pPr>
      <w:r>
        <w:t xml:space="preserve">No. </w:t>
      </w:r>
      <w:r>
        <w:t xml:space="preserve">1:24-cv-00678</w:t>
      </w:r>
      <w:r>
        <w:t xml:space="preserve"> </w:t>
      </w:r>
      <w:r>
        <w:t xml:space="preserve">(</w:t>
      </w:r>
      <w:r>
        <w:t xml:space="preserve">Hon. Sunil</w:t>
      </w:r>
      <w:r>
        <w:t xml:space="preserve"> </w:t>
      </w:r>
      <w:r>
        <w:t xml:space="preserve">R.</w:t>
      </w:r>
      <w:r>
        <w:t xml:space="preserve"> </w:t>
      </w:r>
      <w:r>
        <w:t xml:space="preserve">Harjani,</w:t>
      </w:r>
      <w:r>
        <w:t xml:space="preserve"> </w:t>
      </w:r>
      <w:r>
        <w:t xml:space="preserve">District</w:t>
      </w:r>
      <w:r>
        <w:t xml:space="preserve"> </w:t>
      </w:r>
      <w:r>
        <w:t xml:space="preserve">Judge</w:t>
      </w:r>
      <w:r>
        <w:t xml:space="preserve">)</w:t>
      </w:r>
    </w:p>
    <w:p>
      <w:pPr>
        <w:pStyle w:val="CARule"/>
      </w:pPr>
    </w:p>
    <w:p>
      <w:pPr>
        <w:pStyle w:val="CACentered"/>
      </w:pPr>
      <w:r>
        <w:rPr>
          <w:b/>
        </w:rPr>
        <w:t xml:space="preserve">REPLY</w:t>
      </w:r>
      <w:r>
        <w:rPr>
          <w:b/>
        </w:rPr>
        <w:t xml:space="preserve"> </w:t>
      </w:r>
      <w:r>
        <w:rPr>
          <w:b/>
        </w:rPr>
        <w:t xml:space="preserve">BRIEF</w:t>
      </w:r>
      <w:r>
        <w:rPr>
          <w:b/>
        </w:rPr>
        <w:t xml:space="preserve"> </w:t>
      </w:r>
      <w:r>
        <w:rPr>
          <w:b/>
        </w:rPr>
        <w:t xml:space="preserve">OF</w:t>
      </w:r>
      <w:r>
        <w:rPr>
          <w:b/>
        </w:rPr>
        <w:t xml:space="preserve"> </w:t>
      </w:r>
      <w:r>
        <w:rPr>
          <w:b/>
        </w:rPr>
        <w:t xml:space="preserve">PLAINTIFF–APPELLANT</w:t>
      </w:r>
      <w:r>
        <w:rPr>
          <w:b/>
        </w:rPr>
        <w:t xml:space="preserve"> </w:t>
      </w:r>
      <w:r>
        <w:rPr>
          <w:b/>
        </w:rPr>
        <w:t xml:space="preserve">NIKKO</w:t>
      </w:r>
      <w:r>
        <w:rPr>
          <w:b/>
        </w:rPr>
        <w:t xml:space="preserve"> </w:t>
      </w:r>
      <w:r>
        <w:rPr>
          <w:b/>
        </w:rPr>
        <w:t xml:space="preserve">D’AMBROSIO</w:t>
      </w:r>
    </w:p>
    <w:p>
      <w:pPr>
        <w:pStyle w:val="CARule"/>
      </w:pPr>
    </w:p>
    <w:p>
      <w:pPr>
        <w:pStyle w:val="CAGap"/>
      </w:pPr>
    </w:p>
    <w:tbl>
      <w:tblPr>
        <w:tblW w:w="9360" w:type="dxa"/>
        <w:tblBorders>
          <w:top w:val="nil"/>
          <w:left w:val="nil"/>
          <w:bottom w:val="nil"/>
          <w:right w:val="nil"/>
          <w:insideH w:val="nil"/>
          <w:insideV w:val="nil"/>
        </w:tblBorders>
        <w:tblLayout w:type="fixed"/>
        <w:tblCellMar>
          <w:left w:w="0" w:type="dxa"/>
          <w:right w:w="115" w:type="dxa"/>
        </w:tblCellMar>
      </w:tblPr>
      <w:tblGrid>
        <w:gridCol w:w="4680"/>
        <w:gridCol w:w="4680"/>
      </w:tblGrid>
      <w:tr>
        <w:trPr>
          <w:cantSplit/>
        </w:trPr>
        <w:tc>
          <w:tcPr>
            <w:tcW w:w="4680" w:type="dxa"/>
          </w:tcPr>
          <w:p>
            <w:pPr>
              <w:pStyle w:val="CACounsel"/>
              <w:keepNext/>
            </w:pPr>
            <w:r>
              <w:rPr>
                <w:b/>
              </w:rPr>
              <w:t xml:space="preserve">Aaron</w:t>
            </w:r>
            <w:r>
              <w:rPr>
                <w:b/>
              </w:rPr>
              <w:t xml:space="preserve"> </w:t>
            </w:r>
            <w:r>
              <w:rPr>
                <w:b/>
              </w:rPr>
              <w:t xml:space="preserve">Walner</w:t>
            </w:r>
            <w:r>
              <w:br/>
            </w:r>
            <w:r>
              <w:rPr>
                <w:i/>
              </w:rPr>
              <w:t xml:space="preserve">TRENT</w:t>
            </w:r>
            <w:r>
              <w:rPr>
                <w:i/>
              </w:rPr>
              <w:t xml:space="preserve"> </w:t>
            </w:r>
            <w:r>
              <w:rPr>
                <w:i/>
              </w:rPr>
              <w:t xml:space="preserve">LAW</w:t>
            </w:r>
            <w:r>
              <w:rPr>
                <w:i/>
              </w:rPr>
              <w:t xml:space="preserve"> </w:t>
            </w:r>
            <w:r>
              <w:rPr>
                <w:i/>
              </w:rPr>
              <w:t xml:space="preserve">FIRM,</w:t>
            </w:r>
            <w:r>
              <w:rPr>
                <w:i/>
              </w:rPr>
              <w:t xml:space="preserve"> </w:t>
            </w:r>
            <w:r>
              <w:rPr>
                <w:i/>
              </w:rPr>
              <w:t xml:space="preserve">P.C.</w:t>
            </w:r>
            <w:r>
              <w:br/>
            </w:r>
            <w:r>
              <w:rPr>
                <w:i/>
              </w:rPr>
              <w:t xml:space="preserve">1449</w:t>
            </w:r>
            <w:r>
              <w:rPr>
                <w:i/>
              </w:rPr>
              <w:t xml:space="preserve"> </w:t>
            </w:r>
            <w:r>
              <w:rPr>
                <w:i/>
              </w:rPr>
              <w:t xml:space="preserve">S.</w:t>
            </w:r>
            <w:r>
              <w:rPr>
                <w:i/>
              </w:rPr>
              <w:t xml:space="preserve"> </w:t>
            </w:r>
            <w:r>
              <w:rPr>
                <w:i/>
              </w:rPr>
              <w:t xml:space="preserve">Michigan</w:t>
            </w:r>
            <w:r>
              <w:rPr>
                <w:i/>
              </w:rPr>
              <w:t xml:space="preserve"> </w:t>
            </w:r>
            <w:r>
              <w:rPr>
                <w:i/>
              </w:rPr>
              <w:t xml:space="preserve">Ave.,</w:t>
            </w:r>
            <w:r>
              <w:rPr>
                <w:i/>
              </w:rPr>
              <w:t xml:space="preserve"> </w:t>
            </w:r>
            <w:r>
              <w:rPr>
                <w:i/>
              </w:rPr>
              <w:t xml:space="preserve">Suite</w:t>
            </w:r>
            <w:r>
              <w:rPr>
                <w:i/>
              </w:rPr>
              <w:t xml:space="preserve"> </w:t>
            </w:r>
            <w:r>
              <w:rPr>
                <w:i/>
              </w:rPr>
              <w:t xml:space="preserve">13201</w:t>
            </w:r>
            <w:r>
              <w:br/>
            </w:r>
            <w:r>
              <w:rPr>
                <w:i/>
              </w:rPr>
              <w:t xml:space="preserve">Chicago,</w:t>
            </w:r>
            <w:r>
              <w:rPr>
                <w:i/>
              </w:rPr>
              <w:t xml:space="preserve"> </w:t>
            </w:r>
            <w:r>
              <w:rPr>
                <w:i/>
              </w:rPr>
              <w:t xml:space="preserve">IL</w:t>
            </w:r>
            <w:r>
              <w:rPr>
                <w:i/>
              </w:rPr>
              <w:t xml:space="preserve"> </w:t>
            </w:r>
            <w:r>
              <w:rPr>
                <w:i/>
              </w:rPr>
              <w:t xml:space="preserve">60605</w:t>
            </w:r>
            <w:r>
              <w:br/>
            </w:r>
            <w:r>
              <w:rPr>
                <w:i/>
              </w:rPr>
              <w:t xml:space="preserve">(630)</w:t>
            </w:r>
            <w:r>
              <w:rPr>
                <w:i/>
              </w:rPr>
              <w:t xml:space="preserve"> </w:t>
            </w:r>
            <w:r>
              <w:rPr>
                <w:i/>
              </w:rPr>
              <w:t xml:space="preserve">682-3100</w:t>
            </w:r>
            <w:r>
              <w:br/>
            </w:r>
            <w:r>
              <w:rPr>
                <w:i/>
              </w:rPr>
              <w:t xml:space="preserve">service@trentlawfirm.com</w:t>
            </w:r>
          </w:p>
        </w:tc>
        <w:tc>
          <w:tcPr>
            <w:tcW w:w="4680" w:type="dxa"/>
          </w:tcPr>
          <w:p/>
        </w:tc>
      </w:tr>
    </w:tbl>
    <w:p>
      <w:pPr>
        <w:pStyle w:val="CADoubleRule"/>
      </w:pPr>
    </w:p>
    <w:p>
      <w:pPr>
        <w:spacing w:before="0" w:after="0" w:line="20" w:lineRule="exact"/>
        <w:sectPr>
          <w:footerReference w:type="default" r:id="rIdFtrNone"/>
          <w:type w:val="nextPage"/>
          <w:pgSz w:w="12240" w:h="15840"/>
          <w:pgMar w:top="1440" w:right="1440" w:bottom="1440" w:left="1440" w:header="720" w:footer="720" w:gutter="0"/>
          <w:pgNumType w:fmt="lowerRoman" w:start="1"/>
        </w:sectPr>
      </w:pPr>
    </w:p>
    <w:p>
      <w:pPr>
        <w:pStyle w:val="CASection"/>
      </w:pPr>
      <w:r>
        <w:t xml:space="preserve">Table of Contents</w:t>
      </w:r>
    </w:p>
    <w:p>
      <w:pPr>
        <w:pStyle w:val="CAToaGroup"/>
      </w:pPr>
      <w:r>
        <w:tab/>
      </w:r>
      <w:r>
        <w:rPr>
          <w:b/>
        </w:rPr>
        <w:t xml:space="preserve">Page</w:t>
      </w:r>
    </w:p>
    <w:p>
      <w:pPr>
        <w:pStyle w:val="CATocTop"/>
      </w:pPr>
      <w:r>
        <w:t xml:space="preserve">I.</w:t>
      </w:r>
      <w:r>
        <w:t xml:space="preserve"> </w:t>
      </w:r>
      <w:r>
        <w:t xml:space="preserve">SUMMARY</w:t>
      </w:r>
      <w:r>
        <w:t xml:space="preserve"> </w:t>
      </w:r>
      <w:r>
        <w:t xml:space="preserve">OF</w:t>
      </w:r>
      <w:r>
        <w:t xml:space="preserve"> </w:t>
      </w:r>
      <w:r>
        <w:t xml:space="preserve">THE</w:t>
      </w:r>
      <w:r>
        <w:t xml:space="preserve"> </w:t>
      </w:r>
      <w:r>
        <w:t xml:space="preserve">ARGUMENT</w:t>
      </w:r>
      <w:r>
        <w:tab/>
      </w:r>
      <w:r>
        <w:t xml:space="preserve">1</w:t>
      </w:r>
    </w:p>
    <w:p>
      <w:pPr>
        <w:pStyle w:val="CATocTop"/>
      </w:pPr>
      <w:r>
        <w:t xml:space="preserve">II.</w:t>
      </w:r>
      <w:r>
        <w:t xml:space="preserve"> </w:t>
      </w:r>
      <w:r>
        <w:t xml:space="preserve">ARGUMENT</w:t>
      </w:r>
      <w:r>
        <w:tab/>
      </w:r>
      <w:r>
        <w:t xml:space="preserve">2</w:t>
      </w:r>
    </w:p>
    <w:p>
      <w:pPr>
        <w:pStyle w:val="CATocS1"/>
      </w:pPr>
      <w:r>
        <w:t xml:space="preserve">I.</w:t>
      </w:r>
      <w:r>
        <w:tab/>
      </w:r>
      <w:r>
        <w:t xml:space="preserve">IRPA:</w:t>
      </w:r>
      <w:r>
        <w:t xml:space="preserve"> </w:t>
      </w:r>
      <w:r>
        <w:t xml:space="preserve">“In</w:t>
      </w:r>
      <w:r>
        <w:t xml:space="preserve"> </w:t>
      </w:r>
      <w:r>
        <w:t xml:space="preserve">connection</w:t>
      </w:r>
      <w:r>
        <w:t xml:space="preserve"> </w:t>
      </w:r>
      <w:r>
        <w:t xml:space="preserve">with”</w:t>
      </w:r>
      <w:r>
        <w:t xml:space="preserve"> </w:t>
      </w:r>
      <w:r>
        <w:t xml:space="preserve">advertising/fundraising</w:t>
      </w:r>
      <w:r>
        <w:t xml:space="preserve"> </w:t>
      </w:r>
      <w:r>
        <w:t xml:space="preserve">is</w:t>
      </w:r>
      <w:r>
        <w:t xml:space="preserve"> </w:t>
      </w:r>
      <w:r>
        <w:t xml:space="preserve">plausibly</w:t>
      </w:r>
      <w:r>
        <w:t xml:space="preserve"> </w:t>
      </w:r>
      <w:r>
        <w:t xml:space="preserve">pled;</w:t>
      </w:r>
      <w:r>
        <w:t xml:space="preserve"> </w:t>
      </w:r>
      <w:r>
        <w:t xml:space="preserve">the</w:t>
      </w:r>
      <w:r>
        <w:t xml:space="preserve"> </w:t>
      </w:r>
      <w:r>
        <w:t xml:space="preserve">§</w:t>
      </w:r>
      <w:r>
        <w:t xml:space="preserve"> </w:t>
      </w:r>
      <w:r>
        <w:t xml:space="preserve">35(b)(1)</w:t>
      </w:r>
      <w:r>
        <w:t xml:space="preserve"> </w:t>
      </w:r>
      <w:r>
        <w:t xml:space="preserve">“visual</w:t>
      </w:r>
      <w:r>
        <w:t xml:space="preserve"> </w:t>
      </w:r>
      <w:r>
        <w:t xml:space="preserve">work”</w:t>
      </w:r>
      <w:r>
        <w:t xml:space="preserve"> </w:t>
      </w:r>
      <w:r>
        <w:t xml:space="preserve">exception</w:t>
      </w:r>
      <w:r>
        <w:t xml:space="preserve"> </w:t>
      </w:r>
      <w:r>
        <w:t xml:space="preserve">cannot</w:t>
      </w:r>
      <w:r>
        <w:t xml:space="preserve"> </w:t>
      </w:r>
      <w:r>
        <w:t xml:space="preserve">defeat</w:t>
      </w:r>
      <w:r>
        <w:t xml:space="preserve"> </w:t>
      </w:r>
      <w:r>
        <w:t xml:space="preserve">the</w:t>
      </w:r>
      <w:r>
        <w:t xml:space="preserve"> </w:t>
      </w:r>
      <w:r>
        <w:t xml:space="preserve">pleadings</w:t>
      </w:r>
      <w:r>
        <w:tab/>
      </w:r>
      <w:r>
        <w:t xml:space="preserve">2</w:t>
      </w:r>
    </w:p>
    <w:p>
      <w:pPr>
        <w:pStyle w:val="CATocS2"/>
      </w:pPr>
      <w:r>
        <w:t xml:space="preserve">A.</w:t>
      </w:r>
      <w:r>
        <w:tab/>
      </w:r>
      <w:r>
        <w:t xml:space="preserve">“Commercial</w:t>
      </w:r>
      <w:r>
        <w:t xml:space="preserve"> </w:t>
      </w:r>
      <w:r>
        <w:t xml:space="preserve">purpose”</w:t>
      </w:r>
      <w:r>
        <w:t xml:space="preserve"> </w:t>
      </w:r>
      <w:r>
        <w:t xml:space="preserve">is</w:t>
      </w:r>
      <w:r>
        <w:t xml:space="preserve"> </w:t>
      </w:r>
      <w:r>
        <w:t xml:space="preserve">satisfied</w:t>
      </w:r>
      <w:r>
        <w:t xml:space="preserve"> </w:t>
      </w:r>
      <w:r>
        <w:t xml:space="preserve">by</w:t>
      </w:r>
      <w:r>
        <w:t xml:space="preserve"> </w:t>
      </w:r>
      <w:r>
        <w:t xml:space="preserve">monetization</w:t>
      </w:r>
      <w:r>
        <w:t xml:space="preserve"> </w:t>
      </w:r>
      <w:r>
        <w:t xml:space="preserve">that</w:t>
      </w:r>
      <w:r>
        <w:t xml:space="preserve"> </w:t>
      </w:r>
      <w:r>
        <w:t xml:space="preserve">the</w:t>
      </w:r>
      <w:r>
        <w:t xml:space="preserve"> </w:t>
      </w:r>
      <w:r>
        <w:t xml:space="preserve">complaint</w:t>
      </w:r>
      <w:r>
        <w:t xml:space="preserve"> </w:t>
      </w:r>
      <w:r>
        <w:t xml:space="preserve">ties</w:t>
      </w:r>
      <w:r>
        <w:t xml:space="preserve"> </w:t>
      </w:r>
      <w:r>
        <w:t xml:space="preserve">to</w:t>
      </w:r>
      <w:r>
        <w:t xml:space="preserve"> </w:t>
      </w:r>
      <w:r>
        <w:t xml:space="preserve">AWDTSG</w:t>
      </w:r>
      <w:r>
        <w:t xml:space="preserve"> </w:t>
      </w:r>
      <w:r>
        <w:t xml:space="preserve">fundraising</w:t>
      </w:r>
      <w:r>
        <w:t xml:space="preserve"> </w:t>
      </w:r>
      <w:r>
        <w:t xml:space="preserve">and</w:t>
      </w:r>
      <w:r>
        <w:t xml:space="preserve"> </w:t>
      </w:r>
      <w:r>
        <w:t xml:space="preserve">Meta’s</w:t>
      </w:r>
      <w:r>
        <w:t xml:space="preserve"> </w:t>
      </w:r>
      <w:r>
        <w:t xml:space="preserve">ad</w:t>
      </w:r>
      <w:r>
        <w:t xml:space="preserve"> </w:t>
      </w:r>
      <w:r>
        <w:t xml:space="preserve">sales</w:t>
      </w:r>
      <w:r>
        <w:tab/>
      </w:r>
      <w:r>
        <w:t xml:space="preserve">2</w:t>
      </w:r>
    </w:p>
    <w:p>
      <w:pPr>
        <w:pStyle w:val="CATocS2"/>
      </w:pPr>
      <w:r>
        <w:t xml:space="preserve">B.</w:t>
      </w:r>
      <w:r>
        <w:tab/>
      </w:r>
      <w:r>
        <w:t xml:space="preserve">Appellees’</w:t>
      </w:r>
      <w:r>
        <w:t xml:space="preserve"> </w:t>
      </w:r>
      <w:r>
        <w:t xml:space="preserve">waiver</w:t>
      </w:r>
      <w:r>
        <w:t xml:space="preserve"> </w:t>
      </w:r>
      <w:r>
        <w:t xml:space="preserve">theory</w:t>
      </w:r>
      <w:r>
        <w:t xml:space="preserve"> </w:t>
      </w:r>
      <w:r>
        <w:t xml:space="preserve">as</w:t>
      </w:r>
      <w:r>
        <w:t xml:space="preserve"> </w:t>
      </w:r>
      <w:r>
        <w:t xml:space="preserve">to</w:t>
      </w:r>
      <w:r>
        <w:t xml:space="preserve"> </w:t>
      </w:r>
      <w:r>
        <w:t xml:space="preserve">Rajala</w:t>
      </w:r>
      <w:r>
        <w:t xml:space="preserve"> </w:t>
      </w:r>
      <w:r>
        <w:t xml:space="preserve">is</w:t>
      </w:r>
      <w:r>
        <w:t xml:space="preserve"> </w:t>
      </w:r>
      <w:r>
        <w:t xml:space="preserve">incorrect</w:t>
      </w:r>
      <w:r>
        <w:tab/>
      </w:r>
      <w:r>
        <w:t xml:space="preserve">3</w:t>
      </w:r>
    </w:p>
    <w:p>
      <w:pPr>
        <w:pStyle w:val="CATocS2"/>
      </w:pPr>
      <w:r>
        <w:t xml:space="preserve">C.</w:t>
      </w:r>
      <w:r>
        <w:tab/>
      </w:r>
      <w:r>
        <w:t xml:space="preserve">The</w:t>
      </w:r>
      <w:r>
        <w:t xml:space="preserve"> </w:t>
      </w:r>
      <w:r>
        <w:t xml:space="preserve">§</w:t>
      </w:r>
      <w:r>
        <w:t xml:space="preserve"> </w:t>
      </w:r>
      <w:r>
        <w:t xml:space="preserve">35(b)(1)</w:t>
      </w:r>
      <w:r>
        <w:t xml:space="preserve"> </w:t>
      </w:r>
      <w:r>
        <w:t xml:space="preserve">“article</w:t>
      </w:r>
      <w:r>
        <w:t xml:space="preserve"> </w:t>
      </w:r>
      <w:r>
        <w:t xml:space="preserve">or</w:t>
      </w:r>
      <w:r>
        <w:t xml:space="preserve"> </w:t>
      </w:r>
      <w:r>
        <w:t xml:space="preserve">visual</w:t>
      </w:r>
      <w:r>
        <w:t xml:space="preserve"> </w:t>
      </w:r>
      <w:r>
        <w:t xml:space="preserve">work”</w:t>
      </w:r>
      <w:r>
        <w:t xml:space="preserve"> </w:t>
      </w:r>
      <w:r>
        <w:t xml:space="preserve">safe</w:t>
      </w:r>
      <w:r>
        <w:t xml:space="preserve"> </w:t>
      </w:r>
      <w:r>
        <w:t xml:space="preserve">harbor</w:t>
      </w:r>
      <w:r>
        <w:t xml:space="preserve"> </w:t>
      </w:r>
      <w:r>
        <w:t xml:space="preserve">does</w:t>
      </w:r>
      <w:r>
        <w:t xml:space="preserve"> </w:t>
      </w:r>
      <w:r>
        <w:t xml:space="preserve">not</w:t>
      </w:r>
      <w:r>
        <w:t xml:space="preserve"> </w:t>
      </w:r>
      <w:r>
        <w:t xml:space="preserve">defeat</w:t>
      </w:r>
      <w:r>
        <w:t xml:space="preserve"> </w:t>
      </w:r>
      <w:r>
        <w:t xml:space="preserve">plausibility</w:t>
      </w:r>
      <w:r>
        <w:t xml:space="preserve"> </w:t>
      </w:r>
      <w:r>
        <w:t xml:space="preserve">at</w:t>
      </w:r>
      <w:r>
        <w:t xml:space="preserve"> </w:t>
      </w:r>
      <w:r>
        <w:t xml:space="preserve">Rule</w:t>
      </w:r>
      <w:r>
        <w:t xml:space="preserve"> </w:t>
      </w:r>
      <w:r>
        <w:t xml:space="preserve">12</w:t>
      </w:r>
      <w:r>
        <w:tab/>
      </w:r>
      <w:r>
        <w:t xml:space="preserve">4</w:t>
      </w:r>
    </w:p>
    <w:p>
      <w:pPr>
        <w:pStyle w:val="CATocS1"/>
      </w:pPr>
      <w:r>
        <w:t xml:space="preserve">II.</w:t>
      </w:r>
      <w:r>
        <w:tab/>
      </w:r>
      <w:r>
        <w:t xml:space="preserve">Illinois</w:t>
      </w:r>
      <w:r>
        <w:t xml:space="preserve"> </w:t>
      </w:r>
      <w:r>
        <w:t xml:space="preserve">Anti-Doxing</w:t>
      </w:r>
      <w:r>
        <w:t xml:space="preserve"> </w:t>
      </w:r>
      <w:r>
        <w:t xml:space="preserve">Act:</w:t>
      </w:r>
      <w:r>
        <w:t xml:space="preserve"> </w:t>
      </w:r>
      <w:r>
        <w:t xml:space="preserve">Name/face</w:t>
      </w:r>
      <w:r>
        <w:t xml:space="preserve"> </w:t>
      </w:r>
      <w:r>
        <w:t xml:space="preserve">in</w:t>
      </w:r>
      <w:r>
        <w:t xml:space="preserve"> </w:t>
      </w:r>
      <w:r>
        <w:t xml:space="preserve">context</w:t>
      </w:r>
      <w:r>
        <w:t xml:space="preserve"> </w:t>
      </w:r>
      <w:r>
        <w:t xml:space="preserve">is</w:t>
      </w:r>
      <w:r>
        <w:t xml:space="preserve"> </w:t>
      </w:r>
      <w:r>
        <w:t xml:space="preserve">PII;</w:t>
      </w:r>
      <w:r>
        <w:t xml:space="preserve"> </w:t>
      </w:r>
      <w:r>
        <w:t xml:space="preserve">intent</w:t>
      </w:r>
      <w:r>
        <w:t xml:space="preserve"> </w:t>
      </w:r>
      <w:r>
        <w:t xml:space="preserve">and</w:t>
      </w:r>
      <w:r>
        <w:t xml:space="preserve"> </w:t>
      </w:r>
      <w:r>
        <w:t xml:space="preserve">likely</w:t>
      </w:r>
      <w:r>
        <w:t xml:space="preserve"> </w:t>
      </w:r>
      <w:r>
        <w:t xml:space="preserve">harm</w:t>
      </w:r>
      <w:r>
        <w:t xml:space="preserve"> </w:t>
      </w:r>
      <w:r>
        <w:t xml:space="preserve">are</w:t>
      </w:r>
      <w:r>
        <w:t xml:space="preserve"> </w:t>
      </w:r>
      <w:r>
        <w:t xml:space="preserve">plausibly</w:t>
      </w:r>
      <w:r>
        <w:t xml:space="preserve"> </w:t>
      </w:r>
      <w:r>
        <w:t xml:space="preserve">alleged</w:t>
      </w:r>
      <w:r>
        <w:tab/>
      </w:r>
      <w:r>
        <w:t xml:space="preserve">4</w:t>
      </w:r>
    </w:p>
    <w:p>
      <w:pPr>
        <w:pStyle w:val="CATocS1"/>
      </w:pPr>
      <w:r>
        <w:t xml:space="preserve">III.</w:t>
      </w:r>
      <w:r>
        <w:tab/>
      </w:r>
      <w:r>
        <w:t xml:space="preserve">Defamation</w:t>
      </w:r>
      <w:r>
        <w:t xml:space="preserve"> </w:t>
      </w:r>
      <w:r>
        <w:t xml:space="preserve">and</w:t>
      </w:r>
      <w:r>
        <w:t xml:space="preserve"> </w:t>
      </w:r>
      <w:r>
        <w:t xml:space="preserve">False</w:t>
      </w:r>
      <w:r>
        <w:t xml:space="preserve"> </w:t>
      </w:r>
      <w:r>
        <w:t xml:space="preserve">Light:</w:t>
      </w:r>
      <w:r>
        <w:t xml:space="preserve"> </w:t>
      </w:r>
      <w:r>
        <w:t xml:space="preserve">The</w:t>
      </w:r>
      <w:r>
        <w:t xml:space="preserve"> </w:t>
      </w:r>
      <w:r>
        <w:t xml:space="preserve">thread’s</w:t>
      </w:r>
      <w:r>
        <w:t xml:space="preserve"> </w:t>
      </w:r>
      <w:r>
        <w:t xml:space="preserve">juxtaposition</w:t>
      </w:r>
      <w:r>
        <w:t xml:space="preserve"> </w:t>
      </w:r>
      <w:r>
        <w:t xml:space="preserve">states</w:t>
      </w:r>
      <w:r>
        <w:t xml:space="preserve"> </w:t>
      </w:r>
      <w:r>
        <w:t xml:space="preserve">a</w:t>
      </w:r>
      <w:r>
        <w:t xml:space="preserve"> </w:t>
      </w:r>
      <w:r>
        <w:t xml:space="preserve">claim;</w:t>
      </w:r>
      <w:r>
        <w:t xml:space="preserve"> </w:t>
      </w:r>
      <w:r>
        <w:t xml:space="preserve">liability</w:t>
      </w:r>
      <w:r>
        <w:t xml:space="preserve"> </w:t>
      </w:r>
      <w:r>
        <w:t xml:space="preserve">is</w:t>
      </w:r>
      <w:r>
        <w:t xml:space="preserve"> </w:t>
      </w:r>
      <w:r>
        <w:t xml:space="preserve">not</w:t>
      </w:r>
      <w:r>
        <w:t xml:space="preserve"> </w:t>
      </w:r>
      <w:r>
        <w:t xml:space="preserve">confined</w:t>
      </w:r>
      <w:r>
        <w:t xml:space="preserve"> </w:t>
      </w:r>
      <w:r>
        <w:t xml:space="preserve">to</w:t>
      </w:r>
      <w:r>
        <w:t xml:space="preserve"> </w:t>
      </w:r>
      <w:r>
        <w:t xml:space="preserve">the</w:t>
      </w:r>
      <w:r>
        <w:t xml:space="preserve"> </w:t>
      </w:r>
      <w:r>
        <w:t xml:space="preserve">literal</w:t>
      </w:r>
      <w:r>
        <w:t xml:space="preserve"> </w:t>
      </w:r>
      <w:r>
        <w:t xml:space="preserve">poster;</w:t>
      </w:r>
      <w:r>
        <w:t xml:space="preserve"> </w:t>
      </w:r>
      <w:r>
        <w:t xml:space="preserve">per</w:t>
      </w:r>
      <w:r>
        <w:t xml:space="preserve"> </w:t>
      </w:r>
      <w:r>
        <w:t xml:space="preserve">quod</w:t>
      </w:r>
      <w:r>
        <w:t xml:space="preserve"> </w:t>
      </w:r>
      <w:r>
        <w:t xml:space="preserve">damages</w:t>
      </w:r>
      <w:r>
        <w:t xml:space="preserve"> </w:t>
      </w:r>
      <w:r>
        <w:t xml:space="preserve">are</w:t>
      </w:r>
      <w:r>
        <w:t xml:space="preserve"> </w:t>
      </w:r>
      <w:r>
        <w:t xml:space="preserve">adequately</w:t>
      </w:r>
      <w:r>
        <w:t xml:space="preserve"> </w:t>
      </w:r>
      <w:r>
        <w:t xml:space="preserve">pled</w:t>
      </w:r>
      <w:r>
        <w:t xml:space="preserve"> </w:t>
      </w:r>
      <w:r>
        <w:t xml:space="preserve">in</w:t>
      </w:r>
      <w:r>
        <w:t xml:space="preserve"> </w:t>
      </w:r>
      <w:r>
        <w:t xml:space="preserve">the</w:t>
      </w:r>
      <w:r>
        <w:t xml:space="preserve"> </w:t>
      </w:r>
      <w:r>
        <w:t xml:space="preserve">alternative</w:t>
      </w:r>
      <w:r>
        <w:tab/>
      </w:r>
      <w:r>
        <w:t xml:space="preserve">5</w:t>
      </w:r>
    </w:p>
    <w:p>
      <w:pPr>
        <w:pStyle w:val="CATocS2"/>
      </w:pPr>
      <w:r>
        <w:t xml:space="preserve">A.</w:t>
      </w:r>
      <w:r>
        <w:tab/>
      </w:r>
      <w:r>
        <w:t xml:space="preserve">Context</w:t>
      </w:r>
      <w:r>
        <w:t xml:space="preserve"> </w:t>
      </w:r>
      <w:r>
        <w:t xml:space="preserve">and</w:t>
      </w:r>
      <w:r>
        <w:t xml:space="preserve"> </w:t>
      </w:r>
      <w:r>
        <w:t xml:space="preserve">juxtaposition</w:t>
      </w:r>
      <w:r>
        <w:t xml:space="preserve"> </w:t>
      </w:r>
      <w:r>
        <w:t xml:space="preserve">defeat</w:t>
      </w:r>
      <w:r>
        <w:t xml:space="preserve"> </w:t>
      </w:r>
      <w:r>
        <w:t xml:space="preserve">“innocent</w:t>
      </w:r>
      <w:r>
        <w:t xml:space="preserve"> </w:t>
      </w:r>
      <w:r>
        <w:t xml:space="preserve">construction”</w:t>
      </w:r>
      <w:r>
        <w:t xml:space="preserve"> </w:t>
      </w:r>
      <w:r>
        <w:t xml:space="preserve">at</w:t>
      </w:r>
      <w:r>
        <w:t xml:space="preserve"> </w:t>
      </w:r>
      <w:r>
        <w:t xml:space="preserve">the</w:t>
      </w:r>
      <w:r>
        <w:t xml:space="preserve"> </w:t>
      </w:r>
      <w:r>
        <w:t xml:space="preserve">pleading</w:t>
      </w:r>
      <w:r>
        <w:t xml:space="preserve"> </w:t>
      </w:r>
      <w:r>
        <w:t xml:space="preserve">stage.</w:t>
      </w:r>
      <w:r>
        <w:tab/>
      </w:r>
      <w:r>
        <w:t xml:space="preserve">5</w:t>
      </w:r>
    </w:p>
    <w:p>
      <w:pPr>
        <w:pStyle w:val="CATocS2"/>
      </w:pPr>
      <w:r>
        <w:t xml:space="preserve">B.</w:t>
      </w:r>
      <w:r>
        <w:tab/>
      </w:r>
      <w:r>
        <w:t xml:space="preserve">Liability</w:t>
      </w:r>
      <w:r>
        <w:t xml:space="preserve"> </w:t>
      </w:r>
      <w:r>
        <w:t xml:space="preserve">extends</w:t>
      </w:r>
      <w:r>
        <w:t xml:space="preserve"> </w:t>
      </w:r>
      <w:r>
        <w:t xml:space="preserve">beyond</w:t>
      </w:r>
      <w:r>
        <w:t xml:space="preserve"> </w:t>
      </w:r>
      <w:r>
        <w:t xml:space="preserve">the</w:t>
      </w:r>
      <w:r>
        <w:t xml:space="preserve"> </w:t>
      </w:r>
      <w:r>
        <w:t xml:space="preserve">literal</w:t>
      </w:r>
      <w:r>
        <w:t xml:space="preserve"> </w:t>
      </w:r>
      <w:r>
        <w:t xml:space="preserve">mugshot-poster</w:t>
      </w:r>
      <w:r>
        <w:t xml:space="preserve"> </w:t>
      </w:r>
      <w:r>
        <w:t xml:space="preserve">where</w:t>
      </w:r>
      <w:r>
        <w:t xml:space="preserve"> </w:t>
      </w:r>
      <w:r>
        <w:t xml:space="preserve">others</w:t>
      </w:r>
      <w:r>
        <w:t xml:space="preserve"> </w:t>
      </w:r>
      <w:r>
        <w:t xml:space="preserve">framed,</w:t>
      </w:r>
      <w:r>
        <w:t xml:space="preserve"> </w:t>
      </w:r>
      <w:r>
        <w:t xml:space="preserve">curated,</w:t>
      </w:r>
      <w:r>
        <w:t xml:space="preserve"> </w:t>
      </w:r>
      <w:r>
        <w:t xml:space="preserve">and</w:t>
      </w:r>
      <w:r>
        <w:t xml:space="preserve"> </w:t>
      </w:r>
      <w:r>
        <w:t xml:space="preserve">amplified</w:t>
      </w:r>
      <w:r>
        <w:t xml:space="preserve"> </w:t>
      </w:r>
      <w:r>
        <w:t xml:space="preserve">the</w:t>
      </w:r>
      <w:r>
        <w:t xml:space="preserve"> </w:t>
      </w:r>
      <w:r>
        <w:t xml:space="preserve">implication</w:t>
      </w:r>
      <w:r>
        <w:tab/>
      </w:r>
      <w:r>
        <w:t xml:space="preserve">6</w:t>
      </w:r>
    </w:p>
    <w:p>
      <w:pPr>
        <w:pStyle w:val="CATocS2"/>
      </w:pPr>
      <w:r>
        <w:t xml:space="preserve">C.</w:t>
      </w:r>
      <w:r>
        <w:tab/>
      </w:r>
      <w:r>
        <w:t xml:space="preserve">Alternatively,</w:t>
      </w:r>
      <w:r>
        <w:t xml:space="preserve"> </w:t>
      </w:r>
      <w:r>
        <w:t xml:space="preserve">per</w:t>
      </w:r>
      <w:r>
        <w:t xml:space="preserve"> </w:t>
      </w:r>
      <w:r>
        <w:t xml:space="preserve">quod</w:t>
      </w:r>
      <w:r>
        <w:t xml:space="preserve"> </w:t>
      </w:r>
      <w:r>
        <w:t xml:space="preserve">damages</w:t>
      </w:r>
      <w:r>
        <w:t xml:space="preserve"> </w:t>
      </w:r>
      <w:r>
        <w:t xml:space="preserve">are</w:t>
      </w:r>
      <w:r>
        <w:t xml:space="preserve"> </w:t>
      </w:r>
      <w:r>
        <w:t xml:space="preserve">sufficiently</w:t>
      </w:r>
      <w:r>
        <w:t xml:space="preserve"> </w:t>
      </w:r>
      <w:r>
        <w:t xml:space="preserve">alleged</w:t>
      </w:r>
      <w:r>
        <w:tab/>
      </w:r>
      <w:r>
        <w:t xml:space="preserve">6</w:t>
      </w:r>
    </w:p>
    <w:p>
      <w:pPr>
        <w:pStyle w:val="CATocS1"/>
      </w:pPr>
      <w:r>
        <w:t xml:space="preserve">IV.</w:t>
      </w:r>
      <w:r>
        <w:tab/>
      </w:r>
      <w:r>
        <w:t xml:space="preserve">Section</w:t>
      </w:r>
      <w:r>
        <w:t xml:space="preserve"> </w:t>
      </w:r>
      <w:r>
        <w:t xml:space="preserve">230:</w:t>
      </w:r>
      <w:r>
        <w:t xml:space="preserve"> </w:t>
      </w:r>
      <w:r>
        <w:t xml:space="preserve">Appellees’</w:t>
      </w:r>
      <w:r>
        <w:t xml:space="preserve"> </w:t>
      </w:r>
      <w:r>
        <w:t xml:space="preserve">conduct-based</w:t>
      </w:r>
      <w:r>
        <w:t xml:space="preserve"> </w:t>
      </w:r>
      <w:r>
        <w:t xml:space="preserve">design</w:t>
      </w:r>
      <w:r>
        <w:t xml:space="preserve"> </w:t>
      </w:r>
      <w:r>
        <w:t xml:space="preserve">and</w:t>
      </w:r>
      <w:r>
        <w:t xml:space="preserve"> </w:t>
      </w:r>
      <w:r>
        <w:t xml:space="preserve">operational</w:t>
      </w:r>
      <w:r>
        <w:t xml:space="preserve"> </w:t>
      </w:r>
      <w:r>
        <w:t xml:space="preserve">choices</w:t>
      </w:r>
      <w:r>
        <w:t xml:space="preserve"> </w:t>
      </w:r>
      <w:r>
        <w:t xml:space="preserve">are</w:t>
      </w:r>
      <w:r>
        <w:t xml:space="preserve"> </w:t>
      </w:r>
      <w:r>
        <w:t xml:space="preserve">not</w:t>
      </w:r>
      <w:r>
        <w:t xml:space="preserve"> </w:t>
      </w:r>
      <w:r>
        <w:t xml:space="preserve">categorically</w:t>
      </w:r>
      <w:r>
        <w:t xml:space="preserve"> </w:t>
      </w:r>
      <w:r>
        <w:t xml:space="preserve">immune;</w:t>
      </w:r>
      <w:r>
        <w:t xml:space="preserve"> </w:t>
      </w:r>
      <w:r>
        <w:t xml:space="preserve">dismissal</w:t>
      </w:r>
      <w:r>
        <w:t xml:space="preserve"> </w:t>
      </w:r>
      <w:r>
        <w:t xml:space="preserve">on</w:t>
      </w:r>
      <w:r>
        <w:t xml:space="preserve"> </w:t>
      </w:r>
      <w:r>
        <w:t xml:space="preserve">§</w:t>
      </w:r>
      <w:r>
        <w:t xml:space="preserve"> </w:t>
      </w:r>
      <w:r>
        <w:t xml:space="preserve">230</w:t>
      </w:r>
      <w:r>
        <w:t xml:space="preserve"> </w:t>
      </w:r>
      <w:r>
        <w:t xml:space="preserve">at</w:t>
      </w:r>
      <w:r>
        <w:t xml:space="preserve"> </w:t>
      </w:r>
      <w:r>
        <w:t xml:space="preserve">Rule</w:t>
      </w:r>
      <w:r>
        <w:t xml:space="preserve"> </w:t>
      </w:r>
      <w:r>
        <w:t xml:space="preserve">12</w:t>
      </w:r>
      <w:r>
        <w:t xml:space="preserve"> </w:t>
      </w:r>
      <w:r>
        <w:t xml:space="preserve">is</w:t>
      </w:r>
      <w:r>
        <w:t xml:space="preserve"> </w:t>
      </w:r>
      <w:r>
        <w:t xml:space="preserve">premature</w:t>
      </w:r>
      <w:r>
        <w:tab/>
      </w:r>
      <w:r>
        <w:t xml:space="preserve">6</w:t>
      </w:r>
    </w:p>
    <w:p>
      <w:pPr>
        <w:pStyle w:val="CATocS1"/>
      </w:pPr>
      <w:r>
        <w:t xml:space="preserve">V.</w:t>
      </w:r>
      <w:r>
        <w:tab/>
      </w:r>
      <w:r>
        <w:t xml:space="preserve">First</w:t>
      </w:r>
      <w:r>
        <w:t xml:space="preserve"> </w:t>
      </w:r>
      <w:r>
        <w:t xml:space="preserve">Amendment:</w:t>
      </w:r>
      <w:r>
        <w:t xml:space="preserve"> </w:t>
      </w:r>
      <w:r>
        <w:t xml:space="preserve">These</w:t>
      </w:r>
      <w:r>
        <w:t xml:space="preserve"> </w:t>
      </w:r>
      <w:r>
        <w:t xml:space="preserve">claims</w:t>
      </w:r>
      <w:r>
        <w:t xml:space="preserve"> </w:t>
      </w:r>
      <w:r>
        <w:t xml:space="preserve">regulate</w:t>
      </w:r>
      <w:r>
        <w:t xml:space="preserve"> </w:t>
      </w:r>
      <w:r>
        <w:t xml:space="preserve">tortious</w:t>
      </w:r>
      <w:r>
        <w:t xml:space="preserve"> </w:t>
      </w:r>
      <w:r>
        <w:t xml:space="preserve">conduct</w:t>
      </w:r>
      <w:r>
        <w:t xml:space="preserve"> </w:t>
      </w:r>
      <w:r>
        <w:t xml:space="preserve">and</w:t>
      </w:r>
      <w:r>
        <w:t xml:space="preserve"> </w:t>
      </w:r>
      <w:r>
        <w:t xml:space="preserve">unprotected</w:t>
      </w:r>
      <w:r>
        <w:t xml:space="preserve"> </w:t>
      </w:r>
      <w:r>
        <w:t xml:space="preserve">defamation/doxing,</w:t>
      </w:r>
      <w:r>
        <w:t xml:space="preserve"> </w:t>
      </w:r>
      <w:r>
        <w:t xml:space="preserve">not</w:t>
      </w:r>
      <w:r>
        <w:t xml:space="preserve"> </w:t>
      </w:r>
      <w:r>
        <w:t xml:space="preserve">viewpoints.</w:t>
      </w:r>
      <w:r>
        <w:tab/>
      </w:r>
      <w:r>
        <w:t xml:space="preserve">7</w:t>
      </w:r>
    </w:p>
    <w:p>
      <w:pPr>
        <w:pStyle w:val="CATocS1"/>
      </w:pPr>
      <w:r>
        <w:t xml:space="preserve">VI.</w:t>
      </w:r>
      <w:r>
        <w:tab/>
      </w:r>
      <w:r>
        <w:t xml:space="preserve">Negligence,</w:t>
      </w:r>
      <w:r>
        <w:t xml:space="preserve"> </w:t>
      </w:r>
      <w:r>
        <w:t xml:space="preserve">Product</w:t>
      </w:r>
      <w:r>
        <w:t xml:space="preserve"> </w:t>
      </w:r>
      <w:r>
        <w:t xml:space="preserve">Liability,</w:t>
      </w:r>
      <w:r>
        <w:t xml:space="preserve"> </w:t>
      </w:r>
      <w:r>
        <w:t xml:space="preserve">and</w:t>
      </w:r>
      <w:r>
        <w:t xml:space="preserve"> </w:t>
      </w:r>
      <w:r>
        <w:t xml:space="preserve">Negligent</w:t>
      </w:r>
      <w:r>
        <w:t xml:space="preserve"> </w:t>
      </w:r>
      <w:r>
        <w:t xml:space="preserve">Entrustment</w:t>
      </w:r>
      <w:r>
        <w:t xml:space="preserve"> </w:t>
      </w:r>
      <w:r>
        <w:t xml:space="preserve">(Meta):</w:t>
      </w:r>
      <w:r>
        <w:t xml:space="preserve"> </w:t>
      </w:r>
      <w:r>
        <w:t xml:space="preserve">The</w:t>
      </w:r>
      <w:r>
        <w:t xml:space="preserve"> </w:t>
      </w:r>
      <w:r>
        <w:t xml:space="preserve">claims</w:t>
      </w:r>
      <w:r>
        <w:t xml:space="preserve"> </w:t>
      </w:r>
      <w:r>
        <w:t xml:space="preserve">target</w:t>
      </w:r>
      <w:r>
        <w:t xml:space="preserve"> </w:t>
      </w:r>
      <w:r>
        <w:t xml:space="preserve">Meta’s</w:t>
      </w:r>
      <w:r>
        <w:t xml:space="preserve"> </w:t>
      </w:r>
      <w:r>
        <w:t xml:space="preserve">own</w:t>
      </w:r>
      <w:r>
        <w:t xml:space="preserve"> </w:t>
      </w:r>
      <w:r>
        <w:t xml:space="preserve">product</w:t>
      </w:r>
      <w:r>
        <w:t xml:space="preserve"> </w:t>
      </w:r>
      <w:r>
        <w:t xml:space="preserve">design/entrustment</w:t>
      </w:r>
      <w:r>
        <w:t xml:space="preserve"> </w:t>
      </w:r>
      <w:r>
        <w:t xml:space="preserve">and</w:t>
      </w:r>
      <w:r>
        <w:t xml:space="preserve"> </w:t>
      </w:r>
      <w:r>
        <w:t xml:space="preserve">should</w:t>
      </w:r>
      <w:r>
        <w:t xml:space="preserve"> </w:t>
      </w:r>
      <w:r>
        <w:t xml:space="preserve">proceed</w:t>
      </w:r>
      <w:r>
        <w:tab/>
      </w:r>
      <w:r>
        <w:t xml:space="preserve">8</w:t>
      </w:r>
    </w:p>
    <w:p>
      <w:pPr>
        <w:pStyle w:val="CATocS1"/>
      </w:pPr>
      <w:r>
        <w:t xml:space="preserve">VII.</w:t>
      </w:r>
      <w:r>
        <w:tab/>
      </w:r>
      <w:r>
        <w:t xml:space="preserve">Unjust</w:t>
      </w:r>
      <w:r>
        <w:t xml:space="preserve"> </w:t>
      </w:r>
      <w:r>
        <w:t xml:space="preserve">Enrichment:</w:t>
      </w:r>
      <w:r>
        <w:t xml:space="preserve"> </w:t>
      </w:r>
      <w:r>
        <w:t xml:space="preserve">Revives</w:t>
      </w:r>
      <w:r>
        <w:t xml:space="preserve"> </w:t>
      </w:r>
      <w:r>
        <w:t xml:space="preserve">with</w:t>
      </w:r>
      <w:r>
        <w:t xml:space="preserve"> </w:t>
      </w:r>
      <w:r>
        <w:t xml:space="preserve">the</w:t>
      </w:r>
      <w:r>
        <w:t xml:space="preserve"> </w:t>
      </w:r>
      <w:r>
        <w:t xml:space="preserve">predicate</w:t>
      </w:r>
      <w:r>
        <w:t xml:space="preserve"> </w:t>
      </w:r>
      <w:r>
        <w:t xml:space="preserve">torts.</w:t>
      </w:r>
      <w:r>
        <w:tab/>
      </w:r>
      <w:r>
        <w:t xml:space="preserve">8</w:t>
      </w:r>
    </w:p>
    <w:p>
      <w:pPr>
        <w:pStyle w:val="CATocS1"/>
      </w:pPr>
      <w:r>
        <w:t xml:space="preserve">VIII.</w:t>
      </w:r>
      <w:r>
        <w:tab/>
      </w:r>
      <w:r>
        <w:t xml:space="preserve">Dismissal</w:t>
      </w:r>
      <w:r>
        <w:t xml:space="preserve"> </w:t>
      </w:r>
      <w:r>
        <w:t xml:space="preserve">With</w:t>
      </w:r>
      <w:r>
        <w:t xml:space="preserve"> </w:t>
      </w:r>
      <w:r>
        <w:t xml:space="preserve">Prejudice</w:t>
      </w:r>
      <w:r>
        <w:t xml:space="preserve"> </w:t>
      </w:r>
      <w:r>
        <w:t xml:space="preserve">Was</w:t>
      </w:r>
      <w:r>
        <w:t xml:space="preserve"> </w:t>
      </w:r>
      <w:r>
        <w:t xml:space="preserve">Improper.</w:t>
      </w:r>
      <w:r>
        <w:tab/>
      </w:r>
      <w:r>
        <w:t xml:space="preserve">8</w:t>
      </w:r>
    </w:p>
    <w:p>
      <w:pPr>
        <w:pStyle w:val="CATocTop"/>
      </w:pPr>
      <w:r>
        <w:t xml:space="preserve">CONCLUSION</w:t>
      </w:r>
      <w:r>
        <w:tab/>
      </w:r>
      <w:r>
        <w:t xml:space="preserve">9</w:t>
      </w:r>
    </w:p>
    <w:p>
      <w:pPr>
        <w:pStyle w:val="CASection"/>
        <w:pageBreakBefore/>
      </w:pPr>
      <w:r>
        <w:t xml:space="preserve">Table of Authorities</w:t>
      </w:r>
    </w:p>
    <w:p>
      <w:pPr>
        <w:pStyle w:val="CAToaGroup"/>
      </w:pPr>
      <w:r>
        <w:t xml:space="preserve">Cases:</w:t>
      </w:r>
      <w:r>
        <w:tab/>
      </w:r>
      <w:r>
        <w:rPr>
          <w:b/>
        </w:rPr>
        <w:t xml:space="preserve">Page(s)</w:t>
      </w:r>
    </w:p>
    <w:p>
      <w:pPr>
        <w:pStyle w:val="CAToaEntry"/>
      </w:pPr>
      <w:r>
        <w:rPr>
          <w:i/>
        </w:rPr>
        <w:t xml:space="preserve">Bryson</w:t>
      </w:r>
      <w:r>
        <w:rPr>
          <w:i/>
        </w:rPr>
        <w:t xml:space="preserve"> </w:t>
      </w:r>
      <w:r>
        <w:rPr>
          <w:i/>
        </w:rPr>
        <w:t xml:space="preserve">v.</w:t>
      </w:r>
      <w:r>
        <w:rPr>
          <w:i/>
        </w:rPr>
        <w:t xml:space="preserve"> </w:t>
      </w:r>
      <w:r>
        <w:rPr>
          <w:i/>
        </w:rPr>
        <w:t xml:space="preserve">News</w:t>
      </w:r>
      <w:r>
        <w:rPr>
          <w:i/>
        </w:rPr>
        <w:t xml:space="preserve"> </w:t>
      </w:r>
      <w:r>
        <w:rPr>
          <w:i/>
        </w:rPr>
        <w:t xml:space="preserve">Am.</w:t>
      </w:r>
      <w:r>
        <w:rPr>
          <w:i/>
        </w:rPr>
        <w:t xml:space="preserve"> </w:t>
      </w:r>
      <w:r>
        <w:rPr>
          <w:i/>
        </w:rPr>
        <w:t xml:space="preserve">Publ’ns,</w:t>
      </w:r>
      <w:r>
        <w:rPr>
          <w:i/>
        </w:rPr>
        <w:t xml:space="preserve"> </w:t>
      </w:r>
      <w:r>
        <w:rPr>
          <w:i/>
        </w:rPr>
        <w:t xml:space="preserve">Inc.</w:t>
      </w:r>
      <w:r>
        <w:t xml:space="preserve">,</w:t>
      </w:r>
      <w:r>
        <w:br/>
      </w:r>
      <w:r>
        <w:t xml:space="preserve">672</w:t>
      </w:r>
      <w:r>
        <w:t xml:space="preserve"> </w:t>
      </w:r>
      <w:r>
        <w:t xml:space="preserve">N.E.2d</w:t>
      </w:r>
      <w:r>
        <w:t xml:space="preserve"> </w:t>
      </w:r>
      <w:r>
        <w:t xml:space="preserve">1207</w:t>
      </w:r>
      <w:r>
        <w:t xml:space="preserve"> </w:t>
      </w:r>
      <w:r>
        <w:t xml:space="preserve">(Ill.</w:t>
      </w:r>
      <w:r>
        <w:t xml:space="preserve"> </w:t>
      </w:r>
      <w:r>
        <w:t xml:space="preserve">1996)</w:t>
      </w:r>
      <w:r>
        <w:tab/>
      </w:r>
      <w:r>
        <w:t xml:space="preserve">5, 7</w:t>
      </w:r>
    </w:p>
    <w:p>
      <w:pPr>
        <w:pStyle w:val="CAToaEntry"/>
      </w:pPr>
      <w:r>
        <w:rPr>
          <w:i/>
        </w:rPr>
        <w:t xml:space="preserve">Fair</w:t>
      </w:r>
      <w:r>
        <w:rPr>
          <w:i/>
        </w:rPr>
        <w:t xml:space="preserve"> </w:t>
      </w:r>
      <w:r>
        <w:rPr>
          <w:i/>
        </w:rPr>
        <w:t xml:space="preserve">Hous.</w:t>
      </w:r>
      <w:r>
        <w:rPr>
          <w:i/>
        </w:rPr>
        <w:t xml:space="preserve"> </w:t>
      </w:r>
      <w:r>
        <w:rPr>
          <w:i/>
        </w:rPr>
        <w:t xml:space="preserve">Council</w:t>
      </w:r>
      <w:r>
        <w:rPr>
          <w:i/>
        </w:rPr>
        <w:t xml:space="preserve"> </w:t>
      </w:r>
      <w:r>
        <w:rPr>
          <w:i/>
        </w:rPr>
        <w:t xml:space="preserve">of</w:t>
      </w:r>
      <w:r>
        <w:rPr>
          <w:i/>
        </w:rPr>
        <w:t xml:space="preserve"> </w:t>
      </w:r>
      <w:r>
        <w:rPr>
          <w:i/>
        </w:rPr>
        <w:t xml:space="preserve">San</w:t>
      </w:r>
      <w:r>
        <w:rPr>
          <w:i/>
        </w:rPr>
        <w:t xml:space="preserve"> </w:t>
      </w:r>
      <w:r>
        <w:rPr>
          <w:i/>
        </w:rPr>
        <w:t xml:space="preserve">Fernando</w:t>
      </w:r>
      <w:r>
        <w:rPr>
          <w:i/>
        </w:rPr>
        <w:t xml:space="preserve"> </w:t>
      </w:r>
      <w:r>
        <w:rPr>
          <w:i/>
        </w:rPr>
        <w:t xml:space="preserve">Valley</w:t>
      </w:r>
      <w:r>
        <w:rPr>
          <w:i/>
        </w:rPr>
        <w:t xml:space="preserve"> </w:t>
      </w:r>
      <w:r>
        <w:rPr>
          <w:i/>
        </w:rPr>
        <w:t xml:space="preserve">v.</w:t>
      </w:r>
      <w:r>
        <w:rPr>
          <w:i/>
        </w:rPr>
        <w:t xml:space="preserve"> </w:t>
      </w:r>
      <w:r>
        <w:rPr>
          <w:i/>
        </w:rPr>
        <w:t xml:space="preserve">Roommates.com,</w:t>
      </w:r>
      <w:r>
        <w:rPr>
          <w:i/>
        </w:rPr>
        <w:t xml:space="preserve"> </w:t>
      </w:r>
      <w:r>
        <w:rPr>
          <w:i/>
        </w:rPr>
        <w:t xml:space="preserve">LLC</w:t>
      </w:r>
      <w:r>
        <w:t xml:space="preserve">,</w:t>
      </w:r>
      <w:r>
        <w:br/>
      </w:r>
      <w:r>
        <w:t xml:space="preserve">521</w:t>
      </w:r>
      <w:r>
        <w:t xml:space="preserve"> </w:t>
      </w:r>
      <w:r>
        <w:t xml:space="preserve">F.3d</w:t>
      </w:r>
      <w:r>
        <w:t xml:space="preserve"> </w:t>
      </w:r>
      <w:r>
        <w:t xml:space="preserve">1157</w:t>
      </w:r>
      <w:r>
        <w:t xml:space="preserve"> </w:t>
      </w:r>
      <w:r>
        <w:t xml:space="preserve">(9th</w:t>
      </w:r>
      <w:r>
        <w:t xml:space="preserve"> </w:t>
      </w:r>
      <w:r>
        <w:t xml:space="preserve">Cir.</w:t>
      </w:r>
      <w:r>
        <w:t xml:space="preserve"> </w:t>
      </w:r>
      <w:r>
        <w:t xml:space="preserve">2008)</w:t>
      </w:r>
      <w:r>
        <w:tab/>
      </w:r>
      <w:r>
        <w:t xml:space="preserve">7</w:t>
      </w:r>
    </w:p>
    <w:p>
      <w:pPr>
        <w:pStyle w:val="CAToaEntry"/>
      </w:pPr>
      <w:r>
        <w:rPr>
          <w:i/>
        </w:rPr>
        <w:t xml:space="preserve">FTC</w:t>
      </w:r>
      <w:r>
        <w:rPr>
          <w:i/>
        </w:rPr>
        <w:t xml:space="preserve"> </w:t>
      </w:r>
      <w:r>
        <w:rPr>
          <w:i/>
        </w:rPr>
        <w:t xml:space="preserve">v.</w:t>
      </w:r>
      <w:r>
        <w:rPr>
          <w:i/>
        </w:rPr>
        <w:t xml:space="preserve"> </w:t>
      </w:r>
      <w:r>
        <w:rPr>
          <w:i/>
        </w:rPr>
        <w:t xml:space="preserve">Accusearch</w:t>
      </w:r>
      <w:r>
        <w:rPr>
          <w:i/>
        </w:rPr>
        <w:t xml:space="preserve"> </w:t>
      </w:r>
      <w:r>
        <w:rPr>
          <w:i/>
        </w:rPr>
        <w:t xml:space="preserve">Inc.</w:t>
      </w:r>
      <w:r>
        <w:t xml:space="preserve">,</w:t>
      </w:r>
      <w:r>
        <w:br/>
      </w:r>
      <w:r>
        <w:t xml:space="preserve">570</w:t>
      </w:r>
      <w:r>
        <w:t xml:space="preserve"> </w:t>
      </w:r>
      <w:r>
        <w:t xml:space="preserve">F.3d</w:t>
      </w:r>
      <w:r>
        <w:t xml:space="preserve"> </w:t>
      </w:r>
      <w:r>
        <w:t xml:space="preserve">1187</w:t>
      </w:r>
      <w:r>
        <w:t xml:space="preserve"> </w:t>
      </w:r>
      <w:r>
        <w:t xml:space="preserve">(10th</w:t>
      </w:r>
      <w:r>
        <w:t xml:space="preserve"> </w:t>
      </w:r>
      <w:r>
        <w:t xml:space="preserve">Cir.</w:t>
      </w:r>
      <w:r>
        <w:t xml:space="preserve"> </w:t>
      </w:r>
      <w:r>
        <w:t xml:space="preserve">2009)</w:t>
      </w:r>
      <w:r>
        <w:tab/>
      </w:r>
      <w:r>
        <w:t xml:space="preserve">7</w:t>
      </w:r>
    </w:p>
    <w:p>
      <w:pPr>
        <w:pStyle w:val="CAToaEntry"/>
      </w:pPr>
      <w:r>
        <w:rPr>
          <w:i/>
        </w:rPr>
        <w:t xml:space="preserve">FTC</w:t>
      </w:r>
      <w:r>
        <w:rPr>
          <w:i/>
        </w:rPr>
        <w:t xml:space="preserve"> </w:t>
      </w:r>
      <w:r>
        <w:rPr>
          <w:i/>
        </w:rPr>
        <w:t xml:space="preserve">v.</w:t>
      </w:r>
      <w:r>
        <w:rPr>
          <w:i/>
        </w:rPr>
        <w:t xml:space="preserve"> </w:t>
      </w:r>
      <w:r>
        <w:rPr>
          <w:i/>
        </w:rPr>
        <w:t xml:space="preserve">LeadClick</w:t>
      </w:r>
      <w:r>
        <w:rPr>
          <w:i/>
        </w:rPr>
        <w:t xml:space="preserve"> </w:t>
      </w:r>
      <w:r>
        <w:rPr>
          <w:i/>
        </w:rPr>
        <w:t xml:space="preserve">Media,</w:t>
      </w:r>
      <w:r>
        <w:rPr>
          <w:i/>
        </w:rPr>
        <w:t xml:space="preserve"> </w:t>
      </w:r>
      <w:r>
        <w:rPr>
          <w:i/>
        </w:rPr>
        <w:t xml:space="preserve">LLC</w:t>
      </w:r>
      <w:r>
        <w:t xml:space="preserve">,</w:t>
      </w:r>
      <w:r>
        <w:br/>
      </w:r>
      <w:r>
        <w:t xml:space="preserve">838</w:t>
      </w:r>
      <w:r>
        <w:t xml:space="preserve"> </w:t>
      </w:r>
      <w:r>
        <w:t xml:space="preserve">F.3d</w:t>
      </w:r>
      <w:r>
        <w:t xml:space="preserve"> </w:t>
      </w:r>
      <w:r>
        <w:t xml:space="preserve">158</w:t>
      </w:r>
      <w:r>
        <w:t xml:space="preserve"> </w:t>
      </w:r>
      <w:r>
        <w:t xml:space="preserve">(2d</w:t>
      </w:r>
      <w:r>
        <w:t xml:space="preserve"> </w:t>
      </w:r>
      <w:r>
        <w:t xml:space="preserve">Cir.</w:t>
      </w:r>
      <w:r>
        <w:t xml:space="preserve"> </w:t>
      </w:r>
      <w:r>
        <w:t xml:space="preserve">2016)</w:t>
      </w:r>
      <w:r>
        <w:tab/>
      </w:r>
      <w:r>
        <w:t xml:space="preserve">7</w:t>
      </w:r>
    </w:p>
    <w:p>
      <w:pPr>
        <w:pStyle w:val="CAToaEntry"/>
      </w:pPr>
      <w:r>
        <w:rPr>
          <w:i/>
        </w:rPr>
        <w:t xml:space="preserve">Huon</w:t>
      </w:r>
      <w:r>
        <w:rPr>
          <w:i/>
        </w:rPr>
        <w:t xml:space="preserve"> </w:t>
      </w:r>
      <w:r>
        <w:rPr>
          <w:i/>
        </w:rPr>
        <w:t xml:space="preserve">v.</w:t>
      </w:r>
      <w:r>
        <w:rPr>
          <w:i/>
        </w:rPr>
        <w:t xml:space="preserve"> </w:t>
      </w:r>
      <w:r>
        <w:rPr>
          <w:i/>
        </w:rPr>
        <w:t xml:space="preserve">Denton</w:t>
      </w:r>
      <w:r>
        <w:t xml:space="preserve">,</w:t>
      </w:r>
      <w:r>
        <w:br/>
      </w:r>
      <w:r>
        <w:t xml:space="preserve">841</w:t>
      </w:r>
      <w:r>
        <w:t xml:space="preserve"> </w:t>
      </w:r>
      <w:r>
        <w:t xml:space="preserve">F.3d</w:t>
      </w:r>
      <w:r>
        <w:t xml:space="preserve"> </w:t>
      </w:r>
      <w:r>
        <w:t xml:space="preserve">733</w:t>
      </w:r>
      <w:r>
        <w:t xml:space="preserve"> </w:t>
      </w:r>
      <w:r>
        <w:t xml:space="preserve">(7th</w:t>
      </w:r>
      <w:r>
        <w:t xml:space="preserve"> </w:t>
      </w:r>
      <w:r>
        <w:t xml:space="preserve">Cir.</w:t>
      </w:r>
      <w:r>
        <w:t xml:space="preserve"> </w:t>
      </w:r>
      <w:r>
        <w:t xml:space="preserve">2016)</w:t>
      </w:r>
      <w:r>
        <w:tab/>
      </w:r>
      <w:r>
        <w:t xml:space="preserve">2, 7</w:t>
      </w:r>
    </w:p>
    <w:p>
      <w:pPr>
        <w:pStyle w:val="CAToaEntry"/>
      </w:pPr>
      <w:r>
        <w:rPr>
          <w:i/>
        </w:rPr>
        <w:t xml:space="preserve">Jordan</w:t>
      </w:r>
      <w:r>
        <w:rPr>
          <w:i/>
        </w:rPr>
        <w:t xml:space="preserve"> </w:t>
      </w:r>
      <w:r>
        <w:rPr>
          <w:i/>
        </w:rPr>
        <w:t xml:space="preserve">v.</w:t>
      </w:r>
      <w:r>
        <w:rPr>
          <w:i/>
        </w:rPr>
        <w:t xml:space="preserve"> </w:t>
      </w:r>
      <w:r>
        <w:rPr>
          <w:i/>
        </w:rPr>
        <w:t xml:space="preserve">Jewel</w:t>
      </w:r>
      <w:r>
        <w:rPr>
          <w:i/>
        </w:rPr>
        <w:t xml:space="preserve"> </w:t>
      </w:r>
      <w:r>
        <w:rPr>
          <w:i/>
        </w:rPr>
        <w:t xml:space="preserve">Food</w:t>
      </w:r>
      <w:r>
        <w:rPr>
          <w:i/>
        </w:rPr>
        <w:t xml:space="preserve"> </w:t>
      </w:r>
      <w:r>
        <w:rPr>
          <w:i/>
        </w:rPr>
        <w:t xml:space="preserve">Stores,</w:t>
      </w:r>
      <w:r>
        <w:rPr>
          <w:i/>
        </w:rPr>
        <w:t xml:space="preserve"> </w:t>
      </w:r>
      <w:r>
        <w:rPr>
          <w:i/>
        </w:rPr>
        <w:t xml:space="preserve">Inc.</w:t>
      </w:r>
      <w:r>
        <w:t xml:space="preserve">,</w:t>
      </w:r>
      <w:r>
        <w:br/>
      </w:r>
      <w:r>
        <w:t xml:space="preserve">743</w:t>
      </w:r>
      <w:r>
        <w:t xml:space="preserve"> </w:t>
      </w:r>
      <w:r>
        <w:t xml:space="preserve">F.3d</w:t>
      </w:r>
      <w:r>
        <w:t xml:space="preserve"> </w:t>
      </w:r>
      <w:r>
        <w:t xml:space="preserve">509</w:t>
      </w:r>
      <w:r>
        <w:t xml:space="preserve"> </w:t>
      </w:r>
      <w:r>
        <w:t xml:space="preserve">(7th</w:t>
      </w:r>
      <w:r>
        <w:t xml:space="preserve"> </w:t>
      </w:r>
      <w:r>
        <w:t xml:space="preserve">Cir.</w:t>
      </w:r>
      <w:r>
        <w:t xml:space="preserve"> </w:t>
      </w:r>
      <w:r>
        <w:t xml:space="preserve">2014)</w:t>
      </w:r>
      <w:r>
        <w:tab/>
      </w:r>
      <w:r>
        <w:t xml:space="preserve">2, 3, 4</w:t>
      </w:r>
    </w:p>
    <w:p>
      <w:pPr>
        <w:pStyle w:val="CAToaEntry"/>
      </w:pPr>
      <w:r>
        <w:rPr>
          <w:i/>
        </w:rPr>
        <w:t xml:space="preserve">Kamelgard</w:t>
      </w:r>
      <w:r>
        <w:rPr>
          <w:i/>
        </w:rPr>
        <w:t xml:space="preserve"> </w:t>
      </w:r>
      <w:r>
        <w:rPr>
          <w:i/>
        </w:rPr>
        <w:t xml:space="preserve">v.</w:t>
      </w:r>
      <w:r>
        <w:rPr>
          <w:i/>
        </w:rPr>
        <w:t xml:space="preserve"> </w:t>
      </w:r>
      <w:r>
        <w:rPr>
          <w:i/>
        </w:rPr>
        <w:t xml:space="preserve">Macura</w:t>
      </w:r>
      <w:r>
        <w:t xml:space="preserve">,</w:t>
      </w:r>
      <w:r>
        <w:br/>
      </w:r>
      <w:r>
        <w:t xml:space="preserve">585</w:t>
      </w:r>
      <w:r>
        <w:t xml:space="preserve"> </w:t>
      </w:r>
      <w:r>
        <w:t xml:space="preserve">F.3d</w:t>
      </w:r>
      <w:r>
        <w:t xml:space="preserve"> </w:t>
      </w:r>
      <w:r>
        <w:t xml:space="preserve">334</w:t>
      </w:r>
      <w:r>
        <w:t xml:space="preserve"> </w:t>
      </w:r>
      <w:r>
        <w:t xml:space="preserve">(7th</w:t>
      </w:r>
      <w:r>
        <w:t xml:space="preserve"> </w:t>
      </w:r>
      <w:r>
        <w:t xml:space="preserve">Cir.</w:t>
      </w:r>
      <w:r>
        <w:t xml:space="preserve"> </w:t>
      </w:r>
      <w:r>
        <w:t xml:space="preserve">2009)</w:t>
      </w:r>
      <w:r>
        <w:tab/>
      </w:r>
      <w:r>
        <w:t xml:space="preserve">6</w:t>
      </w:r>
    </w:p>
    <w:p>
      <w:pPr>
        <w:pStyle w:val="CAToaEntry"/>
      </w:pPr>
      <w:r>
        <w:rPr>
          <w:i/>
        </w:rPr>
        <w:t xml:space="preserve">Law</w:t>
      </w:r>
      <w:r>
        <w:rPr>
          <w:i/>
        </w:rPr>
        <w:t xml:space="preserve"> </w:t>
      </w:r>
      <w:r>
        <w:rPr>
          <w:i/>
        </w:rPr>
        <w:t xml:space="preserve">Offices</w:t>
      </w:r>
      <w:r>
        <w:rPr>
          <w:i/>
        </w:rPr>
        <w:t xml:space="preserve"> </w:t>
      </w:r>
      <w:r>
        <w:rPr>
          <w:i/>
        </w:rPr>
        <w:t xml:space="preserve">of</w:t>
      </w:r>
      <w:r>
        <w:rPr>
          <w:i/>
        </w:rPr>
        <w:t xml:space="preserve"> </w:t>
      </w:r>
      <w:r>
        <w:rPr>
          <w:i/>
        </w:rPr>
        <w:t xml:space="preserve">David</w:t>
      </w:r>
      <w:r>
        <w:rPr>
          <w:i/>
        </w:rPr>
        <w:t xml:space="preserve"> </w:t>
      </w:r>
      <w:r>
        <w:rPr>
          <w:i/>
        </w:rPr>
        <w:t xml:space="preserve">Freydin,</w:t>
      </w:r>
      <w:r>
        <w:rPr>
          <w:i/>
        </w:rPr>
        <w:t xml:space="preserve"> </w:t>
      </w:r>
      <w:r>
        <w:rPr>
          <w:i/>
        </w:rPr>
        <w:t xml:space="preserve">P.C.</w:t>
      </w:r>
      <w:r>
        <w:rPr>
          <w:i/>
        </w:rPr>
        <w:t xml:space="preserve"> </w:t>
      </w:r>
      <w:r>
        <w:rPr>
          <w:i/>
        </w:rPr>
        <w:t xml:space="preserve">v.</w:t>
      </w:r>
      <w:r>
        <w:rPr>
          <w:i/>
        </w:rPr>
        <w:t xml:space="preserve"> </w:t>
      </w:r>
      <w:r>
        <w:rPr>
          <w:i/>
        </w:rPr>
        <w:t xml:space="preserve">Chamara</w:t>
      </w:r>
      <w:r>
        <w:t xml:space="preserve">,</w:t>
      </w:r>
      <w:r>
        <w:br/>
      </w:r>
      <w:r>
        <w:t xml:space="preserve">24</w:t>
      </w:r>
      <w:r>
        <w:t xml:space="preserve"> </w:t>
      </w:r>
      <w:r>
        <w:t xml:space="preserve">F.4th</w:t>
      </w:r>
      <w:r>
        <w:t xml:space="preserve"> </w:t>
      </w:r>
      <w:r>
        <w:t xml:space="preserve">1122</w:t>
      </w:r>
      <w:r>
        <w:t xml:space="preserve"> </w:t>
      </w:r>
      <w:r>
        <w:t xml:space="preserve">(7th</w:t>
      </w:r>
      <w:r>
        <w:t xml:space="preserve"> </w:t>
      </w:r>
      <w:r>
        <w:t xml:space="preserve">Cir.</w:t>
      </w:r>
      <w:r>
        <w:t xml:space="preserve"> </w:t>
      </w:r>
      <w:r>
        <w:t xml:space="preserve">2022)</w:t>
      </w:r>
      <w:r>
        <w:tab/>
      </w:r>
      <w:r>
        <w:t xml:space="preserve">6</w:t>
      </w:r>
    </w:p>
    <w:p>
      <w:pPr>
        <w:pStyle w:val="CAToaEntry"/>
      </w:pPr>
      <w:r>
        <w:rPr>
          <w:i/>
        </w:rPr>
        <w:t xml:space="preserve">Lemmon</w:t>
      </w:r>
      <w:r>
        <w:rPr>
          <w:i/>
        </w:rPr>
        <w:t xml:space="preserve"> </w:t>
      </w:r>
      <w:r>
        <w:rPr>
          <w:i/>
        </w:rPr>
        <w:t xml:space="preserve">v.</w:t>
      </w:r>
      <w:r>
        <w:rPr>
          <w:i/>
        </w:rPr>
        <w:t xml:space="preserve"> </w:t>
      </w:r>
      <w:r>
        <w:rPr>
          <w:i/>
        </w:rPr>
        <w:t xml:space="preserve">Snap,</w:t>
      </w:r>
      <w:r>
        <w:rPr>
          <w:i/>
        </w:rPr>
        <w:t xml:space="preserve"> </w:t>
      </w:r>
      <w:r>
        <w:rPr>
          <w:i/>
        </w:rPr>
        <w:t xml:space="preserve">Inc.</w:t>
      </w:r>
      <w:r>
        <w:t xml:space="preserve">,</w:t>
      </w:r>
      <w:r>
        <w:br/>
      </w:r>
      <w:r>
        <w:t xml:space="preserve">995</w:t>
      </w:r>
      <w:r>
        <w:t xml:space="preserve"> </w:t>
      </w:r>
      <w:r>
        <w:t xml:space="preserve">F.3d</w:t>
      </w:r>
      <w:r>
        <w:t xml:space="preserve"> </w:t>
      </w:r>
      <w:r>
        <w:t xml:space="preserve">1085</w:t>
      </w:r>
      <w:r>
        <w:t xml:space="preserve"> </w:t>
      </w:r>
      <w:r>
        <w:t xml:space="preserve">(9th</w:t>
      </w:r>
      <w:r>
        <w:t xml:space="preserve"> </w:t>
      </w:r>
      <w:r>
        <w:t xml:space="preserve">Cir.</w:t>
      </w:r>
      <w:r>
        <w:t xml:space="preserve"> </w:t>
      </w:r>
      <w:r>
        <w:t xml:space="preserve">2021)</w:t>
      </w:r>
      <w:r>
        <w:tab/>
      </w:r>
      <w:r>
        <w:t xml:space="preserve">8</w:t>
      </w:r>
    </w:p>
    <w:p>
      <w:pPr>
        <w:pStyle w:val="CAToaEntry"/>
      </w:pPr>
      <w:r>
        <w:rPr>
          <w:i/>
        </w:rPr>
        <w:t xml:space="preserve">Lott</w:t>
      </w:r>
      <w:r>
        <w:rPr>
          <w:i/>
        </w:rPr>
        <w:t xml:space="preserve"> </w:t>
      </w:r>
      <w:r>
        <w:rPr>
          <w:i/>
        </w:rPr>
        <w:t xml:space="preserve">v.</w:t>
      </w:r>
      <w:r>
        <w:rPr>
          <w:i/>
        </w:rPr>
        <w:t xml:space="preserve"> </w:t>
      </w:r>
      <w:r>
        <w:rPr>
          <w:i/>
        </w:rPr>
        <w:t xml:space="preserve">Levitt</w:t>
      </w:r>
      <w:r>
        <w:t xml:space="preserve">,</w:t>
      </w:r>
      <w:r>
        <w:br/>
      </w:r>
      <w:r>
        <w:t xml:space="preserve">556</w:t>
      </w:r>
      <w:r>
        <w:t xml:space="preserve"> </w:t>
      </w:r>
      <w:r>
        <w:t xml:space="preserve">F.3d</w:t>
      </w:r>
      <w:r>
        <w:t xml:space="preserve"> </w:t>
      </w:r>
      <w:r>
        <w:t xml:space="preserve">564</w:t>
      </w:r>
      <w:r>
        <w:t xml:space="preserve"> </w:t>
      </w:r>
      <w:r>
        <w:t xml:space="preserve">(7th</w:t>
      </w:r>
      <w:r>
        <w:t xml:space="preserve"> </w:t>
      </w:r>
      <w:r>
        <w:t xml:space="preserve">Cir.</w:t>
      </w:r>
      <w:r>
        <w:t xml:space="preserve"> </w:t>
      </w:r>
      <w:r>
        <w:t xml:space="preserve">2009)</w:t>
      </w:r>
      <w:r>
        <w:tab/>
      </w:r>
      <w:r>
        <w:t xml:space="preserve">5</w:t>
      </w:r>
    </w:p>
    <w:p>
      <w:pPr>
        <w:pStyle w:val="CAToaEntry"/>
      </w:pPr>
      <w:r>
        <w:rPr>
          <w:i/>
        </w:rPr>
        <w:t xml:space="preserve">Love</w:t>
      </w:r>
      <w:r>
        <w:rPr>
          <w:i/>
        </w:rPr>
        <w:t xml:space="preserve"> </w:t>
      </w:r>
      <w:r>
        <w:rPr>
          <w:i/>
        </w:rPr>
        <w:t xml:space="preserve">v.</w:t>
      </w:r>
      <w:r>
        <w:rPr>
          <w:i/>
        </w:rPr>
        <w:t xml:space="preserve"> </w:t>
      </w:r>
      <w:r>
        <w:rPr>
          <w:i/>
        </w:rPr>
        <w:t xml:space="preserve">Simmons</w:t>
      </w:r>
      <w:r>
        <w:t xml:space="preserve">,</w:t>
      </w:r>
      <w:r>
        <w:br/>
      </w:r>
      <w:r>
        <w:t xml:space="preserve">No. 1:22-cv-03198,</w:t>
      </w:r>
      <w:r>
        <w:t xml:space="preserve"> </w:t>
      </w:r>
      <w:r>
        <w:t xml:space="preserve">2024</w:t>
      </w:r>
      <w:r>
        <w:t xml:space="preserve"> </w:t>
      </w:r>
      <w:r>
        <w:t xml:space="preserve">WL</w:t>
      </w:r>
      <w:r>
        <w:t xml:space="preserve"> </w:t>
      </w:r>
      <w:r>
        <w:t xml:space="preserve">809107</w:t>
      </w:r>
      <w:r>
        <w:t xml:space="preserve"> </w:t>
      </w:r>
      <w:r>
        <w:t xml:space="preserve">(N.D.</w:t>
      </w:r>
      <w:r>
        <w:t xml:space="preserve"> </w:t>
      </w:r>
      <w:r>
        <w:t xml:space="preserve">Ill.</w:t>
      </w:r>
      <w:r>
        <w:t xml:space="preserve"> </w:t>
      </w:r>
      <w:r>
        <w:t xml:space="preserve">Feb. 27,</w:t>
      </w:r>
      <w:r>
        <w:t xml:space="preserve"> </w:t>
      </w:r>
      <w:r>
        <w:t xml:space="preserve">2024)</w:t>
      </w:r>
      <w:r>
        <w:tab/>
      </w:r>
      <w:r>
        <w:t xml:space="preserve">4</w:t>
      </w:r>
    </w:p>
    <w:p>
      <w:pPr>
        <w:pStyle w:val="CAToaEntry"/>
      </w:pPr>
      <w:r>
        <w:rPr>
          <w:i/>
        </w:rPr>
        <w:t xml:space="preserve">Moody</w:t>
      </w:r>
      <w:r>
        <w:rPr>
          <w:i/>
        </w:rPr>
        <w:t xml:space="preserve"> </w:t>
      </w:r>
      <w:r>
        <w:rPr>
          <w:i/>
        </w:rPr>
        <w:t xml:space="preserve">v.</w:t>
      </w:r>
      <w:r>
        <w:rPr>
          <w:i/>
        </w:rPr>
        <w:t xml:space="preserve"> </w:t>
      </w:r>
      <w:r>
        <w:rPr>
          <w:i/>
        </w:rPr>
        <w:t xml:space="preserve">NetChoice,</w:t>
      </w:r>
      <w:r>
        <w:rPr>
          <w:i/>
        </w:rPr>
        <w:t xml:space="preserve"> </w:t>
      </w:r>
      <w:r>
        <w:rPr>
          <w:i/>
        </w:rPr>
        <w:t xml:space="preserve">LLC</w:t>
      </w:r>
      <w:r>
        <w:t xml:space="preserve">,</w:t>
      </w:r>
      <w:r>
        <w:br/>
      </w:r>
      <w:r>
        <w:t xml:space="preserve">603</w:t>
      </w:r>
      <w:r>
        <w:t xml:space="preserve"> </w:t>
      </w:r>
      <w:r>
        <w:t xml:space="preserve">U.S.</w:t>
      </w:r>
      <w:r>
        <w:t xml:space="preserve"> </w:t>
      </w:r>
      <w:r>
        <w:t xml:space="preserve">707</w:t>
      </w:r>
      <w:r>
        <w:t xml:space="preserve"> </w:t>
      </w:r>
      <w:r>
        <w:t xml:space="preserve">(2024)</w:t>
      </w:r>
      <w:r>
        <w:tab/>
      </w:r>
      <w:r>
        <w:t xml:space="preserve">7</w:t>
      </w:r>
    </w:p>
    <w:p>
      <w:pPr>
        <w:pStyle w:val="CAToaEntry"/>
      </w:pPr>
      <w:r>
        <w:rPr>
          <w:i/>
        </w:rPr>
        <w:t xml:space="preserve">Muzikowski</w:t>
      </w:r>
      <w:r>
        <w:rPr>
          <w:i/>
        </w:rPr>
        <w:t xml:space="preserve"> </w:t>
      </w:r>
      <w:r>
        <w:rPr>
          <w:i/>
        </w:rPr>
        <w:t xml:space="preserve">v.</w:t>
      </w:r>
      <w:r>
        <w:rPr>
          <w:i/>
        </w:rPr>
        <w:t xml:space="preserve"> </w:t>
      </w:r>
      <w:r>
        <w:rPr>
          <w:i/>
        </w:rPr>
        <w:t xml:space="preserve">Paramount</w:t>
      </w:r>
      <w:r>
        <w:rPr>
          <w:i/>
        </w:rPr>
        <w:t xml:space="preserve"> </w:t>
      </w:r>
      <w:r>
        <w:rPr>
          <w:i/>
        </w:rPr>
        <w:t xml:space="preserve">Pictures</w:t>
      </w:r>
      <w:r>
        <w:rPr>
          <w:i/>
        </w:rPr>
        <w:t xml:space="preserve"> </w:t>
      </w:r>
      <w:r>
        <w:rPr>
          <w:i/>
        </w:rPr>
        <w:t xml:space="preserve">Corp.</w:t>
      </w:r>
      <w:r>
        <w:t xml:space="preserve">,</w:t>
      </w:r>
      <w:r>
        <w:br/>
      </w:r>
      <w:r>
        <w:t xml:space="preserve">322</w:t>
      </w:r>
      <w:r>
        <w:t xml:space="preserve"> </w:t>
      </w:r>
      <w:r>
        <w:t xml:space="preserve">F.3d</w:t>
      </w:r>
      <w:r>
        <w:t xml:space="preserve"> </w:t>
      </w:r>
      <w:r>
        <w:t xml:space="preserve">918</w:t>
      </w:r>
      <w:r>
        <w:t xml:space="preserve"> </w:t>
      </w:r>
      <w:r>
        <w:t xml:space="preserve">(7th</w:t>
      </w:r>
      <w:r>
        <w:t xml:space="preserve"> </w:t>
      </w:r>
      <w:r>
        <w:t xml:space="preserve">Cir.</w:t>
      </w:r>
      <w:r>
        <w:t xml:space="preserve"> </w:t>
      </w:r>
      <w:r>
        <w:t xml:space="preserve">2003)</w:t>
      </w:r>
      <w:r>
        <w:tab/>
      </w:r>
      <w:r>
        <w:t xml:space="preserve">5</w:t>
      </w:r>
    </w:p>
    <w:p>
      <w:pPr>
        <w:pStyle w:val="CAToaEntry"/>
      </w:pPr>
      <w:r>
        <w:rPr>
          <w:i/>
        </w:rPr>
        <w:t xml:space="preserve">Runnion</w:t>
      </w:r>
      <w:r>
        <w:rPr>
          <w:i/>
        </w:rPr>
        <w:t xml:space="preserve"> </w:t>
      </w:r>
      <w:r>
        <w:rPr>
          <w:i/>
        </w:rPr>
        <w:t xml:space="preserve">ex</w:t>
      </w:r>
      <w:r>
        <w:rPr>
          <w:i/>
        </w:rPr>
        <w:t xml:space="preserve"> </w:t>
      </w:r>
      <w:r>
        <w:rPr>
          <w:i/>
        </w:rPr>
        <w:t xml:space="preserve">rel.</w:t>
      </w:r>
      <w:r>
        <w:rPr>
          <w:i/>
        </w:rPr>
        <w:t xml:space="preserve"> </w:t>
      </w:r>
      <w:r>
        <w:rPr>
          <w:i/>
        </w:rPr>
        <w:t xml:space="preserve">Runnion</w:t>
      </w:r>
      <w:r>
        <w:rPr>
          <w:i/>
        </w:rPr>
        <w:t xml:space="preserve"> </w:t>
      </w:r>
      <w:r>
        <w:rPr>
          <w:i/>
        </w:rPr>
        <w:t xml:space="preserve">v.</w:t>
      </w:r>
      <w:r>
        <w:rPr>
          <w:i/>
        </w:rPr>
        <w:t xml:space="preserve"> </w:t>
      </w:r>
      <w:r>
        <w:rPr>
          <w:i/>
        </w:rPr>
        <w:t xml:space="preserve">Girl</w:t>
      </w:r>
      <w:r>
        <w:rPr>
          <w:i/>
        </w:rPr>
        <w:t xml:space="preserve"> </w:t>
      </w:r>
      <w:r>
        <w:rPr>
          <w:i/>
        </w:rPr>
        <w:t xml:space="preserve">Scouts</w:t>
      </w:r>
      <w:r>
        <w:rPr>
          <w:i/>
        </w:rPr>
        <w:t xml:space="preserve"> </w:t>
      </w:r>
      <w:r>
        <w:rPr>
          <w:i/>
        </w:rPr>
        <w:t xml:space="preserve">of</w:t>
      </w:r>
      <w:r>
        <w:rPr>
          <w:i/>
        </w:rPr>
        <w:t xml:space="preserve"> </w:t>
      </w:r>
      <w:r>
        <w:rPr>
          <w:i/>
        </w:rPr>
        <w:t xml:space="preserve">Greater</w:t>
      </w:r>
      <w:r>
        <w:rPr>
          <w:i/>
        </w:rPr>
        <w:t xml:space="preserve"> </w:t>
      </w:r>
      <w:r>
        <w:rPr>
          <w:i/>
        </w:rPr>
        <w:t xml:space="preserve">Chi.</w:t>
      </w:r>
      <w:r>
        <w:t xml:space="preserve">,</w:t>
      </w:r>
      <w:r>
        <w:br/>
      </w:r>
      <w:r>
        <w:t xml:space="preserve">786</w:t>
      </w:r>
      <w:r>
        <w:t xml:space="preserve"> </w:t>
      </w:r>
      <w:r>
        <w:t xml:space="preserve">F.3d</w:t>
      </w:r>
      <w:r>
        <w:t xml:space="preserve"> </w:t>
      </w:r>
      <w:r>
        <w:t xml:space="preserve">510</w:t>
      </w:r>
      <w:r>
        <w:t xml:space="preserve"> </w:t>
      </w:r>
      <w:r>
        <w:t xml:space="preserve">(7th</w:t>
      </w:r>
      <w:r>
        <w:t xml:space="preserve"> </w:t>
      </w:r>
      <w:r>
        <w:t xml:space="preserve">Cir.</w:t>
      </w:r>
      <w:r>
        <w:t xml:space="preserve"> </w:t>
      </w:r>
      <w:r>
        <w:t xml:space="preserve">2015)</w:t>
      </w:r>
      <w:r>
        <w:tab/>
      </w:r>
      <w:r>
        <w:t xml:space="preserve">9</w:t>
      </w:r>
    </w:p>
    <w:p>
      <w:pPr>
        <w:pStyle w:val="CAToaEntry"/>
      </w:pPr>
      <w:r>
        <w:rPr>
          <w:i/>
        </w:rPr>
        <w:t xml:space="preserve">Sorrell</w:t>
      </w:r>
      <w:r>
        <w:rPr>
          <w:i/>
        </w:rPr>
        <w:t xml:space="preserve"> </w:t>
      </w:r>
      <w:r>
        <w:rPr>
          <w:i/>
        </w:rPr>
        <w:t xml:space="preserve">v.</w:t>
      </w:r>
      <w:r>
        <w:rPr>
          <w:i/>
        </w:rPr>
        <w:t xml:space="preserve"> </w:t>
      </w:r>
      <w:r>
        <w:rPr>
          <w:i/>
        </w:rPr>
        <w:t xml:space="preserve">IMS</w:t>
      </w:r>
      <w:r>
        <w:rPr>
          <w:i/>
        </w:rPr>
        <w:t xml:space="preserve"> </w:t>
      </w:r>
      <w:r>
        <w:rPr>
          <w:i/>
        </w:rPr>
        <w:t xml:space="preserve">Health</w:t>
      </w:r>
      <w:r>
        <w:rPr>
          <w:i/>
        </w:rPr>
        <w:t xml:space="preserve"> </w:t>
      </w:r>
      <w:r>
        <w:rPr>
          <w:i/>
        </w:rPr>
        <w:t xml:space="preserve">Inc.</w:t>
      </w:r>
      <w:r>
        <w:t xml:space="preserve">,</w:t>
      </w:r>
      <w:r>
        <w:br/>
      </w:r>
      <w:r>
        <w:t xml:space="preserve">564</w:t>
      </w:r>
      <w:r>
        <w:t xml:space="preserve"> </w:t>
      </w:r>
      <w:r>
        <w:t xml:space="preserve">U.S.</w:t>
      </w:r>
      <w:r>
        <w:t xml:space="preserve"> </w:t>
      </w:r>
      <w:r>
        <w:t xml:space="preserve">552</w:t>
      </w:r>
      <w:r>
        <w:t xml:space="preserve"> </w:t>
      </w:r>
      <w:r>
        <w:t xml:space="preserve">(2011)</w:t>
      </w:r>
      <w:r>
        <w:tab/>
      </w:r>
      <w:r>
        <w:t xml:space="preserve">7</w:t>
      </w:r>
    </w:p>
    <w:p>
      <w:pPr>
        <w:pStyle w:val="CAToaGroup"/>
      </w:pPr>
      <w:r>
        <w:t xml:space="preserve">Statutes:</w:t>
      </w:r>
    </w:p>
    <w:p>
      <w:pPr>
        <w:pStyle w:val="CAToaEntry"/>
      </w:pPr>
      <w:r>
        <w:t xml:space="preserve">47</w:t>
      </w:r>
      <w:r>
        <w:t xml:space="preserve"> </w:t>
      </w:r>
      <w:r>
        <w:t xml:space="preserve">U.S.C.</w:t>
      </w:r>
      <w:r>
        <w:t xml:space="preserve"> </w:t>
      </w:r>
      <w:r>
        <w:t xml:space="preserve">§</w:t>
      </w:r>
      <w:r>
        <w:t xml:space="preserve"> </w:t>
      </w:r>
      <w:r>
        <w:t xml:space="preserve">230</w:t>
      </w:r>
      <w:r>
        <w:tab/>
      </w:r>
      <w:r>
        <w:t xml:space="preserve">7</w:t>
      </w:r>
    </w:p>
    <w:p>
      <w:pPr>
        <w:pStyle w:val="CAToaEntry"/>
      </w:pPr>
      <w:r>
        <w:t xml:space="preserve">740</w:t>
      </w:r>
      <w:r>
        <w:t xml:space="preserve"> </w:t>
      </w:r>
      <w:r>
        <w:t xml:space="preserve">ILCS</w:t>
      </w:r>
      <w:r>
        <w:t xml:space="preserve"> </w:t>
      </w:r>
      <w:r>
        <w:t xml:space="preserve">195/1</w:t>
      </w:r>
      <w:r>
        <w:t xml:space="preserve"> </w:t>
      </w:r>
      <w:r>
        <w:t xml:space="preserve">et</w:t>
      </w:r>
      <w:r>
        <w:t xml:space="preserve"> </w:t>
      </w:r>
      <w:r>
        <w:t xml:space="preserve">seq.</w:t>
      </w:r>
      <w:r>
        <w:t xml:space="preserve"> </w:t>
      </w:r>
      <w:r>
        <w:t xml:space="preserve">(Illinois</w:t>
      </w:r>
      <w:r>
        <w:t xml:space="preserve"> </w:t>
      </w:r>
      <w:r>
        <w:t xml:space="preserve">Civil</w:t>
      </w:r>
      <w:r>
        <w:t xml:space="preserve"> </w:t>
      </w:r>
      <w:r>
        <w:t xml:space="preserve">Liability</w:t>
      </w:r>
      <w:r>
        <w:t xml:space="preserve"> </w:t>
      </w:r>
      <w:r>
        <w:t xml:space="preserve">for</w:t>
      </w:r>
      <w:r>
        <w:t xml:space="preserve"> </w:t>
      </w:r>
      <w:r>
        <w:t xml:space="preserve">Doxing</w:t>
      </w:r>
      <w:r>
        <w:t xml:space="preserve"> </w:t>
      </w:r>
      <w:r>
        <w:t xml:space="preserve">Act)</w:t>
      </w:r>
      <w:r>
        <w:tab/>
      </w:r>
      <w:r>
        <w:t xml:space="preserve">1, 4, 5</w:t>
      </w:r>
    </w:p>
    <w:p>
      <w:pPr>
        <w:pStyle w:val="CAToaEntry"/>
      </w:pPr>
      <w:r>
        <w:t xml:space="preserve">765</w:t>
      </w:r>
      <w:r>
        <w:t xml:space="preserve"> </w:t>
      </w:r>
      <w:r>
        <w:t xml:space="preserve">ILCS</w:t>
      </w:r>
      <w:r>
        <w:t xml:space="preserve"> </w:t>
      </w:r>
      <w:r>
        <w:t xml:space="preserve">1075/1</w:t>
      </w:r>
      <w:r>
        <w:t xml:space="preserve"> </w:t>
      </w:r>
      <w:r>
        <w:t xml:space="preserve">et</w:t>
      </w:r>
      <w:r>
        <w:t xml:space="preserve"> </w:t>
      </w:r>
      <w:r>
        <w:t xml:space="preserve">seq.</w:t>
      </w:r>
      <w:r>
        <w:t xml:space="preserve"> </w:t>
      </w:r>
      <w:r>
        <w:t xml:space="preserve">(Illinois</w:t>
      </w:r>
      <w:r>
        <w:t xml:space="preserve"> </w:t>
      </w:r>
      <w:r>
        <w:t xml:space="preserve">Right</w:t>
      </w:r>
      <w:r>
        <w:t xml:space="preserve"> </w:t>
      </w:r>
      <w:r>
        <w:t xml:space="preserve">of</w:t>
      </w:r>
      <w:r>
        <w:t xml:space="preserve"> </w:t>
      </w:r>
      <w:r>
        <w:t xml:space="preserve">Publicity</w:t>
      </w:r>
      <w:r>
        <w:t xml:space="preserve"> </w:t>
      </w:r>
      <w:r>
        <w:t xml:space="preserve">Act)</w:t>
      </w:r>
      <w:r>
        <w:tab/>
      </w:r>
      <w:r>
        <w:t xml:space="preserve">1, 2</w:t>
      </w:r>
    </w:p>
    <w:p>
      <w:pPr>
        <w:pStyle w:val="CAToaEntry"/>
      </w:pPr>
      <w:r>
        <w:t xml:space="preserve">765</w:t>
      </w:r>
      <w:r>
        <w:t xml:space="preserve"> </w:t>
      </w:r>
      <w:r>
        <w:t xml:space="preserve">ILCS</w:t>
      </w:r>
      <w:r>
        <w:t xml:space="preserve"> </w:t>
      </w:r>
      <w:r>
        <w:t xml:space="preserve">1075/35(b)(1)</w:t>
      </w:r>
      <w:r>
        <w:tab/>
      </w:r>
      <w:r>
        <w:t xml:space="preserve">4</w:t>
      </w:r>
    </w:p>
    <w:p>
      <w:pPr>
        <w:pStyle w:val="CAToaEntry"/>
      </w:pPr>
      <w:r>
        <w:t xml:space="preserve">765</w:t>
      </w:r>
      <w:r>
        <w:t xml:space="preserve"> </w:t>
      </w:r>
      <w:r>
        <w:t xml:space="preserve">ILCS</w:t>
      </w:r>
      <w:r>
        <w:t xml:space="preserve"> </w:t>
      </w:r>
      <w:r>
        <w:t xml:space="preserve">1075/5</w:t>
      </w:r>
      <w:r>
        <w:tab/>
      </w:r>
      <w:r>
        <w:t xml:space="preserve">2</w:t>
      </w:r>
    </w:p>
    <w:p>
      <w:pPr>
        <w:spacing w:before="0" w:after="0" w:line="20" w:lineRule="exact"/>
        <w:sectPr>
          <w:footerReference w:type="default" r:id="rIdFtrPage"/>
          <w:type w:val="nextPage"/>
          <w:pgSz w:w="12240" w:h="15840"/>
          <w:pgMar w:top="1440" w:right="1440" w:bottom="1440" w:left="1440" w:header="720" w:footer="720" w:gutter="0"/>
          <w:pgNumType w:fmt="lowerRoman"/>
        </w:sectPr>
      </w:pPr>
    </w:p>
    <w:p>
      <w:pPr>
        <w:pStyle w:val="CASection"/>
        <w:keepNext/>
      </w:pPr>
      <w:r>
        <w:t xml:space="preserve">I.</w:t>
      </w:r>
      <w:r>
        <w:t xml:space="preserve"> </w:t>
      </w:r>
      <w:r>
        <w:t xml:space="preserve">Summary</w:t>
      </w:r>
      <w:r>
        <w:t xml:space="preserve"> </w:t>
      </w:r>
      <w:r>
        <w:t xml:space="preserve">of</w:t>
      </w:r>
      <w:r>
        <w:t xml:space="preserve"> </w:t>
      </w:r>
      <w:r>
        <w:t xml:space="preserve">the</w:t>
      </w:r>
      <w:r>
        <w:t xml:space="preserve"> </w:t>
      </w:r>
      <w:r>
        <w:t xml:space="preserve">Argument</w:t>
      </w:r>
    </w:p>
    <w:p>
      <w:pPr>
        <w:pStyle w:val="FirstParagraph"/>
      </w:pPr>
      <w:r>
        <w:t xml:space="preserve">The response briefs confirm that the judgment rests on premature merits determinations and unduly narrow views of Illinois law. On IRPA, Appellees recast our claim as “ads happen to sit near content,” but the complaint and opening brief allege a monetization loop in which Appellees used Mr. D’Ambrosio’s identity in connection with advertising and ongoing fundraising: Rajala’s post functioned as the engagement hook for AWDTSG’s brand and crowdfunding/subscription revenue, while Meta packaged that engagement as targeted ad inventory. That fits IRPA’s text and</w:t>
      </w:r>
      <w:r>
        <w:t xml:space="preserve"> </w:t>
      </w:r>
      <w:r>
        <w:rPr>
          <w:i/>
          <w:iCs/>
        </w:rPr>
        <w:t xml:space="preserve">Jordan</w:t>
      </w:r>
      <w:r>
        <w:t xml:space="preserve">’s “helps sell something” standard.</w:t>
      </w:r>
    </w:p>
    <w:p>
      <w:pPr>
        <w:pStyle w:val="BodyText"/>
      </w:pPr>
      <w:r>
        <w:t xml:space="preserve">Appellees’ reliance on IRPA’s § 35(b)(1) “article or visual work” safe harbor cannot defeat plausibility at Rule 12 because the allegations plausibly depict a promotional instrument embedded in a monetized AWDTSG ecosystem, not a stand-alone noncommercial “work.”</w:t>
      </w:r>
    </w:p>
    <w:p>
      <w:pPr>
        <w:pStyle w:val="BodyText"/>
      </w:pPr>
      <w:r>
        <w:t xml:space="preserve">On the Anti-Doxing Act, the statute reaches information that can “distinguish or trace” identity together with “linked or linkable” data. In a 100,000-member, Chicago-focused group, the combination of name and face, plus a call-and-response culture to crowdsource employer and other details, plausibly alleges publication of PII with intent to harass and a reasonable likelihood of harm.</w:t>
      </w:r>
    </w:p>
    <w:p>
      <w:pPr>
        <w:pStyle w:val="BodyText"/>
      </w:pPr>
      <w:r>
        <w:t xml:space="preserve">Defamation and false-light claims turn on context and juxtaposition. The ordinary AWDTSG reader could understand the thread, name and photo of Mr. D’Ambrosio followed by a sex-offender mugshot/article, as imputing criminal conduct. That is classic defamatory implication under Illinois law and not amenable to dismissal on “innocent construction” grounds. And liability is not limited to the person who pasted the mugshot, given the pleaded framing, curation, and amplification by the other defendants.</w:t>
      </w:r>
    </w:p>
    <w:p>
      <w:pPr>
        <w:pStyle w:val="BodyText"/>
      </w:pPr>
      <w:r>
        <w:t xml:space="preserve">Section 230 does not categorically bar claims targeting Appellees’ own product-design and operational choices—material contribution to the harmful presentation, bespoke features, and integration with a monetized call-out apparatus. Those are fact-intensive questions unsuitable for resolution on the pleadings. The First Amendment likewise does not insulate defamation or tortious doxing, nor does it bar ordinary product-safety duties that regulate conduct, not viewpoints.</w:t>
      </w:r>
    </w:p>
    <w:p>
      <w:pPr>
        <w:pStyle w:val="BodyText"/>
      </w:pPr>
      <w:r>
        <w:t xml:space="preserve">The Seventh Circuit has consistently cautioned against resolving factual disputes at the Rule 12 stage where monetization, intent, or contextual meaning depend on a developed record.</w:t>
      </w:r>
      <w:r>
        <w:t xml:space="preserve"> </w:t>
      </w:r>
      <w:r>
        <w:rPr>
          <w:i/>
          <w:iCs/>
        </w:rPr>
        <w:t xml:space="preserve">Jordan v. Jewel Food Stores, Inc.</w:t>
      </w:r>
      <w:r>
        <w:t xml:space="preserve">, 743 F.3d 509 (7th Cir. 2014), and</w:t>
      </w:r>
      <w:r>
        <w:t xml:space="preserve"> </w:t>
      </w:r>
      <w:r>
        <w:rPr>
          <w:i/>
          <w:iCs/>
        </w:rPr>
        <w:t xml:space="preserve">Huon v. Denton</w:t>
      </w:r>
      <w:r>
        <w:t xml:space="preserve">, 841 F.3d 733 (7th Cir. 2016), both reversed early dismissals under comparable circumstances, underscoring that courts must accept plausible factual allegations linking online publication to commercial purpose or platform involvement.</w:t>
      </w:r>
    </w:p>
    <w:p>
      <w:pPr>
        <w:pStyle w:val="BodyText"/>
      </w:pPr>
      <w:r>
        <w:t xml:space="preserve">Finally, at a minimum, dismissal with prejudice was error; Seventh Circuit practice strongly favors targeted leave to amend after a first dismissal.</w:t>
      </w:r>
    </w:p>
    <w:p>
      <w:pPr>
        <w:pStyle w:val="CASection"/>
        <w:keepNext/>
      </w:pPr>
      <w:r>
        <w:t xml:space="preserve">II.</w:t>
      </w:r>
      <w:r>
        <w:t xml:space="preserve"> </w:t>
      </w:r>
      <w:r>
        <w:t xml:space="preserve">Argument</w:t>
      </w:r>
    </w:p>
    <w:p>
      <w:pPr>
        <w:pStyle w:val="CAHeadL2S1"/>
        <w:keepNext/>
      </w:pPr>
      <w:r>
        <w:t xml:space="preserve">I.</w:t>
      </w:r>
      <w:r>
        <w:tab/>
      </w:r>
      <w:r>
        <w:t xml:space="preserve">IRPA:</w:t>
      </w:r>
      <w:r>
        <w:t xml:space="preserve"> </w:t>
      </w:r>
      <w:r>
        <w:t xml:space="preserve">“In</w:t>
      </w:r>
      <w:r>
        <w:t xml:space="preserve"> </w:t>
      </w:r>
      <w:r>
        <w:t xml:space="preserve">connection</w:t>
      </w:r>
      <w:r>
        <w:t xml:space="preserve"> </w:t>
      </w:r>
      <w:r>
        <w:t xml:space="preserve">with”</w:t>
      </w:r>
      <w:r>
        <w:t xml:space="preserve"> </w:t>
      </w:r>
      <w:r>
        <w:t xml:space="preserve">advertising/fundraising</w:t>
      </w:r>
      <w:r>
        <w:t xml:space="preserve"> </w:t>
      </w:r>
      <w:r>
        <w:t xml:space="preserve">is</w:t>
      </w:r>
      <w:r>
        <w:t xml:space="preserve"> </w:t>
      </w:r>
      <w:r>
        <w:t xml:space="preserve">plausibly</w:t>
      </w:r>
      <w:r>
        <w:t xml:space="preserve"> </w:t>
      </w:r>
      <w:r>
        <w:t xml:space="preserve">pled;</w:t>
      </w:r>
      <w:r>
        <w:t xml:space="preserve"> </w:t>
      </w:r>
      <w:r>
        <w:t xml:space="preserve">the</w:t>
      </w:r>
      <w:r>
        <w:t xml:space="preserve"> </w:t>
      </w:r>
      <w:r>
        <w:t xml:space="preserve">§</w:t>
      </w:r>
      <w:r>
        <w:t xml:space="preserve"> </w:t>
      </w:r>
      <w:r>
        <w:t xml:space="preserve">35(b)(1)</w:t>
      </w:r>
      <w:r>
        <w:t xml:space="preserve"> </w:t>
      </w:r>
      <w:r>
        <w:t xml:space="preserve">“visual</w:t>
      </w:r>
      <w:r>
        <w:t xml:space="preserve"> </w:t>
      </w:r>
      <w:r>
        <w:t xml:space="preserve">work”</w:t>
      </w:r>
      <w:r>
        <w:t xml:space="preserve"> </w:t>
      </w:r>
      <w:r>
        <w:t xml:space="preserve">exception</w:t>
      </w:r>
      <w:r>
        <w:t xml:space="preserve"> </w:t>
      </w:r>
      <w:r>
        <w:t xml:space="preserve">cannot</w:t>
      </w:r>
      <w:r>
        <w:t xml:space="preserve"> </w:t>
      </w:r>
      <w:r>
        <w:t xml:space="preserve">defeat</w:t>
      </w:r>
      <w:r>
        <w:t xml:space="preserve"> </w:t>
      </w:r>
      <w:r>
        <w:t xml:space="preserve">the</w:t>
      </w:r>
      <w:r>
        <w:t xml:space="preserve"> </w:t>
      </w:r>
      <w:r>
        <w:t xml:space="preserve">pleadings</w:t>
      </w:r>
    </w:p>
    <w:p>
      <w:pPr>
        <w:pStyle w:val="CAHeadL3S2"/>
        <w:keepNext/>
      </w:pPr>
      <w:r>
        <w:t xml:space="preserve">A.</w:t>
      </w:r>
      <w:r>
        <w:tab/>
      </w:r>
      <w:r>
        <w:t xml:space="preserve">“Commercial</w:t>
      </w:r>
      <w:r>
        <w:t xml:space="preserve"> </w:t>
      </w:r>
      <w:r>
        <w:t xml:space="preserve">purpose”</w:t>
      </w:r>
      <w:r>
        <w:t xml:space="preserve"> </w:t>
      </w:r>
      <w:r>
        <w:t xml:space="preserve">is</w:t>
      </w:r>
      <w:r>
        <w:t xml:space="preserve"> </w:t>
      </w:r>
      <w:r>
        <w:t xml:space="preserve">satisfied</w:t>
      </w:r>
      <w:r>
        <w:t xml:space="preserve"> </w:t>
      </w:r>
      <w:r>
        <w:t xml:space="preserve">by</w:t>
      </w:r>
      <w:r>
        <w:t xml:space="preserve"> </w:t>
      </w:r>
      <w:r>
        <w:t xml:space="preserve">monetization</w:t>
      </w:r>
      <w:r>
        <w:t xml:space="preserve"> </w:t>
      </w:r>
      <w:r>
        <w:t xml:space="preserve">that</w:t>
      </w:r>
      <w:r>
        <w:t xml:space="preserve"> </w:t>
      </w:r>
      <w:r>
        <w:t xml:space="preserve">the</w:t>
      </w:r>
      <w:r>
        <w:t xml:space="preserve"> </w:t>
      </w:r>
      <w:r>
        <w:t xml:space="preserve">complaint</w:t>
      </w:r>
      <w:r>
        <w:t xml:space="preserve"> </w:t>
      </w:r>
      <w:r>
        <w:t xml:space="preserve">ties</w:t>
      </w:r>
      <w:r>
        <w:t xml:space="preserve"> </w:t>
      </w:r>
      <w:r>
        <w:t xml:space="preserve">to</w:t>
      </w:r>
      <w:r>
        <w:t xml:space="preserve"> </w:t>
      </w:r>
      <w:r>
        <w:t xml:space="preserve">AWDTSG</w:t>
      </w:r>
      <w:r>
        <w:t xml:space="preserve"> </w:t>
      </w:r>
      <w:r>
        <w:t xml:space="preserve">fundraising</w:t>
      </w:r>
      <w:r>
        <w:t xml:space="preserve"> </w:t>
      </w:r>
      <w:r>
        <w:t xml:space="preserve">and</w:t>
      </w:r>
      <w:r>
        <w:t xml:space="preserve"> </w:t>
      </w:r>
      <w:r>
        <w:t xml:space="preserve">Meta’s</w:t>
      </w:r>
      <w:r>
        <w:t xml:space="preserve"> </w:t>
      </w:r>
      <w:r>
        <w:t xml:space="preserve">ad</w:t>
      </w:r>
      <w:r>
        <w:t xml:space="preserve"> </w:t>
      </w:r>
      <w:r>
        <w:t xml:space="preserve">sales</w:t>
      </w:r>
    </w:p>
    <w:p>
      <w:pPr>
        <w:pStyle w:val="BodyText"/>
      </w:pPr>
      <w:r>
        <w:t xml:space="preserve">Appellees say IRPA requires a face on a donation page or “ads-adjacent” content to be noncommercial.</w:t>
      </w:r>
      <w:r>
        <w:t xml:space="preserve"> </w:t>
      </w:r>
      <w:r>
        <w:rPr>
          <w:i/>
          <w:iCs/>
        </w:rPr>
        <w:t xml:space="preserve">See</w:t>
      </w:r>
      <w:r>
        <w:t xml:space="preserve"> </w:t>
      </w:r>
      <w:r>
        <w:t xml:space="preserve">Meta Br. (ads near content “don’t count”); Spill-the-Tea Br. (no “commercial purpose”). That misreads both the statute and the allegations. IRPA makes it actionable to use identity “on or in connection with” the sale of goods or services, for advertising or promoting such goods/services, or for the purpose of fundraising. 765 ILCS 1075/5. The complaint and Opening Brief allege a monetization loop: (i) Rajala’s call-out post and the ensuing thread were instruments to drive AWDTSG’s brand engagement, GoFundMe, and Patreon; and (ii) Meta monetized that engagement by selling targeted ad inventory derived from it. That is a paradigmatic “in connection with” use.</w:t>
      </w:r>
      <w:r>
        <w:t xml:space="preserve"> </w:t>
      </w:r>
      <w:r>
        <w:rPr>
          <w:i/>
          <w:iCs/>
        </w:rPr>
        <w:t xml:space="preserve">See</w:t>
      </w:r>
      <w:r>
        <w:t xml:space="preserve"> </w:t>
      </w:r>
      <w:r>
        <w:rPr>
          <w:i/>
          <w:iCs/>
        </w:rPr>
        <w:t xml:space="preserve">Jordan v. Jewel Food Stores, Inc.</w:t>
      </w:r>
      <w:r>
        <w:t xml:space="preserve">, 743 F.3d 509, 517–20 (7th Cir. 2014) (a “tribute” promoting the store’s brand satisfied IRPA);</w:t>
      </w:r>
      <w:r>
        <w:t xml:space="preserve"> </w:t>
      </w:r>
      <w:r>
        <w:rPr>
          <w:i/>
          <w:iCs/>
        </w:rPr>
        <w:t xml:space="preserve">Huston v. Hearst Commc’ns, Inc.</w:t>
      </w:r>
      <w:r>
        <w:t xml:space="preserve">, 53 F.4th 1097, 1100–02 (7th Cir. 2022) (“identity must help sell something”).</w:t>
      </w:r>
    </w:p>
    <w:p>
      <w:pPr>
        <w:pStyle w:val="BodyText"/>
      </w:pPr>
      <w:r>
        <w:t xml:space="preserve">Spill-the-Tea’s temporal argument—that Rajala’s post cannot relate to fundraising because campaigns pre-dated the post—fails. Fundraising here is ongoing and subscription-based; posts serve as recurring promotional instruments for AWDTSG’s brand and revenue streams. Under</w:t>
      </w:r>
      <w:r>
        <w:t xml:space="preserve"> </w:t>
      </w:r>
      <w:r>
        <w:rPr>
          <w:i/>
          <w:iCs/>
        </w:rPr>
        <w:t xml:space="preserve">Huston</w:t>
      </w:r>
      <w:r>
        <w:t xml:space="preserve">, it is enough that the use helped effectuate the commercial aim.</w:t>
      </w:r>
      <w:r>
        <w:t xml:space="preserve"> </w:t>
      </w:r>
      <w:r>
        <w:rPr>
          <w:i/>
          <w:iCs/>
        </w:rPr>
        <w:t xml:space="preserve">See id.</w:t>
      </w:r>
    </w:p>
    <w:p>
      <w:pPr>
        <w:pStyle w:val="BodyText"/>
      </w:pPr>
      <w:r>
        <w:t xml:space="preserve">Moreover, the monetization allegations here do not rest on speculation. Meta’s own business model relies on engagement metrics that directly convert user interactions into ad inventory value. The AWDTSG group’s virality and recurring posts—using Plaintiff’s likeness—are plausibly alleged to have increased both subscription revenue and targeted ad impressions. At this stage, those monetization loops are sufficient to satisfy IRPA’s “in connection with” requirement.</w:t>
      </w:r>
    </w:p>
    <w:p>
      <w:pPr>
        <w:pStyle w:val="CAHeadL3S2"/>
        <w:keepNext/>
      </w:pPr>
      <w:r>
        <w:t xml:space="preserve">B.</w:t>
      </w:r>
      <w:r>
        <w:tab/>
      </w:r>
      <w:r>
        <w:t xml:space="preserve">Appellees’</w:t>
      </w:r>
      <w:r>
        <w:t xml:space="preserve"> </w:t>
      </w:r>
      <w:r>
        <w:t xml:space="preserve">waiver</w:t>
      </w:r>
      <w:r>
        <w:t xml:space="preserve"> </w:t>
      </w:r>
      <w:r>
        <w:t xml:space="preserve">theory</w:t>
      </w:r>
      <w:r>
        <w:t xml:space="preserve"> </w:t>
      </w:r>
      <w:r>
        <w:t xml:space="preserve">as</w:t>
      </w:r>
      <w:r>
        <w:t xml:space="preserve"> </w:t>
      </w:r>
      <w:r>
        <w:t xml:space="preserve">to</w:t>
      </w:r>
      <w:r>
        <w:t xml:space="preserve"> </w:t>
      </w:r>
      <w:r>
        <w:t xml:space="preserve">Rajala</w:t>
      </w:r>
      <w:r>
        <w:t xml:space="preserve"> </w:t>
      </w:r>
      <w:r>
        <w:t xml:space="preserve">is</w:t>
      </w:r>
      <w:r>
        <w:t xml:space="preserve"> </w:t>
      </w:r>
      <w:r>
        <w:t xml:space="preserve">incorrect</w:t>
      </w:r>
    </w:p>
    <w:p>
      <w:pPr>
        <w:pStyle w:val="BodyText"/>
      </w:pPr>
      <w:r>
        <w:t xml:space="preserve">The Rajala brief asserts waiver because the opening IRPA section emphasized Meta/Spill-the-Tea. But the appeal challenges the district court’s</w:t>
      </w:r>
      <w:r>
        <w:t xml:space="preserve"> </w:t>
      </w:r>
      <w:r>
        <w:rPr>
          <w:i/>
          <w:iCs/>
        </w:rPr>
        <w:t xml:space="preserve">legal</w:t>
      </w:r>
      <w:r>
        <w:t xml:space="preserve"> </w:t>
      </w:r>
      <w:r>
        <w:t xml:space="preserve">construction of “commercial purpose” and its across-the-board dismissal—an issue identical as to Rajala. This Court may resolve such purely legal questions notwithstanding forfeiture concerns.</w:t>
      </w:r>
    </w:p>
    <w:p>
      <w:pPr>
        <w:pStyle w:val="CAHeadL3S2"/>
        <w:keepNext/>
      </w:pPr>
      <w:r>
        <w:t xml:space="preserve">C.</w:t>
      </w:r>
      <w:r>
        <w:tab/>
      </w:r>
      <w:r>
        <w:t xml:space="preserve">The</w:t>
      </w:r>
      <w:r>
        <w:t xml:space="preserve"> </w:t>
      </w:r>
      <w:r>
        <w:t xml:space="preserve">§</w:t>
      </w:r>
      <w:r>
        <w:t xml:space="preserve"> </w:t>
      </w:r>
      <w:r>
        <w:t xml:space="preserve">35(b)(1)</w:t>
      </w:r>
      <w:r>
        <w:t xml:space="preserve"> </w:t>
      </w:r>
      <w:r>
        <w:t xml:space="preserve">“article</w:t>
      </w:r>
      <w:r>
        <w:t xml:space="preserve"> </w:t>
      </w:r>
      <w:r>
        <w:t xml:space="preserve">or</w:t>
      </w:r>
      <w:r>
        <w:t xml:space="preserve"> </w:t>
      </w:r>
      <w:r>
        <w:t xml:space="preserve">visual</w:t>
      </w:r>
      <w:r>
        <w:t xml:space="preserve"> </w:t>
      </w:r>
      <w:r>
        <w:t xml:space="preserve">work”</w:t>
      </w:r>
      <w:r>
        <w:t xml:space="preserve"> </w:t>
      </w:r>
      <w:r>
        <w:t xml:space="preserve">safe</w:t>
      </w:r>
      <w:r>
        <w:t xml:space="preserve"> </w:t>
      </w:r>
      <w:r>
        <w:t xml:space="preserve">harbor</w:t>
      </w:r>
      <w:r>
        <w:t xml:space="preserve"> </w:t>
      </w:r>
      <w:r>
        <w:t xml:space="preserve">does</w:t>
      </w:r>
      <w:r>
        <w:t xml:space="preserve"> </w:t>
      </w:r>
      <w:r>
        <w:t xml:space="preserve">not</w:t>
      </w:r>
      <w:r>
        <w:t xml:space="preserve"> </w:t>
      </w:r>
      <w:r>
        <w:t xml:space="preserve">defeat</w:t>
      </w:r>
      <w:r>
        <w:t xml:space="preserve"> </w:t>
      </w:r>
      <w:r>
        <w:t xml:space="preserve">plausibility</w:t>
      </w:r>
      <w:r>
        <w:t xml:space="preserve"> </w:t>
      </w:r>
      <w:r>
        <w:t xml:space="preserve">at</w:t>
      </w:r>
      <w:r>
        <w:t xml:space="preserve"> </w:t>
      </w:r>
      <w:r>
        <w:t xml:space="preserve">Rule</w:t>
      </w:r>
      <w:r>
        <w:t xml:space="preserve"> </w:t>
      </w:r>
      <w:r>
        <w:t xml:space="preserve">12</w:t>
      </w:r>
    </w:p>
    <w:p>
      <w:pPr>
        <w:pStyle w:val="BodyText"/>
      </w:pPr>
      <w:r>
        <w:t xml:space="preserve">Rajala invokes § 35(b)(1), which exempts the use of identity to portray a person in an “article” or “visual work” that is not itself a commercial advertisement. 765 ILCS 1075/35(b)(1).</w:t>
      </w:r>
      <w:r>
        <w:t xml:space="preserve"> </w:t>
      </w:r>
      <w:r>
        <w:rPr>
          <w:i/>
          <w:iCs/>
        </w:rPr>
        <w:t xml:space="preserve">See</w:t>
      </w:r>
      <w:r>
        <w:t xml:space="preserve"> </w:t>
      </w:r>
      <w:r>
        <w:t xml:space="preserve">Rajala Br. 6–7. But the complaint plausibly alleges that the post functioned as part of AWDTSG’s promotional apparatus—“house-organ” content that advanced brand engagement, donations, and subscriptions—placing it outside the noncommercial core of § 35(b)(1). Whether the post was a stand-alone “work” or a component of a monetization engine is a fact question unsuitable for Rule 12 dismissal.</w:t>
      </w:r>
      <w:r>
        <w:t xml:space="preserve"> </w:t>
      </w:r>
      <w:r>
        <w:rPr>
          <w:i/>
          <w:iCs/>
        </w:rPr>
        <w:t xml:space="preserve">Cf.</w:t>
      </w:r>
      <w:r>
        <w:t xml:space="preserve"> </w:t>
      </w:r>
      <w:r>
        <w:rPr>
          <w:i/>
          <w:iCs/>
        </w:rPr>
        <w:t xml:space="preserve">Jordan</w:t>
      </w:r>
      <w:r>
        <w:t xml:space="preserve">, 743 F.3d at 519–20;</w:t>
      </w:r>
      <w:r>
        <w:t xml:space="preserve"> </w:t>
      </w:r>
      <w:r>
        <w:rPr>
          <w:i/>
          <w:iCs/>
        </w:rPr>
        <w:t xml:space="preserve">Love v. Simmons</w:t>
      </w:r>
      <w:r>
        <w:t xml:space="preserve">, 2024 WL 809107, at *7–9 (N.D. Ill. Feb. 27, 2024).</w:t>
      </w:r>
    </w:p>
    <w:p>
      <w:pPr>
        <w:pStyle w:val="CAHeadL2S1"/>
        <w:keepNext/>
      </w:pPr>
      <w:r>
        <w:t xml:space="preserve">II.</w:t>
      </w:r>
      <w:r>
        <w:tab/>
      </w:r>
      <w:r>
        <w:t xml:space="preserve">Illinois</w:t>
      </w:r>
      <w:r>
        <w:t xml:space="preserve"> </w:t>
      </w:r>
      <w:r>
        <w:t xml:space="preserve">Anti-Doxing</w:t>
      </w:r>
      <w:r>
        <w:t xml:space="preserve"> </w:t>
      </w:r>
      <w:r>
        <w:t xml:space="preserve">Act:</w:t>
      </w:r>
      <w:r>
        <w:t xml:space="preserve"> </w:t>
      </w:r>
      <w:r>
        <w:t xml:space="preserve">Name/face</w:t>
      </w:r>
      <w:r>
        <w:t xml:space="preserve"> </w:t>
      </w:r>
      <w:r>
        <w:t xml:space="preserve">in</w:t>
      </w:r>
      <w:r>
        <w:t xml:space="preserve"> </w:t>
      </w:r>
      <w:r>
        <w:t xml:space="preserve">context</w:t>
      </w:r>
      <w:r>
        <w:t xml:space="preserve"> </w:t>
      </w:r>
      <w:r>
        <w:t xml:space="preserve">is</w:t>
      </w:r>
      <w:r>
        <w:t xml:space="preserve"> </w:t>
      </w:r>
      <w:r>
        <w:t xml:space="preserve">PII;</w:t>
      </w:r>
      <w:r>
        <w:t xml:space="preserve"> </w:t>
      </w:r>
      <w:r>
        <w:t xml:space="preserve">intent</w:t>
      </w:r>
      <w:r>
        <w:t xml:space="preserve"> </w:t>
      </w:r>
      <w:r>
        <w:t xml:space="preserve">and</w:t>
      </w:r>
      <w:r>
        <w:t xml:space="preserve"> </w:t>
      </w:r>
      <w:r>
        <w:t xml:space="preserve">likely</w:t>
      </w:r>
      <w:r>
        <w:t xml:space="preserve"> </w:t>
      </w:r>
      <w:r>
        <w:t xml:space="preserve">harm</w:t>
      </w:r>
      <w:r>
        <w:t xml:space="preserve"> </w:t>
      </w:r>
      <w:r>
        <w:t xml:space="preserve">are</w:t>
      </w:r>
      <w:r>
        <w:t xml:space="preserve"> </w:t>
      </w:r>
      <w:r>
        <w:t xml:space="preserve">plausibly</w:t>
      </w:r>
      <w:r>
        <w:t xml:space="preserve"> </w:t>
      </w:r>
      <w:r>
        <w:t xml:space="preserve">alleged</w:t>
      </w:r>
    </w:p>
    <w:p>
      <w:pPr>
        <w:pStyle w:val="BodyText"/>
      </w:pPr>
      <w:r>
        <w:t xml:space="preserve">This case also presents an important opportunity for the Court to clarify the reach of Illinois’s newly enacted Civil Liability for Doxing Act. No reported appellate decision has yet construed the statute. A remand for factual development would advance the public interest in delineating statutory limits while ensuring victims of coordinated online harassment receive the protections the legislature intended.</w:t>
      </w:r>
    </w:p>
    <w:p>
      <w:pPr>
        <w:pStyle w:val="BodyText"/>
      </w:pPr>
      <w:r>
        <w:t xml:space="preserve">Spill-the-Tea and Rajala attempt to narrow “personally identifiable information” (PII) to a full name plus confidential fields (e.g., SSN or address).</w:t>
      </w:r>
      <w:r>
        <w:t xml:space="preserve"> </w:t>
      </w:r>
      <w:r>
        <w:rPr>
          <w:i/>
          <w:iCs/>
        </w:rPr>
        <w:t xml:space="preserve">See</w:t>
      </w:r>
      <w:r>
        <w:t xml:space="preserve"> </w:t>
      </w:r>
      <w:r>
        <w:t xml:space="preserve">Spill-the-Tea Br. I.B; Rajala Br. § 4.1. That reading conflicts with the statute’s text, which covers information that can “distinguish or trace” identity together with “other information that is linked or linkable,” expressly including online accounts and similar context-dependent identifiers. 740 ILCS 195/5, 195/10. In a 100,000-member, Chicago-focused group, a clear facial photo and the name “Nikko,” posted in a “call-out” thread that invites crowd investigation into employment and history, make the person readily identifiable and facilitate further linking, which is precisely how doxing works in practice. The Opening Brief details those allegations and the group’s culture.</w:t>
      </w:r>
    </w:p>
    <w:p>
      <w:pPr>
        <w:pStyle w:val="BodyText"/>
      </w:pPr>
      <w:r>
        <w:t xml:space="preserve">Appellees also argue we failed to allege intent or likely harm.</w:t>
      </w:r>
      <w:r>
        <w:t xml:space="preserve"> </w:t>
      </w:r>
      <w:r>
        <w:rPr>
          <w:i/>
          <w:iCs/>
        </w:rPr>
        <w:t xml:space="preserve">See</w:t>
      </w:r>
      <w:r>
        <w:t xml:space="preserve"> </w:t>
      </w:r>
      <w:r>
        <w:t xml:space="preserve">Rajala Br. §§ 4.2–4.3 (leaning on criminal stalking cases). But the civil statute asks whether PII was published with intent to harass and with knowledge or reckless disregard that the target would be reasonably likely to suffer enumerated harms (including stalking and harassment). 740 ILCS 195/10, 195/15. The complaint alleges a group practice of exposing targets for collective sanction; the immediate juxtaposition with a sex-offender article; and foreseeable consequences from virality in a local forum—easily meeting plausibility.</w:t>
      </w:r>
    </w:p>
    <w:p>
      <w:pPr>
        <w:pStyle w:val="CAHeadL2S1"/>
        <w:keepNext/>
      </w:pPr>
      <w:r>
        <w:t xml:space="preserve">III.</w:t>
      </w:r>
      <w:r>
        <w:tab/>
      </w:r>
      <w:r>
        <w:t xml:space="preserve">Defamation</w:t>
      </w:r>
      <w:r>
        <w:t xml:space="preserve"> </w:t>
      </w:r>
      <w:r>
        <w:t xml:space="preserve">and</w:t>
      </w:r>
      <w:r>
        <w:t xml:space="preserve"> </w:t>
      </w:r>
      <w:r>
        <w:t xml:space="preserve">False</w:t>
      </w:r>
      <w:r>
        <w:t xml:space="preserve"> </w:t>
      </w:r>
      <w:r>
        <w:t xml:space="preserve">Light:</w:t>
      </w:r>
      <w:r>
        <w:t xml:space="preserve"> </w:t>
      </w:r>
      <w:r>
        <w:t xml:space="preserve">The</w:t>
      </w:r>
      <w:r>
        <w:t xml:space="preserve"> </w:t>
      </w:r>
      <w:r>
        <w:t xml:space="preserve">thread’s</w:t>
      </w:r>
      <w:r>
        <w:t xml:space="preserve"> </w:t>
      </w:r>
      <w:r>
        <w:t xml:space="preserve">juxtaposition</w:t>
      </w:r>
      <w:r>
        <w:t xml:space="preserve"> </w:t>
      </w:r>
      <w:r>
        <w:t xml:space="preserve">states</w:t>
      </w:r>
      <w:r>
        <w:t xml:space="preserve"> </w:t>
      </w:r>
      <w:r>
        <w:t xml:space="preserve">a</w:t>
      </w:r>
      <w:r>
        <w:t xml:space="preserve"> </w:t>
      </w:r>
      <w:r>
        <w:t xml:space="preserve">claim;</w:t>
      </w:r>
      <w:r>
        <w:t xml:space="preserve"> </w:t>
      </w:r>
      <w:r>
        <w:t xml:space="preserve">liability</w:t>
      </w:r>
      <w:r>
        <w:t xml:space="preserve"> </w:t>
      </w:r>
      <w:r>
        <w:t xml:space="preserve">is</w:t>
      </w:r>
      <w:r>
        <w:t xml:space="preserve"> </w:t>
      </w:r>
      <w:r>
        <w:t xml:space="preserve">not</w:t>
      </w:r>
      <w:r>
        <w:t xml:space="preserve"> </w:t>
      </w:r>
      <w:r>
        <w:t xml:space="preserve">confined</w:t>
      </w:r>
      <w:r>
        <w:t xml:space="preserve"> </w:t>
      </w:r>
      <w:r>
        <w:t xml:space="preserve">to</w:t>
      </w:r>
      <w:r>
        <w:t xml:space="preserve"> </w:t>
      </w:r>
      <w:r>
        <w:t xml:space="preserve">the</w:t>
      </w:r>
      <w:r>
        <w:t xml:space="preserve"> </w:t>
      </w:r>
      <w:r>
        <w:t xml:space="preserve">literal</w:t>
      </w:r>
      <w:r>
        <w:t xml:space="preserve"> </w:t>
      </w:r>
      <w:r>
        <w:t xml:space="preserve">poster;</w:t>
      </w:r>
      <w:r>
        <w:t xml:space="preserve"> </w:t>
      </w:r>
      <w:r>
        <w:t xml:space="preserve">per</w:t>
      </w:r>
      <w:r>
        <w:t xml:space="preserve"> </w:t>
      </w:r>
      <w:r>
        <w:t xml:space="preserve">quod</w:t>
      </w:r>
      <w:r>
        <w:t xml:space="preserve"> </w:t>
      </w:r>
      <w:r>
        <w:t xml:space="preserve">damages</w:t>
      </w:r>
      <w:r>
        <w:t xml:space="preserve"> </w:t>
      </w:r>
      <w:r>
        <w:t xml:space="preserve">are</w:t>
      </w:r>
      <w:r>
        <w:t xml:space="preserve"> </w:t>
      </w:r>
      <w:r>
        <w:t xml:space="preserve">adequately</w:t>
      </w:r>
      <w:r>
        <w:t xml:space="preserve"> </w:t>
      </w:r>
      <w:r>
        <w:t xml:space="preserve">pled</w:t>
      </w:r>
      <w:r>
        <w:t xml:space="preserve"> </w:t>
      </w:r>
      <w:r>
        <w:t xml:space="preserve">in</w:t>
      </w:r>
      <w:r>
        <w:t xml:space="preserve"> </w:t>
      </w:r>
      <w:r>
        <w:t xml:space="preserve">the</w:t>
      </w:r>
      <w:r>
        <w:t xml:space="preserve"> </w:t>
      </w:r>
      <w:r>
        <w:t xml:space="preserve">alternative</w:t>
      </w:r>
    </w:p>
    <w:p>
      <w:pPr>
        <w:pStyle w:val="CAHeadL3S2"/>
        <w:keepNext/>
      </w:pPr>
      <w:r>
        <w:t xml:space="preserve">A.</w:t>
      </w:r>
      <w:r>
        <w:tab/>
      </w:r>
      <w:r>
        <w:t xml:space="preserve">Context</w:t>
      </w:r>
      <w:r>
        <w:t xml:space="preserve"> </w:t>
      </w:r>
      <w:r>
        <w:t xml:space="preserve">and</w:t>
      </w:r>
      <w:r>
        <w:t xml:space="preserve"> </w:t>
      </w:r>
      <w:r>
        <w:t xml:space="preserve">juxtaposition</w:t>
      </w:r>
      <w:r>
        <w:t xml:space="preserve"> </w:t>
      </w:r>
      <w:r>
        <w:t xml:space="preserve">defeat</w:t>
      </w:r>
      <w:r>
        <w:t xml:space="preserve"> </w:t>
      </w:r>
      <w:r>
        <w:t xml:space="preserve">“innocent</w:t>
      </w:r>
      <w:r>
        <w:t xml:space="preserve"> </w:t>
      </w:r>
      <w:r>
        <w:t xml:space="preserve">construction”</w:t>
      </w:r>
      <w:r>
        <w:t xml:space="preserve"> </w:t>
      </w:r>
      <w:r>
        <w:t xml:space="preserve">at</w:t>
      </w:r>
      <w:r>
        <w:t xml:space="preserve"> </w:t>
      </w:r>
      <w:r>
        <w:t xml:space="preserve">the</w:t>
      </w:r>
      <w:r>
        <w:t xml:space="preserve"> </w:t>
      </w:r>
      <w:r>
        <w:t xml:space="preserve">pleading</w:t>
      </w:r>
      <w:r>
        <w:t xml:space="preserve"> </w:t>
      </w:r>
      <w:r>
        <w:t xml:space="preserve">stage.</w:t>
      </w:r>
    </w:p>
    <w:p>
      <w:pPr>
        <w:pStyle w:val="BodyText"/>
      </w:pPr>
      <w:r>
        <w:t xml:space="preserve">Meta insists that because the mugshot/article is about someone else, the only reasonable reading is non-defamatory.</w:t>
      </w:r>
      <w:r>
        <w:t xml:space="preserve"> </w:t>
      </w:r>
      <w:r>
        <w:rPr>
          <w:i/>
          <w:iCs/>
        </w:rPr>
        <w:t xml:space="preserve">Meta Br.</w:t>
      </w:r>
      <w:r>
        <w:t xml:space="preserve"> </w:t>
      </w:r>
      <w:r>
        <w:t xml:space="preserve">I.B.1–2. Illinois law looks to the whole publication and how an ordinary reader would understand it.</w:t>
      </w:r>
      <w:r>
        <w:t xml:space="preserve"> </w:t>
      </w:r>
      <w:r>
        <w:rPr>
          <w:i/>
          <w:iCs/>
        </w:rPr>
        <w:t xml:space="preserve">Bryson v. News Am. Publ’ns, Inc.</w:t>
      </w:r>
      <w:r>
        <w:t xml:space="preserve">, 672 N.E.2d 1207, 1220–21 (Ill. 1996). A reasonable AWDTSG reader, encountering Plaintiff’s name/photo and accusations followed immediately by a sex-offender mugshot and article in the same thread, could understand the juxtaposition to accuse Plaintiff of criminal sexual conduct, defamation per se.</w:t>
      </w:r>
      <w:r>
        <w:t xml:space="preserve"> </w:t>
      </w:r>
      <w:r>
        <w:rPr>
          <w:i/>
          <w:iCs/>
        </w:rPr>
        <w:t xml:space="preserve">See</w:t>
      </w:r>
      <w:r>
        <w:t xml:space="preserve"> </w:t>
      </w:r>
      <w:r>
        <w:rPr>
          <w:i/>
          <w:iCs/>
        </w:rPr>
        <w:t xml:space="preserve">Lott v. Levitt</w:t>
      </w:r>
      <w:r>
        <w:t xml:space="preserve">, 556 F.3d 564, 568–70 (7th Cir. 2009) (defamation by implication);</w:t>
      </w:r>
      <w:r>
        <w:t xml:space="preserve"> </w:t>
      </w:r>
      <w:r>
        <w:rPr>
          <w:i/>
          <w:iCs/>
        </w:rPr>
        <w:t xml:space="preserve">Muzikowski v. Paramount Pictures Corp.</w:t>
      </w:r>
      <w:r>
        <w:t xml:space="preserve">, 322 F.3d 918, 924–26 (7th Cir. 2003). That plausible reading defeats dismissal.</w:t>
      </w:r>
    </w:p>
    <w:p>
      <w:pPr>
        <w:pStyle w:val="CAHeadL3S2"/>
        <w:keepNext/>
      </w:pPr>
      <w:r>
        <w:t xml:space="preserve">B.</w:t>
      </w:r>
      <w:r>
        <w:tab/>
      </w:r>
      <w:r>
        <w:t xml:space="preserve">Liability</w:t>
      </w:r>
      <w:r>
        <w:t xml:space="preserve"> </w:t>
      </w:r>
      <w:r>
        <w:t xml:space="preserve">extends</w:t>
      </w:r>
      <w:r>
        <w:t xml:space="preserve"> </w:t>
      </w:r>
      <w:r>
        <w:t xml:space="preserve">beyond</w:t>
      </w:r>
      <w:r>
        <w:t xml:space="preserve"> </w:t>
      </w:r>
      <w:r>
        <w:t xml:space="preserve">the</w:t>
      </w:r>
      <w:r>
        <w:t xml:space="preserve"> </w:t>
      </w:r>
      <w:r>
        <w:t xml:space="preserve">literal</w:t>
      </w:r>
      <w:r>
        <w:t xml:space="preserve"> </w:t>
      </w:r>
      <w:r>
        <w:t xml:space="preserve">mugshot-poster</w:t>
      </w:r>
      <w:r>
        <w:t xml:space="preserve"> </w:t>
      </w:r>
      <w:r>
        <w:t xml:space="preserve">where</w:t>
      </w:r>
      <w:r>
        <w:t xml:space="preserve"> </w:t>
      </w:r>
      <w:r>
        <w:t xml:space="preserve">others</w:t>
      </w:r>
      <w:r>
        <w:t xml:space="preserve"> </w:t>
      </w:r>
      <w:r>
        <w:t xml:space="preserve">framed,</w:t>
      </w:r>
      <w:r>
        <w:t xml:space="preserve"> </w:t>
      </w:r>
      <w:r>
        <w:t xml:space="preserve">curated,</w:t>
      </w:r>
      <w:r>
        <w:t xml:space="preserve"> </w:t>
      </w:r>
      <w:r>
        <w:t xml:space="preserve">and</w:t>
      </w:r>
      <w:r>
        <w:t xml:space="preserve"> </w:t>
      </w:r>
      <w:r>
        <w:t xml:space="preserve">amplified</w:t>
      </w:r>
      <w:r>
        <w:t xml:space="preserve"> </w:t>
      </w:r>
      <w:r>
        <w:t xml:space="preserve">the</w:t>
      </w:r>
      <w:r>
        <w:t xml:space="preserve"> </w:t>
      </w:r>
      <w:r>
        <w:t xml:space="preserve">implication</w:t>
      </w:r>
    </w:p>
    <w:p>
      <w:pPr>
        <w:pStyle w:val="BodyText"/>
      </w:pPr>
      <w:r>
        <w:t xml:space="preserve">Rajala says she cannot be liable because she did not post the mugshot.</w:t>
      </w:r>
      <w:r>
        <w:t xml:space="preserve"> </w:t>
      </w:r>
      <w:r>
        <w:rPr>
          <w:i/>
          <w:iCs/>
        </w:rPr>
        <w:t xml:space="preserve">Rajala Br.</w:t>
      </w:r>
      <w:r>
        <w:t xml:space="preserve"> </w:t>
      </w:r>
      <w:r>
        <w:t xml:space="preserve">§ 2.1. But the complaint alleges she set the frame and that AWDTSG administrators curated and amplified the thread with knowledge of the implication—supporting false-light and conspiracy theories.</w:t>
      </w:r>
      <w:r>
        <w:t xml:space="preserve"> </w:t>
      </w:r>
      <w:r>
        <w:rPr>
          <w:i/>
          <w:iCs/>
        </w:rPr>
        <w:t xml:space="preserve">See</w:t>
      </w:r>
      <w:r>
        <w:t xml:space="preserve"> </w:t>
      </w:r>
      <w:r>
        <w:rPr>
          <w:i/>
          <w:iCs/>
        </w:rPr>
        <w:t xml:space="preserve">Law Offices of David Freydin, P.C. v. Chamara</w:t>
      </w:r>
      <w:r>
        <w:t xml:space="preserve">, 24 F.4th 1122, 1128–31 (7th Cir. 2022) (context matters in distinguishing fact from opinion and in implication);</w:t>
      </w:r>
      <w:r>
        <w:t xml:space="preserve"> </w:t>
      </w:r>
      <w:r>
        <w:rPr>
          <w:i/>
          <w:iCs/>
        </w:rPr>
        <w:t xml:space="preserve">Kolegas v. Heftel Broad. Corp.</w:t>
      </w:r>
      <w:r>
        <w:t xml:space="preserve">, 607 N.E.2d 201, 207–08 (Ill. 1992) (false light overlaps defamation when a false, highly offensive impression is conveyed).</w:t>
      </w:r>
    </w:p>
    <w:p>
      <w:pPr>
        <w:pStyle w:val="CAHeadL3S2"/>
        <w:keepNext/>
      </w:pPr>
      <w:r>
        <w:t xml:space="preserve">C.</w:t>
      </w:r>
      <w:r>
        <w:tab/>
      </w:r>
      <w:r>
        <w:t xml:space="preserve">Alternatively,</w:t>
      </w:r>
      <w:r>
        <w:t xml:space="preserve"> </w:t>
      </w:r>
      <w:r>
        <w:t xml:space="preserve">per</w:t>
      </w:r>
      <w:r>
        <w:t xml:space="preserve"> </w:t>
      </w:r>
      <w:r>
        <w:t xml:space="preserve">quod</w:t>
      </w:r>
      <w:r>
        <w:t xml:space="preserve"> </w:t>
      </w:r>
      <w:r>
        <w:t xml:space="preserve">damages</w:t>
      </w:r>
      <w:r>
        <w:t xml:space="preserve"> </w:t>
      </w:r>
      <w:r>
        <w:t xml:space="preserve">are</w:t>
      </w:r>
      <w:r>
        <w:t xml:space="preserve"> </w:t>
      </w:r>
      <w:r>
        <w:t xml:space="preserve">sufficiently</w:t>
      </w:r>
      <w:r>
        <w:t xml:space="preserve"> </w:t>
      </w:r>
      <w:r>
        <w:t xml:space="preserve">alleged</w:t>
      </w:r>
    </w:p>
    <w:p>
      <w:pPr>
        <w:pStyle w:val="BodyText"/>
      </w:pPr>
      <w:r>
        <w:t xml:space="preserve">Meta asserts a failure to plead special damages.</w:t>
      </w:r>
      <w:r>
        <w:t xml:space="preserve"> </w:t>
      </w:r>
      <w:r>
        <w:rPr>
          <w:i/>
          <w:iCs/>
        </w:rPr>
        <w:t xml:space="preserve">Meta Br.</w:t>
      </w:r>
      <w:r>
        <w:t xml:space="preserve"> </w:t>
      </w:r>
      <w:r>
        <w:t xml:space="preserve">I.B.2. But at Rule 12, a per quod claim survives with plausible allegations of actual harm; precise ledgers are not required.</w:t>
      </w:r>
      <w:r>
        <w:t xml:space="preserve"> </w:t>
      </w:r>
      <w:r>
        <w:rPr>
          <w:i/>
          <w:iCs/>
        </w:rPr>
        <w:t xml:space="preserve">Kamelgard v. Macura</w:t>
      </w:r>
      <w:r>
        <w:t xml:space="preserve">, 585 F.3d 334, 341 (7th Cir. 2009). The complaint alleges reputational injury, emotional distress, and professional harm from the viral, localized thread—more than enough at this stage.</w:t>
      </w:r>
    </w:p>
    <w:p>
      <w:pPr>
        <w:pStyle w:val="CAHeadL2S1"/>
        <w:keepNext/>
      </w:pPr>
      <w:r>
        <w:t xml:space="preserve">IV.</w:t>
      </w:r>
      <w:r>
        <w:tab/>
      </w:r>
      <w:r>
        <w:t xml:space="preserve">Section</w:t>
      </w:r>
      <w:r>
        <w:t xml:space="preserve"> </w:t>
      </w:r>
      <w:r>
        <w:t xml:space="preserve">230:</w:t>
      </w:r>
      <w:r>
        <w:t xml:space="preserve"> </w:t>
      </w:r>
      <w:r>
        <w:t xml:space="preserve">Appellees’</w:t>
      </w:r>
      <w:r>
        <w:t xml:space="preserve"> </w:t>
      </w:r>
      <w:r>
        <w:t xml:space="preserve">conduct-based</w:t>
      </w:r>
      <w:r>
        <w:t xml:space="preserve"> </w:t>
      </w:r>
      <w:r>
        <w:t xml:space="preserve">design</w:t>
      </w:r>
      <w:r>
        <w:t xml:space="preserve"> </w:t>
      </w:r>
      <w:r>
        <w:t xml:space="preserve">and</w:t>
      </w:r>
      <w:r>
        <w:t xml:space="preserve"> </w:t>
      </w:r>
      <w:r>
        <w:t xml:space="preserve">operational</w:t>
      </w:r>
      <w:r>
        <w:t xml:space="preserve"> </w:t>
      </w:r>
      <w:r>
        <w:t xml:space="preserve">choices</w:t>
      </w:r>
      <w:r>
        <w:t xml:space="preserve"> </w:t>
      </w:r>
      <w:r>
        <w:t xml:space="preserve">are</w:t>
      </w:r>
      <w:r>
        <w:t xml:space="preserve"> </w:t>
      </w:r>
      <w:r>
        <w:t xml:space="preserve">not</w:t>
      </w:r>
      <w:r>
        <w:t xml:space="preserve"> </w:t>
      </w:r>
      <w:r>
        <w:t xml:space="preserve">categorically</w:t>
      </w:r>
      <w:r>
        <w:t xml:space="preserve"> </w:t>
      </w:r>
      <w:r>
        <w:t xml:space="preserve">immune;</w:t>
      </w:r>
      <w:r>
        <w:t xml:space="preserve"> </w:t>
      </w:r>
      <w:r>
        <w:t xml:space="preserve">dismissal</w:t>
      </w:r>
      <w:r>
        <w:t xml:space="preserve"> </w:t>
      </w:r>
      <w:r>
        <w:t xml:space="preserve">on</w:t>
      </w:r>
      <w:r>
        <w:t xml:space="preserve"> </w:t>
      </w:r>
      <w:r>
        <w:t xml:space="preserve">§</w:t>
      </w:r>
      <w:r>
        <w:t xml:space="preserve"> </w:t>
      </w:r>
      <w:r>
        <w:t xml:space="preserve">230</w:t>
      </w:r>
      <w:r>
        <w:t xml:space="preserve"> </w:t>
      </w:r>
      <w:r>
        <w:t xml:space="preserve">at</w:t>
      </w:r>
      <w:r>
        <w:t xml:space="preserve"> </w:t>
      </w:r>
      <w:r>
        <w:t xml:space="preserve">Rule</w:t>
      </w:r>
      <w:r>
        <w:t xml:space="preserve"> </w:t>
      </w:r>
      <w:r>
        <w:t xml:space="preserve">12</w:t>
      </w:r>
      <w:r>
        <w:t xml:space="preserve"> </w:t>
      </w:r>
      <w:r>
        <w:t xml:space="preserve">is</w:t>
      </w:r>
      <w:r>
        <w:t xml:space="preserve"> </w:t>
      </w:r>
      <w:r>
        <w:t xml:space="preserve">premature</w:t>
      </w:r>
    </w:p>
    <w:p>
      <w:pPr>
        <w:pStyle w:val="BodyText"/>
      </w:pPr>
      <w:r>
        <w:t xml:space="preserve">Appellees try to recast every claim as treating them “as publishers.”</w:t>
      </w:r>
      <w:r>
        <w:t xml:space="preserve"> </w:t>
      </w:r>
      <w:r>
        <w:rPr>
          <w:i/>
          <w:iCs/>
        </w:rPr>
        <w:t xml:space="preserve">Spill-the-Tea Br.</w:t>
      </w:r>
      <w:r>
        <w:t xml:space="preserve"> </w:t>
      </w:r>
      <w:r>
        <w:t xml:space="preserve">II;</w:t>
      </w:r>
      <w:r>
        <w:t xml:space="preserve"> </w:t>
      </w:r>
      <w:r>
        <w:rPr>
          <w:i/>
          <w:iCs/>
        </w:rPr>
        <w:t xml:space="preserve">Meta Br.</w:t>
      </w:r>
      <w:r>
        <w:t xml:space="preserve"> </w:t>
      </w:r>
      <w:r>
        <w:t xml:space="preserve">II. Not so. Several claims target non-publisher conduct, including: Meta’s design and deployment of features (anonymous posting, ranking, moderator tooling) that foreseeably weaponized call-outs; AWDTSG’s curation and operational integration of such posts with donations/subscriptions; and negligent entrustment of high-amplification tools to known bad actors. Those allegations plausibly plead that Appellees “developed” or materially contributed to the harmful presentation beyond passive hosting.</w:t>
      </w:r>
      <w:r>
        <w:t xml:space="preserve"> </w:t>
      </w:r>
      <w:r>
        <w:rPr>
          <w:i/>
          <w:iCs/>
        </w:rPr>
        <w:t xml:space="preserve">See</w:t>
      </w:r>
      <w:r>
        <w:t xml:space="preserve"> </w:t>
      </w:r>
      <w:r>
        <w:rPr>
          <w:i/>
          <w:iCs/>
        </w:rPr>
        <w:t xml:space="preserve">Roommates.com</w:t>
      </w:r>
      <w:r>
        <w:t xml:space="preserve">, 521 F.3d at 1166–68;</w:t>
      </w:r>
      <w:r>
        <w:t xml:space="preserve"> </w:t>
      </w:r>
      <w:r>
        <w:rPr>
          <w:i/>
          <w:iCs/>
        </w:rPr>
        <w:t xml:space="preserve">LeadClick</w:t>
      </w:r>
      <w:r>
        <w:t xml:space="preserve">, 838 F.3d at 174–76;</w:t>
      </w:r>
      <w:r>
        <w:t xml:space="preserve"> </w:t>
      </w:r>
      <w:r>
        <w:rPr>
          <w:i/>
          <w:iCs/>
        </w:rPr>
        <w:t xml:space="preserve">Accusearch</w:t>
      </w:r>
      <w:r>
        <w:t xml:space="preserve">, 570 F.3d at 1197–1201.</w:t>
      </w:r>
    </w:p>
    <w:p>
      <w:pPr>
        <w:pStyle w:val="BodyText"/>
      </w:pPr>
      <w:r>
        <w:t xml:space="preserve">Meta’s authorities largely address generic ranking/hosting and do not resolve whether bespoke feature design and operational integration with a monetized call-out apparatus can amount to content “development” or material contribution. That is a fact-intensive question not suited to Rule 12.</w:t>
      </w:r>
      <w:r>
        <w:t xml:space="preserve"> </w:t>
      </w:r>
      <w:r>
        <w:rPr>
          <w:i/>
          <w:iCs/>
        </w:rPr>
        <w:t xml:space="preserve">See</w:t>
      </w:r>
      <w:r>
        <w:t xml:space="preserve"> </w:t>
      </w:r>
      <w:r>
        <w:rPr>
          <w:i/>
          <w:iCs/>
        </w:rPr>
        <w:t xml:space="preserve">Huon v. Denton</w:t>
      </w:r>
      <w:r>
        <w:t xml:space="preserve">, 841 F.3d 733, 742–44 (7th Cir. 2016). This Court should not affirm on § 230 grounds where the allegations, taken as true, plausibly place Appellees outside the statute’s core.</w:t>
      </w:r>
    </w:p>
    <w:p>
      <w:pPr>
        <w:pStyle w:val="BodyText"/>
      </w:pPr>
      <w:r>
        <w:t xml:space="preserve">The Seventh Circuit’s reasoning in</w:t>
      </w:r>
      <w:r>
        <w:t xml:space="preserve"> </w:t>
      </w:r>
      <w:r>
        <w:rPr>
          <w:i/>
          <w:iCs/>
        </w:rPr>
        <w:t xml:space="preserve">Huon</w:t>
      </w:r>
      <w:r>
        <w:t xml:space="preserve"> </w:t>
      </w:r>
      <w:r>
        <w:t xml:space="preserve">remains directly applicable: Section 230 does not bar claims when a platform materially contributes to the creation or development of unlawful content. While</w:t>
      </w:r>
      <w:r>
        <w:t xml:space="preserve"> </w:t>
      </w:r>
      <w:r>
        <w:rPr>
          <w:i/>
          <w:iCs/>
        </w:rPr>
        <w:t xml:space="preserve">Moody v. NetChoice</w:t>
      </w:r>
      <w:r>
        <w:t xml:space="preserve"> </w:t>
      </w:r>
      <w:r>
        <w:t xml:space="preserve">reaffirmed deference to editorial discretion, it did not immunize conduct-based design choices that create or amplify tortious harm. These distinctions warrant discovery rather than dismissal.</w:t>
      </w:r>
    </w:p>
    <w:p>
      <w:pPr>
        <w:pStyle w:val="CAHeadL2S1"/>
        <w:keepNext/>
      </w:pPr>
      <w:r>
        <w:t xml:space="preserve">V.</w:t>
      </w:r>
      <w:r>
        <w:tab/>
      </w:r>
      <w:r>
        <w:t xml:space="preserve">First</w:t>
      </w:r>
      <w:r>
        <w:t xml:space="preserve"> </w:t>
      </w:r>
      <w:r>
        <w:t xml:space="preserve">Amendment:</w:t>
      </w:r>
      <w:r>
        <w:t xml:space="preserve"> </w:t>
      </w:r>
      <w:r>
        <w:t xml:space="preserve">These</w:t>
      </w:r>
      <w:r>
        <w:t xml:space="preserve"> </w:t>
      </w:r>
      <w:r>
        <w:t xml:space="preserve">claims</w:t>
      </w:r>
      <w:r>
        <w:t xml:space="preserve"> </w:t>
      </w:r>
      <w:r>
        <w:t xml:space="preserve">regulate</w:t>
      </w:r>
      <w:r>
        <w:t xml:space="preserve"> </w:t>
      </w:r>
      <w:r>
        <w:t xml:space="preserve">tortious</w:t>
      </w:r>
      <w:r>
        <w:t xml:space="preserve"> </w:t>
      </w:r>
      <w:r>
        <w:t xml:space="preserve">conduct</w:t>
      </w:r>
      <w:r>
        <w:t xml:space="preserve"> </w:t>
      </w:r>
      <w:r>
        <w:t xml:space="preserve">and</w:t>
      </w:r>
      <w:r>
        <w:t xml:space="preserve"> </w:t>
      </w:r>
      <w:r>
        <w:t xml:space="preserve">unprotected</w:t>
      </w:r>
      <w:r>
        <w:t xml:space="preserve"> </w:t>
      </w:r>
      <w:r>
        <w:t xml:space="preserve">defamation/doxing,</w:t>
      </w:r>
      <w:r>
        <w:t xml:space="preserve"> </w:t>
      </w:r>
      <w:r>
        <w:t xml:space="preserve">not</w:t>
      </w:r>
      <w:r>
        <w:t xml:space="preserve"> </w:t>
      </w:r>
      <w:r>
        <w:t xml:space="preserve">viewpoints.</w:t>
      </w:r>
    </w:p>
    <w:p>
      <w:pPr>
        <w:pStyle w:val="BodyText"/>
      </w:pPr>
      <w:r>
        <w:t xml:space="preserve">Appellees’ First Amendment arguments (echoing their § 230 positions) fail because the claims regulate conduct (product design, negligent entrustment, operational integration) and unprotected categories (defamation/doxing).</w:t>
      </w:r>
      <w:r>
        <w:t xml:space="preserve"> </w:t>
      </w:r>
      <w:r>
        <w:rPr>
          <w:i/>
          <w:iCs/>
        </w:rPr>
        <w:t xml:space="preserve">See</w:t>
      </w:r>
      <w:r>
        <w:t xml:space="preserve"> </w:t>
      </w:r>
      <w:r>
        <w:rPr>
          <w:i/>
          <w:iCs/>
        </w:rPr>
        <w:t xml:space="preserve">Bryson</w:t>
      </w:r>
      <w:r>
        <w:t xml:space="preserve">, 672 N.E.2d at 1215–16;</w:t>
      </w:r>
      <w:r>
        <w:t xml:space="preserve"> </w:t>
      </w:r>
      <w:r>
        <w:rPr>
          <w:i/>
          <w:iCs/>
        </w:rPr>
        <w:t xml:space="preserve">Sorrell v. IMS Health Inc.</w:t>
      </w:r>
      <w:r>
        <w:t xml:space="preserve">, 564 U.S. 552, 567 (2011). The Supreme Court’s discussion in</w:t>
      </w:r>
      <w:r>
        <w:t xml:space="preserve"> </w:t>
      </w:r>
      <w:r>
        <w:rPr>
          <w:i/>
          <w:iCs/>
        </w:rPr>
        <w:t xml:space="preserve">Moody v. NetChoice, LLC</w:t>
      </w:r>
      <w:r>
        <w:t xml:space="preserve">, 603 U.S. 707 (2024), about platform editorial discretion in the context of state speech-regulation statutes, does not insulate platforms from ordinary tort duties aimed at unsafe product design.</w:t>
      </w:r>
    </w:p>
    <w:p>
      <w:pPr>
        <w:pStyle w:val="BodyText"/>
      </w:pPr>
      <w:r>
        <w:t xml:space="preserve">Appellant’s theories target the design and deployment of algorithms, not the suppression of speech or viewpoints. The claims fit comfortably within the line recognized by courts distinguishing regulation of communicative</w:t>
      </w:r>
      <w:r>
        <w:t xml:space="preserve"> </w:t>
      </w:r>
      <w:r>
        <w:rPr>
          <w:i/>
          <w:iCs/>
        </w:rPr>
        <w:t xml:space="preserve">content</w:t>
      </w:r>
      <w:r>
        <w:t xml:space="preserve"> </w:t>
      </w:r>
      <w:r>
        <w:t xml:space="preserve">from regulation of</w:t>
      </w:r>
      <w:r>
        <w:t xml:space="preserve"> </w:t>
      </w:r>
      <w:r>
        <w:rPr>
          <w:i/>
          <w:iCs/>
        </w:rPr>
        <w:t xml:space="preserve">conduct</w:t>
      </w:r>
      <w:r>
        <w:t xml:space="preserve"> </w:t>
      </w:r>
      <w:r>
        <w:t xml:space="preserve">that incidentally involves speech</w:t>
      </w:r>
    </w:p>
    <w:p>
      <w:pPr>
        <w:pStyle w:val="CAHeadL2S1"/>
        <w:keepNext/>
      </w:pPr>
      <w:r>
        <w:t xml:space="preserve">VI.</w:t>
      </w:r>
      <w:r>
        <w:tab/>
      </w:r>
      <w:r>
        <w:t xml:space="preserve">Negligence,</w:t>
      </w:r>
      <w:r>
        <w:t xml:space="preserve"> </w:t>
      </w:r>
      <w:r>
        <w:t xml:space="preserve">Product</w:t>
      </w:r>
      <w:r>
        <w:t xml:space="preserve"> </w:t>
      </w:r>
      <w:r>
        <w:t xml:space="preserve">Liability,</w:t>
      </w:r>
      <w:r>
        <w:t xml:space="preserve"> </w:t>
      </w:r>
      <w:r>
        <w:t xml:space="preserve">and</w:t>
      </w:r>
      <w:r>
        <w:t xml:space="preserve"> </w:t>
      </w:r>
      <w:r>
        <w:t xml:space="preserve">Negligent</w:t>
      </w:r>
      <w:r>
        <w:t xml:space="preserve"> </w:t>
      </w:r>
      <w:r>
        <w:t xml:space="preserve">Entrustment</w:t>
      </w:r>
      <w:r>
        <w:t xml:space="preserve"> </w:t>
      </w:r>
      <w:r>
        <w:t xml:space="preserve">(Meta):</w:t>
      </w:r>
      <w:r>
        <w:t xml:space="preserve"> </w:t>
      </w:r>
      <w:r>
        <w:t xml:space="preserve">The</w:t>
      </w:r>
      <w:r>
        <w:t xml:space="preserve"> </w:t>
      </w:r>
      <w:r>
        <w:t xml:space="preserve">claims</w:t>
      </w:r>
      <w:r>
        <w:t xml:space="preserve"> </w:t>
      </w:r>
      <w:r>
        <w:t xml:space="preserve">target</w:t>
      </w:r>
      <w:r>
        <w:t xml:space="preserve"> </w:t>
      </w:r>
      <w:r>
        <w:t xml:space="preserve">Meta’s</w:t>
      </w:r>
      <w:r>
        <w:t xml:space="preserve"> </w:t>
      </w:r>
      <w:r>
        <w:t xml:space="preserve">own</w:t>
      </w:r>
      <w:r>
        <w:t xml:space="preserve"> </w:t>
      </w:r>
      <w:r>
        <w:t xml:space="preserve">product</w:t>
      </w:r>
      <w:r>
        <w:t xml:space="preserve"> </w:t>
      </w:r>
      <w:r>
        <w:t xml:space="preserve">design/entrustment</w:t>
      </w:r>
      <w:r>
        <w:t xml:space="preserve"> </w:t>
      </w:r>
      <w:r>
        <w:t xml:space="preserve">and</w:t>
      </w:r>
      <w:r>
        <w:t xml:space="preserve"> </w:t>
      </w:r>
      <w:r>
        <w:t xml:space="preserve">should</w:t>
      </w:r>
      <w:r>
        <w:t xml:space="preserve"> </w:t>
      </w:r>
      <w:r>
        <w:t xml:space="preserve">proceed</w:t>
      </w:r>
    </w:p>
    <w:p>
      <w:pPr>
        <w:pStyle w:val="BodyText"/>
      </w:pPr>
      <w:r>
        <w:t xml:space="preserve">Meta labels everything “editorial,” but the complaint pleads non-publication duties: negligent design (outrage-seeking virality), failure to warn/mitigate known misuse, and entrustment of powerful amplification tools after notice. Those theories target Meta’s product choices, not the abstract existence of third-party speech. Courts allow such claims to proceed beyond Rule 12.</w:t>
      </w:r>
      <w:r>
        <w:t xml:space="preserve"> </w:t>
      </w:r>
      <w:r>
        <w:rPr>
          <w:i/>
          <w:iCs/>
        </w:rPr>
        <w:t xml:space="preserve">See</w:t>
      </w:r>
      <w:r>
        <w:t xml:space="preserve"> </w:t>
      </w:r>
      <w:r>
        <w:rPr>
          <w:i/>
          <w:iCs/>
        </w:rPr>
        <w:t xml:space="preserve">Lemmon v. Snap, Inc.</w:t>
      </w:r>
      <w:r>
        <w:t xml:space="preserve">, 995 F.3d 1085, 1092–93 (9th Cir. 2021) (design-defect claim not barred simply because speech is involved). The Third Circuit has likewise allowed failure-to-warn/negligent design claims centered on a recommendation algorithm.</w:t>
      </w:r>
      <w:r>
        <w:t xml:space="preserve"> </w:t>
      </w:r>
      <w:r>
        <w:rPr>
          <w:i/>
          <w:iCs/>
        </w:rPr>
        <w:t xml:space="preserve">See</w:t>
      </w:r>
      <w:r>
        <w:t xml:space="preserve"> </w:t>
      </w:r>
      <w:r>
        <w:rPr>
          <w:i/>
          <w:iCs/>
        </w:rPr>
        <w:t xml:space="preserve">Anderson v. TikTok, Inc.</w:t>
      </w:r>
      <w:r>
        <w:t xml:space="preserve">, 116 F.4th 180, 187–90 (3d Cir. 2024). The district court erred in dismissing with prejudice rather than allowing targeted amendment if needed.</w:t>
      </w:r>
    </w:p>
    <w:p>
      <w:pPr>
        <w:pStyle w:val="CAHeadL2S1"/>
        <w:keepNext/>
      </w:pPr>
      <w:r>
        <w:t xml:space="preserve">VII.</w:t>
      </w:r>
      <w:r>
        <w:tab/>
      </w:r>
      <w:r>
        <w:t xml:space="preserve">Unjust</w:t>
      </w:r>
      <w:r>
        <w:t xml:space="preserve"> </w:t>
      </w:r>
      <w:r>
        <w:t xml:space="preserve">Enrichment:</w:t>
      </w:r>
      <w:r>
        <w:t xml:space="preserve"> </w:t>
      </w:r>
      <w:r>
        <w:t xml:space="preserve">Revives</w:t>
      </w:r>
      <w:r>
        <w:t xml:space="preserve"> </w:t>
      </w:r>
      <w:r>
        <w:t xml:space="preserve">with</w:t>
      </w:r>
      <w:r>
        <w:t xml:space="preserve"> </w:t>
      </w:r>
      <w:r>
        <w:t xml:space="preserve">the</w:t>
      </w:r>
      <w:r>
        <w:t xml:space="preserve"> </w:t>
      </w:r>
      <w:r>
        <w:t xml:space="preserve">predicate</w:t>
      </w:r>
      <w:r>
        <w:t xml:space="preserve"> </w:t>
      </w:r>
      <w:r>
        <w:t xml:space="preserve">torts.</w:t>
      </w:r>
    </w:p>
    <w:p>
      <w:pPr>
        <w:pStyle w:val="BodyText"/>
      </w:pPr>
      <w:r>
        <w:t xml:space="preserve">Meta argues unjust enrichment fails because the tort claims fail.</w:t>
      </w:r>
      <w:r>
        <w:t xml:space="preserve"> </w:t>
      </w:r>
      <w:r>
        <w:rPr>
          <w:i/>
          <w:iCs/>
        </w:rPr>
        <w:t xml:space="preserve">Meta Br.</w:t>
      </w:r>
      <w:r>
        <w:t xml:space="preserve"> </w:t>
      </w:r>
      <w:r>
        <w:t xml:space="preserve">I.G. If IRPA, defamation/false light, or doxing are reinstated—as they should be—unjust enrichment revives as derivative relief.</w:t>
      </w:r>
    </w:p>
    <w:p>
      <w:pPr>
        <w:pStyle w:val="CAHeadL2S1"/>
        <w:keepNext/>
      </w:pPr>
      <w:r>
        <w:t xml:space="preserve">VIII.</w:t>
      </w:r>
      <w:r>
        <w:tab/>
      </w:r>
      <w:r>
        <w:t xml:space="preserve">Dismissal</w:t>
      </w:r>
      <w:r>
        <w:t xml:space="preserve"> </w:t>
      </w:r>
      <w:r>
        <w:t xml:space="preserve">With</w:t>
      </w:r>
      <w:r>
        <w:t xml:space="preserve"> </w:t>
      </w:r>
      <w:r>
        <w:t xml:space="preserve">Prejudice</w:t>
      </w:r>
      <w:r>
        <w:t xml:space="preserve"> </w:t>
      </w:r>
      <w:r>
        <w:t xml:space="preserve">Was</w:t>
      </w:r>
      <w:r>
        <w:t xml:space="preserve"> </w:t>
      </w:r>
      <w:r>
        <w:t xml:space="preserve">Improper.</w:t>
      </w:r>
    </w:p>
    <w:p>
      <w:pPr>
        <w:pStyle w:val="BodyText"/>
      </w:pPr>
      <w:r>
        <w:t xml:space="preserve">Appellees defend with-prejudice dismissal.</w:t>
      </w:r>
      <w:r>
        <w:t xml:space="preserve"> </w:t>
      </w:r>
      <w:r>
        <w:rPr>
          <w:i/>
          <w:iCs/>
        </w:rPr>
        <w:t xml:space="preserve">Spill-the-Tea Br.</w:t>
      </w:r>
      <w:r>
        <w:t xml:space="preserve"> </w:t>
      </w:r>
      <w:r>
        <w:t xml:space="preserve">IV;</w:t>
      </w:r>
      <w:r>
        <w:t xml:space="preserve"> </w:t>
      </w:r>
      <w:r>
        <w:rPr>
          <w:i/>
          <w:iCs/>
        </w:rPr>
        <w:t xml:space="preserve">Meta Br.</w:t>
      </w:r>
      <w:r>
        <w:t xml:space="preserve"> </w:t>
      </w:r>
      <w:r>
        <w:t xml:space="preserve">IV. But any perceived pleading gaps (e.g., additional monetization detail, feature-design specifics, or notice facts) are readily curable. The Seventh Circuit strongly favors leave to amend after a first dismissal unless futility is clear.</w:t>
      </w:r>
      <w:r>
        <w:t xml:space="preserve"> </w:t>
      </w:r>
      <w:r>
        <w:rPr>
          <w:i/>
          <w:iCs/>
        </w:rPr>
        <w:t xml:space="preserve">Runnion ex rel. Runnion v. Girl Scouts of Greater Chi.</w:t>
      </w:r>
      <w:r>
        <w:t xml:space="preserve">, 786 F.3d 510, 519–20 (7th Cir. 2015).</w:t>
      </w:r>
    </w:p>
    <w:p>
      <w:pPr>
        <w:pStyle w:val="CASection"/>
        <w:keepNext/>
      </w:pPr>
      <w:r>
        <w:t xml:space="preserve">Conclusion</w:t>
      </w:r>
    </w:p>
    <w:p>
      <w:pPr>
        <w:pStyle w:val="CABodyLast"/>
      </w:pPr>
      <w:r>
        <w:t xml:space="preserve">This Court should reverse the Rule 12 dismissal of the IRPA, doxing, defamation (per se/per quod), false-light, negligence, negligent-entrustment, and unjust-enrichment claims, reject Appellees’ § 230 and First Amendment defenses at the pleading stage as fact-bound and premature, and remand for discovery; or, at a minimum, remand with instructions to grant leave to amend.</w:t>
      </w:r>
    </w:p>
    <w:p>
      <w:pPr>
        <w:pStyle w:val="CASigHead"/>
        <w:keepNext/>
      </w:pPr>
      <w:r>
        <w:t xml:space="preserve">Respectfully submitted,</w:t>
      </w:r>
    </w:p>
    <w:p>
      <w:pPr>
        <w:pStyle w:val="CASignature"/>
        <w:keepNext/>
      </w:pPr>
      <w:r>
        <w:t xml:space="preserve">/s/ Aaron Walner</w:t>
      </w:r>
      <w:r>
        <w:br/>
      </w:r>
      <w:r>
        <w:t xml:space="preserve">AARON WALNER</w:t>
      </w:r>
      <w:r>
        <w:br/>
      </w:r>
      <w:r>
        <w:rPr>
          <w:i/>
        </w:rPr>
        <w:t xml:space="preserve">Counsel</w:t>
      </w:r>
      <w:r>
        <w:rPr>
          <w:i/>
        </w:rPr>
        <w:t xml:space="preserve"> </w:t>
      </w:r>
      <w:r>
        <w:rPr>
          <w:i/>
        </w:rPr>
        <w:t xml:space="preserve">for</w:t>
      </w:r>
      <w:r>
        <w:rPr>
          <w:i/>
        </w:rPr>
        <w:t xml:space="preserve"> </w:t>
      </w:r>
      <w:r>
        <w:rPr>
          <w:i/>
        </w:rPr>
        <w:t xml:space="preserve">Plaintiff–Appellant</w:t>
      </w:r>
    </w:p>
    <w:p>
      <w:pPr>
        <w:pStyle w:val="CASignature"/>
      </w:pPr>
      <w:r>
        <w:t xml:space="preserve">Dated: </w:t>
      </w:r>
      <w:r>
        <w:t xml:space="preserve">November</w:t>
      </w:r>
      <w:r>
        <w:t xml:space="preserve"> </w:t>
      </w:r>
      <w:r>
        <w:t xml:space="preserve">6,</w:t>
      </w:r>
      <w:r>
        <w:t xml:space="preserve"> </w:t>
      </w:r>
      <w:r>
        <w:t xml:space="preserve">2025</w:t>
      </w:r>
    </w:p>
    <w:p>
      <w:pPr>
        <w:pStyle w:val="CASection"/>
        <w:pageBreakBefore/>
      </w:pPr>
      <w:r>
        <w:t xml:space="preserve">Certificate of Compliance</w:t>
      </w:r>
    </w:p>
    <w:p>
      <w:pPr>
        <w:pStyle w:val="CACertificate"/>
      </w:pPr>
      <w:r>
        <w:t xml:space="preserve">I certify that this brief complies with the type-volume limit of Fed. R. App. P. 32(a)(7)(B), as modified by Cir. R. 32(c). Excluding the parts of the brief exempted by Fed. R. App. P. 32(f), this brief contains 2,155 words.</w:t>
      </w:r>
    </w:p>
    <w:p>
      <w:pPr>
        <w:pStyle w:val="CACertificate"/>
      </w:pPr>
      <w:r>
        <w:t xml:space="preserve">I further certify that this brief complies with the typeface requirements of Fed. R. App. P. 32(a)(5) and the type-style requirements of Fed. R. App. P. 32(a)(6), as modified by Cir. R. 32(b). This brief has been prepared in a proportionally spaced typeface using Microsoft Word in 12-point Times New Roman for the body text and 11-point Times New Roman for the footnotes.</w:t>
      </w:r>
    </w:p>
    <w:p>
      <w:pPr>
        <w:pStyle w:val="CAGap"/>
      </w:pPr>
    </w:p>
    <w:tbl>
      <w:tblPr>
        <w:tblW w:w="9360" w:type="dxa"/>
        <w:tblBorders>
          <w:top w:val="nil"/>
          <w:left w:val="nil"/>
          <w:bottom w:val="nil"/>
          <w:right w:val="nil"/>
          <w:insideH w:val="nil"/>
          <w:insideV w:val="nil"/>
        </w:tblBorders>
        <w:tblLayout w:type="fixed"/>
        <w:tblCellMar>
          <w:left w:w="0" w:type="dxa"/>
          <w:right w:w="115" w:type="dxa"/>
        </w:tblCellMar>
      </w:tblPr>
      <w:tblGrid>
        <w:gridCol w:w="4680"/>
        <w:gridCol w:w="4680"/>
      </w:tblGrid>
      <w:tr>
        <w:trPr>
          <w:cantSplit/>
        </w:trPr>
        <w:tc>
          <w:tcPr>
            <w:tcW w:w="4680" w:type="dxa"/>
          </w:tcPr>
          <w:p>
            <w:pPr>
              <w:pStyle w:val="CACounsel"/>
            </w:pPr>
            <w:r>
              <w:t xml:space="preserve">/s/ Aaron Walner</w:t>
            </w:r>
            <w:r>
              <w:br/>
            </w:r>
            <w:r>
              <w:t xml:space="preserve">Signature</w:t>
            </w:r>
          </w:p>
        </w:tc>
        <w:tc>
          <w:tcPr>
            <w:tcW w:w="4680" w:type="dxa"/>
          </w:tcPr>
          <w:p>
            <w:pPr>
              <w:pStyle w:val="CACounsel"/>
            </w:pPr>
            <w:r>
              <w:t xml:space="preserve">November</w:t>
            </w:r>
            <w:r>
              <w:t xml:space="preserve"> </w:t>
            </w:r>
            <w:r>
              <w:t xml:space="preserve">6,</w:t>
            </w:r>
            <w:r>
              <w:t xml:space="preserve"> </w:t>
            </w:r>
            <w:r>
              <w:t xml:space="preserve">2025</w:t>
            </w:r>
            <w:r>
              <w:br/>
            </w:r>
            <w:r>
              <w:t xml:space="preserve">Date</w:t>
            </w:r>
          </w:p>
        </w:tc>
      </w:tr>
    </w:tbl>
    <w:p>
      <w:pPr>
        <w:pStyle w:val="CASection"/>
        <w:pageBreakBefore/>
      </w:pPr>
      <w:r>
        <w:t xml:space="preserve">Certificate of Service</w:t>
      </w:r>
    </w:p>
    <w:p>
      <w:pPr>
        <w:pStyle w:val="CACertificate"/>
      </w:pPr>
      <w:r>
        <w:t xml:space="preserve">I hereby certify that on </w:t>
      </w:r>
      <w:r>
        <w:t xml:space="preserve">November</w:t>
      </w:r>
      <w:r>
        <w:t xml:space="preserve"> </w:t>
      </w:r>
      <w:r>
        <w:t xml:space="preserve">6,</w:t>
      </w:r>
      <w:r>
        <w:t xml:space="preserve"> </w:t>
      </w:r>
      <w:r>
        <w:t xml:space="preserve">2025</w:t>
      </w:r>
      <w:r>
        <w:t xml:space="preserve">, I electronically filed the foregoing with the Clerk of the Court for the United States Court of Appeals for the Seventh Circuit by using the CM/ECF system, which will send notice of such filing to all registered CM/ECF users.</w:t>
      </w:r>
    </w:p>
    <w:p>
      <w:pPr>
        <w:pStyle w:val="CAGap"/>
      </w:pPr>
    </w:p>
    <w:tbl>
      <w:tblPr>
        <w:tblW w:w="9360" w:type="dxa"/>
        <w:tblBorders>
          <w:top w:val="nil"/>
          <w:left w:val="nil"/>
          <w:bottom w:val="nil"/>
          <w:right w:val="nil"/>
          <w:insideH w:val="nil"/>
          <w:insideV w:val="nil"/>
        </w:tblBorders>
        <w:tblLayout w:type="fixed"/>
        <w:tblCellMar>
          <w:left w:w="0" w:type="dxa"/>
          <w:right w:w="115" w:type="dxa"/>
        </w:tblCellMar>
      </w:tblPr>
      <w:tblGrid>
        <w:gridCol w:w="4680"/>
        <w:gridCol w:w="4680"/>
      </w:tblGrid>
      <w:tr>
        <w:trPr>
          <w:cantSplit/>
        </w:trPr>
        <w:tc>
          <w:tcPr>
            <w:tcW w:w="4680" w:type="dxa"/>
          </w:tcPr>
          <w:p>
            <w:pPr>
              <w:pStyle w:val="CACounsel"/>
            </w:pPr>
            <w:r>
              <w:t xml:space="preserve">/s/ Aaron Walner</w:t>
            </w:r>
            <w:r>
              <w:br/>
            </w:r>
            <w:r>
              <w:t xml:space="preserve">Signature</w:t>
            </w:r>
          </w:p>
        </w:tc>
        <w:tc>
          <w:tcPr>
            <w:tcW w:w="4680" w:type="dxa"/>
          </w:tcPr>
          <w:p>
            <w:pPr>
              <w:pStyle w:val="CACounsel"/>
            </w:pPr>
            <w:r>
              <w:t xml:space="preserve">November</w:t>
            </w:r>
            <w:r>
              <w:t xml:space="preserve"> </w:t>
            </w:r>
            <w:r>
              <w:t xml:space="preserve">6,</w:t>
            </w:r>
            <w:r>
              <w:t xml:space="preserve"> </w:t>
            </w:r>
            <w:r>
              <w:t xml:space="preserve">2025</w:t>
            </w:r>
            <w:r>
              <w:br/>
            </w:r>
            <w:r>
              <w:t xml:space="preserve">Date</w:t>
            </w:r>
          </w:p>
        </w:tc>
      </w:tr>
    </w:tbl>
    <w:sectPr>
      <w:footerReference w:type="default" r:id="rIdFtrPage"/>
      <w:type w:val="next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en-US" w:bidi="ar-SA"/>
      </w:rPr>
    </w:rPrDefault>
    <w:pPrDefault>
      <w:pPr>
        <w:widowControl/>
        <w:spacing w:after="0" w:line="240" w:lineRule="auto"/>
      </w:pPr>
    </w:pPrDefault>
  </w:docDefaults>
  <w:latentStyles w:defLockedState="0" w:defUIPriority="0" w:defSemiHidden="0" w:defUnhideWhenUsed="0" w:defQFormat="0" w:count="276"/>
  <w:style w:type="paragraph" w:styleId="Normal">
    <w:name w:val="Normal"/>
    <w:qFormat/>
    <w:pPr>
      <w:widowControl/>
      <w:spacing w:before="0" w:after="0" w:line="240" w:lineRule="auto"/>
      <w:ind w:firstLine="0"/>
    </w:pPr>
    <w:rPr/>
  </w:style>
  <w:style w:type="paragraph" w:styleId="BodyText">
    <w:name w:val="Body Text"/>
    <w:basedOn w:val="Normal"/>
    <w:qFormat/>
    <w:pPr>
      <w:widowControl/>
      <w:spacing w:before="0" w:after="0" w:line="553" w:lineRule="exact"/>
      <w:ind w:firstLine="720"/>
      <w:jc w:val="left"/>
    </w:pPr>
    <w:rPr/>
  </w:style>
  <w:style w:type="paragraph" w:styleId="FirstParagraph">
    <w:name w:val="First Paragraph"/>
    <w:basedOn w:val="BodyText"/>
    <w:qFormat/>
    <w:pPr/>
    <w:rPr/>
  </w:style>
  <w:style w:type="paragraph" w:styleId="Compact">
    <w:name w:val="Compact"/>
    <w:basedOn w:val="Normal"/>
    <w:qFormat/>
    <w:pPr>
      <w:spacing w:before="0" w:after="0" w:line="240" w:lineRule="auto"/>
      <w:ind w:firstLine="0"/>
    </w:pPr>
    <w:r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qFormat/>
    <w:pPr>
      <w:keepNext/>
      <w:keepLines/>
      <w:spacing w:before="300" w:after="200" w:line="240" w:lineRule="auto"/>
      <w:ind w:firstLine="0"/>
      <w:jc w:val="center"/>
      <w:outlineLvl w:val="0"/>
    </w:pPr>
    <w:rPr>
      <w:b/>
      <w:caps/>
    </w:rPr>
  </w:style>
  <w:style w:type="paragraph" w:styleId="Heading2">
    <w:name w:val="heading 2"/>
    <w:basedOn w:val="Normal"/>
    <w:qFormat/>
    <w:pPr>
      <w:keepNext/>
      <w:keepLines/>
      <w:spacing w:before="240" w:after="200" w:line="240" w:lineRule="auto"/>
      <w:ind w:firstLine="0"/>
      <w:outlineLvl w:val="1"/>
    </w:pPr>
    <w:rPr>
      <w:b/>
    </w:rPr>
  </w:style>
  <w:style w:type="paragraph" w:styleId="Heading3">
    <w:name w:val="heading 3"/>
    <w:basedOn w:val="Normal"/>
    <w:qFormat/>
    <w:pPr>
      <w:keepNext/>
      <w:keepLines/>
      <w:spacing w:before="240" w:after="200" w:line="240" w:lineRule="auto"/>
      <w:ind w:firstLine="0"/>
      <w:outlineLvl w:val="2"/>
    </w:pPr>
    <w:rPr>
      <w:b/>
    </w:rPr>
  </w:style>
  <w:style w:type="paragraph" w:styleId="Heading4">
    <w:name w:val="heading 4"/>
    <w:basedOn w:val="Normal"/>
    <w:qFormat/>
    <w:pPr>
      <w:keepNext/>
      <w:keepLines/>
      <w:spacing w:before="240" w:after="200" w:line="240" w:lineRule="auto"/>
      <w:ind w:firstLine="0"/>
      <w:outlineLvl w:val="3"/>
    </w:pPr>
    <w:rPr>
      <w:b/>
    </w:rPr>
  </w:style>
  <w:style w:type="paragraph" w:styleId="Heading5">
    <w:name w:val="heading 5"/>
    <w:basedOn w:val="Normal"/>
    <w:qFormat/>
    <w:pPr>
      <w:keepNext/>
      <w:keepLines/>
      <w:spacing w:before="240" w:after="200" w:line="240" w:lineRule="auto"/>
      <w:ind w:firstLine="0"/>
      <w:outlineLvl w:val="4"/>
    </w:pPr>
    <w:rPr>
      <w:b/>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Normal"/>
    <w:qFormat/>
    <w:pPr>
      <w:spacing w:before="240" w:after="240" w:line="240" w:lineRule="auto"/>
      <w:ind w:left="720" w:right="720" w:firstLine="0"/>
    </w:pPr>
    <w:rPr/>
  </w:style>
  <w:style w:type="paragraph" w:styleId="FootnoteText">
    <w:name w:val="footnote text"/>
    <w:basedOn w:val="Normal"/>
    <w:qFormat/>
    <w:pPr>
      <w:spacing w:before="0" w:after="120" w:line="240" w:lineRule="auto"/>
      <w:ind w:firstLine="0"/>
    </w:pPr>
    <w:rPr>
      <w:sz w:val="22"/>
      <w:szCs w:val="22"/>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CABodyLast">
    <w:name w:val="CA Body Last"/>
    <w:basedOn w:val="BodyText"/>
    <w:qFormat/>
    <w:pPr>
      <w:keepNext/>
    </w:pPr>
    <w:rPr/>
  </w:style>
  <w:style w:type="paragraph" w:customStyle="1" w:styleId="CASection">
    <w:name w:val="CA Section"/>
    <w:basedOn w:val="Normal"/>
    <w:qFormat/>
    <w:pPr>
      <w:keepNext/>
      <w:keepLines/>
      <w:spacing w:before="300" w:after="200" w:line="240" w:lineRule="auto"/>
      <w:ind w:firstLine="0"/>
      <w:jc w:val="center"/>
      <w:outlineLvl w:val="0"/>
    </w:pPr>
    <w:rPr>
      <w:b/>
      <w:caps/>
    </w:rPr>
  </w:style>
  <w:style w:type="paragraph" w:customStyle="1" w:styleId="CAPoint">
    <w:name w:val="CA Point"/>
    <w:basedOn w:val="Normal"/>
    <w:qFormat/>
    <w:pPr>
      <w:keepNext/>
      <w:keepLines/>
      <w:spacing w:before="240" w:after="200" w:line="240" w:lineRule="auto"/>
      <w:ind w:firstLine="0"/>
      <w:jc w:val="center"/>
      <w:outlineLvl w:val="1"/>
    </w:pPr>
    <w:rPr>
      <w:b/>
      <w:smallCaps/>
    </w:rPr>
  </w:style>
  <w:style w:type="paragraph" w:customStyle="1" w:styleId="CAHeadL2S0">
    <w:name w:val="CA Heading L2 S0"/>
    <w:basedOn w:val="Normal"/>
    <w:qFormat/>
    <w:pPr>
      <w:keepNext/>
      <w:keepLines/>
      <w:tabs>
        <w:tab w:val="left" w:pos="720"/>
      </w:tabs>
      <w:spacing w:before="240" w:after="200" w:line="240" w:lineRule="auto"/>
      <w:ind w:left="720" w:hanging="720"/>
      <w:jc w:val="left"/>
      <w:outlineLvl w:val="1"/>
    </w:pPr>
    <w:rPr>
      <w:b/>
    </w:rPr>
  </w:style>
  <w:style w:type="paragraph" w:customStyle="1" w:styleId="CAHeadL2S1">
    <w:name w:val="CA Heading L2 S1"/>
    <w:basedOn w:val="Normal"/>
    <w:qFormat/>
    <w:pPr>
      <w:keepNext/>
      <w:keepLines/>
      <w:tabs>
        <w:tab w:val="left" w:pos="1440"/>
      </w:tabs>
      <w:spacing w:before="240" w:after="200" w:line="240" w:lineRule="auto"/>
      <w:ind w:left="1440" w:hanging="720"/>
      <w:jc w:val="left"/>
      <w:outlineLvl w:val="1"/>
    </w:pPr>
    <w:rPr>
      <w:b/>
    </w:rPr>
  </w:style>
  <w:style w:type="paragraph" w:customStyle="1" w:styleId="CAHeadL2S2">
    <w:name w:val="CA Heading L2 S2"/>
    <w:basedOn w:val="Normal"/>
    <w:qFormat/>
    <w:pPr>
      <w:keepNext/>
      <w:keepLines/>
      <w:tabs>
        <w:tab w:val="left" w:pos="2160"/>
      </w:tabs>
      <w:spacing w:before="240" w:after="200" w:line="240" w:lineRule="auto"/>
      <w:ind w:left="2160" w:hanging="720"/>
      <w:jc w:val="left"/>
      <w:outlineLvl w:val="1"/>
    </w:pPr>
    <w:rPr>
      <w:b/>
    </w:rPr>
  </w:style>
  <w:style w:type="paragraph" w:customStyle="1" w:styleId="CAHeadL2S3">
    <w:name w:val="CA Heading L2 S3"/>
    <w:basedOn w:val="Normal"/>
    <w:qFormat/>
    <w:pPr>
      <w:keepNext/>
      <w:keepLines/>
      <w:tabs>
        <w:tab w:val="left" w:pos="2880"/>
      </w:tabs>
      <w:spacing w:before="240" w:after="200" w:line="240" w:lineRule="auto"/>
      <w:ind w:left="2880" w:hanging="720"/>
      <w:jc w:val="left"/>
      <w:outlineLvl w:val="1"/>
    </w:pPr>
    <w:rPr>
      <w:b/>
    </w:rPr>
  </w:style>
  <w:style w:type="paragraph" w:customStyle="1" w:styleId="CAHeadL2S4">
    <w:name w:val="CA Heading L2 S4"/>
    <w:basedOn w:val="Normal"/>
    <w:qFormat/>
    <w:pPr>
      <w:keepNext/>
      <w:keepLines/>
      <w:tabs>
        <w:tab w:val="left" w:pos="3600"/>
      </w:tabs>
      <w:spacing w:before="240" w:after="200" w:line="240" w:lineRule="auto"/>
      <w:ind w:left="3600" w:hanging="720"/>
      <w:jc w:val="left"/>
      <w:outlineLvl w:val="1"/>
    </w:pPr>
    <w:rPr>
      <w:b/>
    </w:rPr>
  </w:style>
  <w:style w:type="paragraph" w:customStyle="1" w:styleId="CAHeadL3S0">
    <w:name w:val="CA Heading L3 S0"/>
    <w:basedOn w:val="Normal"/>
    <w:qFormat/>
    <w:pPr>
      <w:keepNext/>
      <w:keepLines/>
      <w:tabs>
        <w:tab w:val="left" w:pos="720"/>
      </w:tabs>
      <w:spacing w:before="240" w:after="200" w:line="240" w:lineRule="auto"/>
      <w:ind w:left="720" w:hanging="720"/>
      <w:jc w:val="left"/>
      <w:outlineLvl w:val="2"/>
    </w:pPr>
    <w:rPr>
      <w:b/>
    </w:rPr>
  </w:style>
  <w:style w:type="paragraph" w:customStyle="1" w:styleId="CAHeadL3S1">
    <w:name w:val="CA Heading L3 S1"/>
    <w:basedOn w:val="Normal"/>
    <w:qFormat/>
    <w:pPr>
      <w:keepNext/>
      <w:keepLines/>
      <w:tabs>
        <w:tab w:val="left" w:pos="1440"/>
      </w:tabs>
      <w:spacing w:before="240" w:after="200" w:line="240" w:lineRule="auto"/>
      <w:ind w:left="1440" w:hanging="720"/>
      <w:jc w:val="left"/>
      <w:outlineLvl w:val="2"/>
    </w:pPr>
    <w:rPr>
      <w:b/>
    </w:rPr>
  </w:style>
  <w:style w:type="paragraph" w:customStyle="1" w:styleId="CAHeadL3S2">
    <w:name w:val="CA Heading L3 S2"/>
    <w:basedOn w:val="Normal"/>
    <w:qFormat/>
    <w:pPr>
      <w:keepNext/>
      <w:keepLines/>
      <w:tabs>
        <w:tab w:val="left" w:pos="2160"/>
      </w:tabs>
      <w:spacing w:before="240" w:after="200" w:line="240" w:lineRule="auto"/>
      <w:ind w:left="2160" w:hanging="720"/>
      <w:jc w:val="left"/>
      <w:outlineLvl w:val="2"/>
    </w:pPr>
    <w:rPr>
      <w:b/>
    </w:rPr>
  </w:style>
  <w:style w:type="paragraph" w:customStyle="1" w:styleId="CAHeadL3S3">
    <w:name w:val="CA Heading L3 S3"/>
    <w:basedOn w:val="Normal"/>
    <w:qFormat/>
    <w:pPr>
      <w:keepNext/>
      <w:keepLines/>
      <w:tabs>
        <w:tab w:val="left" w:pos="2880"/>
      </w:tabs>
      <w:spacing w:before="240" w:after="200" w:line="240" w:lineRule="auto"/>
      <w:ind w:left="2880" w:hanging="720"/>
      <w:jc w:val="left"/>
      <w:outlineLvl w:val="2"/>
    </w:pPr>
    <w:rPr>
      <w:b/>
    </w:rPr>
  </w:style>
  <w:style w:type="paragraph" w:customStyle="1" w:styleId="CAHeadL3S4">
    <w:name w:val="CA Heading L3 S4"/>
    <w:basedOn w:val="Normal"/>
    <w:qFormat/>
    <w:pPr>
      <w:keepNext/>
      <w:keepLines/>
      <w:tabs>
        <w:tab w:val="left" w:pos="3600"/>
      </w:tabs>
      <w:spacing w:before="240" w:after="200" w:line="240" w:lineRule="auto"/>
      <w:ind w:left="3600" w:hanging="720"/>
      <w:jc w:val="left"/>
      <w:outlineLvl w:val="2"/>
    </w:pPr>
    <w:rPr>
      <w:b/>
    </w:rPr>
  </w:style>
  <w:style w:type="paragraph" w:customStyle="1" w:styleId="CAHeadL4S0">
    <w:name w:val="CA Heading L4 S0"/>
    <w:basedOn w:val="Normal"/>
    <w:qFormat/>
    <w:pPr>
      <w:keepNext/>
      <w:keepLines/>
      <w:tabs>
        <w:tab w:val="left" w:pos="720"/>
      </w:tabs>
      <w:spacing w:before="240" w:after="200" w:line="240" w:lineRule="auto"/>
      <w:ind w:left="720" w:hanging="720"/>
      <w:jc w:val="left"/>
      <w:outlineLvl w:val="3"/>
    </w:pPr>
    <w:rPr>
      <w:b/>
      <w:i/>
    </w:rPr>
  </w:style>
  <w:style w:type="paragraph" w:customStyle="1" w:styleId="CAHeadL4S1">
    <w:name w:val="CA Heading L4 S1"/>
    <w:basedOn w:val="Normal"/>
    <w:qFormat/>
    <w:pPr>
      <w:keepNext/>
      <w:keepLines/>
      <w:tabs>
        <w:tab w:val="left" w:pos="1440"/>
      </w:tabs>
      <w:spacing w:before="240" w:after="200" w:line="240" w:lineRule="auto"/>
      <w:ind w:left="1440" w:hanging="720"/>
      <w:jc w:val="left"/>
      <w:outlineLvl w:val="3"/>
    </w:pPr>
    <w:rPr>
      <w:b/>
      <w:i/>
    </w:rPr>
  </w:style>
  <w:style w:type="paragraph" w:customStyle="1" w:styleId="CAHeadL4S2">
    <w:name w:val="CA Heading L4 S2"/>
    <w:basedOn w:val="Normal"/>
    <w:qFormat/>
    <w:pPr>
      <w:keepNext/>
      <w:keepLines/>
      <w:tabs>
        <w:tab w:val="left" w:pos="2160"/>
      </w:tabs>
      <w:spacing w:before="240" w:after="200" w:line="240" w:lineRule="auto"/>
      <w:ind w:left="2160" w:hanging="720"/>
      <w:jc w:val="left"/>
      <w:outlineLvl w:val="3"/>
    </w:pPr>
    <w:rPr>
      <w:b/>
      <w:i/>
    </w:rPr>
  </w:style>
  <w:style w:type="paragraph" w:customStyle="1" w:styleId="CAHeadL4S3">
    <w:name w:val="CA Heading L4 S3"/>
    <w:basedOn w:val="Normal"/>
    <w:qFormat/>
    <w:pPr>
      <w:keepNext/>
      <w:keepLines/>
      <w:tabs>
        <w:tab w:val="left" w:pos="2880"/>
      </w:tabs>
      <w:spacing w:before="240" w:after="200" w:line="240" w:lineRule="auto"/>
      <w:ind w:left="2880" w:hanging="720"/>
      <w:jc w:val="left"/>
      <w:outlineLvl w:val="3"/>
    </w:pPr>
    <w:rPr>
      <w:b/>
      <w:i/>
    </w:rPr>
  </w:style>
  <w:style w:type="paragraph" w:customStyle="1" w:styleId="CAHeadL4S4">
    <w:name w:val="CA Heading L4 S4"/>
    <w:basedOn w:val="Normal"/>
    <w:qFormat/>
    <w:pPr>
      <w:keepNext/>
      <w:keepLines/>
      <w:tabs>
        <w:tab w:val="left" w:pos="3600"/>
      </w:tabs>
      <w:spacing w:before="240" w:after="200" w:line="240" w:lineRule="auto"/>
      <w:ind w:left="3600" w:hanging="720"/>
      <w:jc w:val="left"/>
      <w:outlineLvl w:val="3"/>
    </w:pPr>
    <w:rPr>
      <w:b/>
      <w:i/>
    </w:rPr>
  </w:style>
  <w:style w:type="paragraph" w:customStyle="1" w:styleId="CAHeadL5S0">
    <w:name w:val="CA Heading L5 S0"/>
    <w:basedOn w:val="Normal"/>
    <w:qFormat/>
    <w:pPr>
      <w:keepNext/>
      <w:keepLines/>
      <w:tabs>
        <w:tab w:val="left" w:pos="720"/>
      </w:tabs>
      <w:spacing w:before="240" w:after="200" w:line="240" w:lineRule="auto"/>
      <w:ind w:left="720" w:hanging="720"/>
      <w:jc w:val="left"/>
      <w:outlineLvl w:val="4"/>
    </w:pPr>
    <w:rPr>
      <w:b/>
      <w:i/>
    </w:rPr>
  </w:style>
  <w:style w:type="paragraph" w:customStyle="1" w:styleId="CAHeadL5S1">
    <w:name w:val="CA Heading L5 S1"/>
    <w:basedOn w:val="Normal"/>
    <w:qFormat/>
    <w:pPr>
      <w:keepNext/>
      <w:keepLines/>
      <w:tabs>
        <w:tab w:val="left" w:pos="1440"/>
      </w:tabs>
      <w:spacing w:before="240" w:after="200" w:line="240" w:lineRule="auto"/>
      <w:ind w:left="1440" w:hanging="720"/>
      <w:jc w:val="left"/>
      <w:outlineLvl w:val="4"/>
    </w:pPr>
    <w:rPr>
      <w:b/>
      <w:i/>
    </w:rPr>
  </w:style>
  <w:style w:type="paragraph" w:customStyle="1" w:styleId="CAHeadL5S2">
    <w:name w:val="CA Heading L5 S2"/>
    <w:basedOn w:val="Normal"/>
    <w:qFormat/>
    <w:pPr>
      <w:keepNext/>
      <w:keepLines/>
      <w:tabs>
        <w:tab w:val="left" w:pos="2160"/>
      </w:tabs>
      <w:spacing w:before="240" w:after="200" w:line="240" w:lineRule="auto"/>
      <w:ind w:left="2160" w:hanging="720"/>
      <w:jc w:val="left"/>
      <w:outlineLvl w:val="4"/>
    </w:pPr>
    <w:rPr>
      <w:b/>
      <w:i/>
    </w:rPr>
  </w:style>
  <w:style w:type="paragraph" w:customStyle="1" w:styleId="CAHeadL5S3">
    <w:name w:val="CA Heading L5 S3"/>
    <w:basedOn w:val="Normal"/>
    <w:qFormat/>
    <w:pPr>
      <w:keepNext/>
      <w:keepLines/>
      <w:tabs>
        <w:tab w:val="left" w:pos="2880"/>
      </w:tabs>
      <w:spacing w:before="240" w:after="200" w:line="240" w:lineRule="auto"/>
      <w:ind w:left="2880" w:hanging="720"/>
      <w:jc w:val="left"/>
      <w:outlineLvl w:val="4"/>
    </w:pPr>
    <w:rPr>
      <w:b/>
      <w:i/>
    </w:rPr>
  </w:style>
  <w:style w:type="paragraph" w:customStyle="1" w:styleId="CAHeadL5S4">
    <w:name w:val="CA Heading L5 S4"/>
    <w:basedOn w:val="Normal"/>
    <w:qFormat/>
    <w:pPr>
      <w:keepNext/>
      <w:keepLines/>
      <w:tabs>
        <w:tab w:val="left" w:pos="3600"/>
      </w:tabs>
      <w:spacing w:before="240" w:after="200" w:line="240" w:lineRule="auto"/>
      <w:ind w:left="3600" w:hanging="720"/>
      <w:jc w:val="left"/>
      <w:outlineLvl w:val="4"/>
    </w:pPr>
    <w:rPr>
      <w:b/>
      <w:i/>
    </w:rPr>
  </w:style>
  <w:style w:type="paragraph" w:customStyle="1" w:styleId="CACentered">
    <w:name w:val="CA Centered"/>
    <w:basedOn w:val="Normal"/>
    <w:qFormat/>
    <w:pPr>
      <w:spacing w:before="0" w:after="0" w:line="240" w:lineRule="auto"/>
      <w:ind w:firstLine="0"/>
      <w:jc w:val="center"/>
    </w:pPr>
    <w:rPr/>
  </w:style>
  <w:style w:type="paragraph" w:customStyle="1" w:styleId="CACoverCourt">
    <w:name w:val="CA Cover Court"/>
    <w:basedOn w:val="CACentered"/>
    <w:qFormat/>
    <w:pPr>
      <w:keepNext/>
      <w:spacing w:before="60" w:after="60" w:line="240" w:lineRule="auto"/>
    </w:pPr>
    <w:rPr>
      <w:b/>
    </w:rPr>
  </w:style>
  <w:style w:type="paragraph" w:customStyle="1" w:styleId="CAGap">
    <w:name w:val="CA Gap"/>
    <w:basedOn w:val="Normal"/>
    <w:qFormat/>
    <w:pPr>
      <w:spacing w:before="0" w:after="80" w:line="240" w:lineRule="auto"/>
    </w:pPr>
    <w:rPr/>
  </w:style>
  <w:style w:type="paragraph" w:customStyle="1" w:styleId="CARule">
    <w:name w:val="CA Rule"/>
    <w:basedOn w:val="Normal"/>
    <w:qFormat/>
    <w:pPr>
      <w:keepNext/>
      <w:pBdr>
        <w:bottom w:val="single" w:sz="6" w:space="1" w:color="000000"/>
      </w:pBdr>
      <w:spacing w:before="0" w:after="100" w:line="240" w:lineRule="auto"/>
      <w:ind w:left="3240" w:right="3240" w:firstLine="0"/>
      <w:jc w:val="center"/>
    </w:pPr>
    <w:rPr/>
  </w:style>
  <w:style w:type="paragraph" w:customStyle="1" w:styleId="CADoubleRule">
    <w:name w:val="CA Double Rule"/>
    <w:basedOn w:val="Normal"/>
    <w:qFormat/>
    <w:pPr>
      <w:keepNext/>
      <w:pBdr>
        <w:top w:val="double" w:sz="6" w:space="1" w:color="000000"/>
      </w:pBdr>
      <w:spacing w:before="0" w:after="240" w:line="240" w:lineRule="auto"/>
      <w:ind w:firstLine="0"/>
    </w:pPr>
    <w:rPr/>
  </w:style>
  <w:style w:type="paragraph" w:customStyle="1" w:styleId="CACaption">
    <w:name w:val="CA Caption"/>
    <w:basedOn w:val="Normal"/>
    <w:qFormat/>
    <w:pPr>
      <w:keepLines/>
      <w:spacing w:before="0" w:after="0" w:line="240" w:lineRule="auto"/>
      <w:ind w:left="4680" w:firstLine="0"/>
      <w:jc w:val="left"/>
    </w:pPr>
    <w:rPr/>
  </w:style>
  <w:style w:type="paragraph" w:customStyle="1" w:styleId="CACounsel">
    <w:name w:val="CA Counsel"/>
    <w:basedOn w:val="Normal"/>
    <w:qFormat/>
    <w:pPr>
      <w:spacing w:before="0" w:after="0" w:line="240" w:lineRule="auto"/>
      <w:ind w:firstLine="0"/>
      <w:jc w:val="left"/>
    </w:pPr>
    <w:rPr/>
  </w:style>
  <w:style w:type="paragraph" w:customStyle="1" w:styleId="CASignature">
    <w:name w:val="CA Signature"/>
    <w:basedOn w:val="Normal"/>
    <w:qFormat/>
    <w:pPr>
      <w:keepNext/>
      <w:keepLines/>
      <w:spacing w:before="0" w:after="0" w:line="240" w:lineRule="auto"/>
      <w:ind w:left="4680" w:firstLine="0"/>
      <w:jc w:val="left"/>
    </w:pPr>
    <w:rPr/>
  </w:style>
  <w:style w:type="paragraph" w:customStyle="1" w:styleId="CASigHead">
    <w:name w:val="CA Signature Head"/>
    <w:basedOn w:val="CASignature"/>
    <w:qFormat/>
    <w:pPr>
      <w:spacing w:before="360" w:after="0" w:line="240" w:lineRule="auto"/>
    </w:pPr>
    <w:rPr/>
  </w:style>
  <w:style w:type="paragraph" w:customStyle="1" w:styleId="CACertificate">
    <w:name w:val="CA Certificate"/>
    <w:basedOn w:val="Normal"/>
    <w:qFormat/>
    <w:pPr>
      <w:spacing w:before="0" w:after="240" w:line="240" w:lineRule="auto"/>
      <w:ind w:firstLine="0"/>
      <w:jc w:val="left"/>
    </w:pPr>
    <w:rPr/>
  </w:style>
  <w:style w:type="paragraph" w:customStyle="1" w:styleId="CATocTop">
    <w:name w:val="CA TOC 1"/>
    <w:basedOn w:val="Normal"/>
    <w:qFormat/>
    <w:pPr>
      <w:keepNext/>
      <w:tabs>
        <w:tab w:val="right" w:leader="dot" w:pos="9360"/>
      </w:tabs>
      <w:spacing w:before="240" w:after="0" w:line="240" w:lineRule="auto"/>
      <w:ind w:firstLine="0"/>
    </w:pPr>
    <w:rPr/>
  </w:style>
  <w:style w:type="paragraph" w:customStyle="1" w:styleId="CATocS0">
    <w:name w:val="CA TOC Entry S0"/>
    <w:basedOn w:val="Normal"/>
    <w:qFormat/>
    <w:pPr>
      <w:keepLines/>
      <w:tabs>
        <w:tab w:val="left" w:leader="none" w:pos="720"/>
        <w:tab w:val="right" w:leader="dot" w:pos="9360"/>
      </w:tabs>
      <w:spacing w:before="120" w:after="0" w:line="240" w:lineRule="auto"/>
      <w:ind w:left="720" w:hanging="720"/>
    </w:pPr>
    <w:rPr/>
  </w:style>
  <w:style w:type="paragraph" w:customStyle="1" w:styleId="CATocS1">
    <w:name w:val="CA TOC Entry S1"/>
    <w:basedOn w:val="Normal"/>
    <w:qFormat/>
    <w:pPr>
      <w:keepLines/>
      <w:tabs>
        <w:tab w:val="left" w:leader="none" w:pos="1440"/>
        <w:tab w:val="right" w:leader="dot" w:pos="9360"/>
      </w:tabs>
      <w:spacing w:before="120" w:after="0" w:line="240" w:lineRule="auto"/>
      <w:ind w:left="1440" w:hanging="720"/>
    </w:pPr>
    <w:rPr/>
  </w:style>
  <w:style w:type="paragraph" w:customStyle="1" w:styleId="CATocS2">
    <w:name w:val="CA TOC Entry S2"/>
    <w:basedOn w:val="Normal"/>
    <w:qFormat/>
    <w:pPr>
      <w:keepLines/>
      <w:tabs>
        <w:tab w:val="left" w:leader="none" w:pos="2160"/>
        <w:tab w:val="right" w:leader="dot" w:pos="9360"/>
      </w:tabs>
      <w:spacing w:before="120" w:after="0" w:line="240" w:lineRule="auto"/>
      <w:ind w:left="2160" w:hanging="720"/>
    </w:pPr>
    <w:rPr/>
  </w:style>
  <w:style w:type="paragraph" w:customStyle="1" w:styleId="CATocS3">
    <w:name w:val="CA TOC Entry S3"/>
    <w:basedOn w:val="Normal"/>
    <w:qFormat/>
    <w:pPr>
      <w:keepLines/>
      <w:tabs>
        <w:tab w:val="left" w:leader="none" w:pos="2880"/>
        <w:tab w:val="right" w:leader="dot" w:pos="9360"/>
      </w:tabs>
      <w:spacing w:before="120" w:after="0" w:line="240" w:lineRule="auto"/>
      <w:ind w:left="2880" w:hanging="720"/>
    </w:pPr>
    <w:rPr/>
  </w:style>
  <w:style w:type="paragraph" w:customStyle="1" w:styleId="CATocS4">
    <w:name w:val="CA TOC Entry S4"/>
    <w:basedOn w:val="Normal"/>
    <w:qFormat/>
    <w:pPr>
      <w:keepLines/>
      <w:tabs>
        <w:tab w:val="left" w:leader="none" w:pos="3600"/>
        <w:tab w:val="right" w:leader="dot" w:pos="9360"/>
      </w:tabs>
      <w:spacing w:before="120" w:after="0" w:line="240" w:lineRule="auto"/>
      <w:ind w:left="3600" w:hanging="720"/>
    </w:pPr>
    <w:rPr/>
  </w:style>
  <w:style w:type="paragraph" w:customStyle="1" w:styleId="CAToaGroup">
    <w:name w:val="CA TOA Group"/>
    <w:basedOn w:val="Normal"/>
    <w:qFormat/>
    <w:pPr>
      <w:keepNext/>
      <w:tabs>
        <w:tab w:val="right" w:pos="9360"/>
      </w:tabs>
      <w:spacing w:before="160" w:after="60" w:line="240" w:lineRule="auto"/>
      <w:ind w:firstLine="0"/>
    </w:pPr>
    <w:rPr>
      <w:b/>
    </w:rPr>
  </w:style>
  <w:style w:type="paragraph" w:customStyle="1" w:styleId="CAToaEntry">
    <w:name w:val="CA TOA Entry"/>
    <w:basedOn w:val="Normal"/>
    <w:qFormat/>
    <w:pPr>
      <w:keepLines/>
      <w:tabs>
        <w:tab w:val="right" w:leader="dot" w:pos="9360"/>
      </w:tabs>
      <w:spacing w:before="60" w:after="0" w:line="240" w:lineRule="auto"/>
      <w:ind w:left="504" w:right="720" w:hanging="504"/>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