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40" w:lineRule="exact"/>
        <w:jc w:val="center"/>
      </w:pPr>
      <w:r>
        <w:rPr>
          <w:b/>
          <w:bCs/>
        </w:rPr>
        <w:t xml:space="preserve">No. </w:t>
      </w:r>
      <w:r>
        <w:rPr>
          <w:b/>
          <w:bCs/>
        </w:rPr>
        <w:t xml:space="preserve">23</w:t>
        <w:noBreakHyphen/>
        <w:t xml:space="preserve">55431</w:t>
      </w:r>
    </w:p>
    <w:p>
      <w:pPr>
        <w:pBdr>
          <w:bottom w:val="thickThinSmallGap" w:sz="12" w:space="1" w:color="000000"/>
        </w:pBdr>
        <w:spacing w:before="111" w:after="0" w:line="120" w:lineRule="exact"/>
        <w:ind w:left="0" w:right="0"/>
      </w:pPr>
    </w:p>
    <w:p>
      <w:pPr>
        <w:spacing w:before="185" w:after="0" w:line="340" w:lineRule="exact"/>
        <w:jc w:val="center"/>
      </w:pPr>
      <w:r>
        <w:rPr>
          <w:b/>
          <w:bCs/>
        </w:rPr>
        <w:t xml:space="preserve">IN THE UNITED STATES COURT OF APPEALS</w:t>
      </w:r>
      <w:r>
        <w:br/>
      </w:r>
      <w:r>
        <w:rPr>
          <w:b/>
          <w:bCs/>
        </w:rPr>
        <w:t xml:space="preserve">FOR THE NINTH CIRCUIT</w:t>
      </w:r>
    </w:p>
    <w:p>
      <w:pPr>
        <w:pBdr>
          <w:bottom w:val="single" w:sz="6" w:space="1" w:color="000000"/>
        </w:pBdr>
        <w:spacing w:before="185" w:after="0" w:line="120" w:lineRule="exact"/>
        <w:ind w:left="3240" w:right="3240"/>
      </w:pPr>
    </w:p>
    <w:p>
      <w:pPr>
        <w:spacing w:before="185" w:after="0" w:line="340" w:lineRule="exact"/>
        <w:jc w:val="center"/>
      </w:pPr>
      <w:r>
        <w:t xml:space="preserve">B</w:t>
      </w:r>
      <w:r>
        <w:t xml:space="preserve"> </w:t>
      </w:r>
      <w:r>
        <w:t xml:space="preserve">&amp;</w:t>
      </w:r>
      <w:r>
        <w:t xml:space="preserve"> </w:t>
      </w:r>
      <w:r>
        <w:t xml:space="preserve">L</w:t>
      </w:r>
      <w:r>
        <w:t xml:space="preserve"> </w:t>
      </w:r>
      <w:r>
        <w:t xml:space="preserve">PRODUCTIONS,</w:t>
      </w:r>
      <w:r>
        <w:t xml:space="preserve"> </w:t>
      </w:r>
      <w:r>
        <w:t xml:space="preserve">INC.,</w:t>
      </w:r>
      <w:r>
        <w:t xml:space="preserve"> </w:t>
      </w:r>
      <w:r>
        <w:t xml:space="preserve">et</w:t>
      </w:r>
      <w:r>
        <w:t xml:space="preserve"> </w:t>
      </w:r>
      <w:r>
        <w:t xml:space="preserve">al.,</w:t>
      </w:r>
    </w:p>
    <w:p>
      <w:pPr>
        <w:spacing w:before="0" w:after="0" w:line="340" w:lineRule="exact"/>
        <w:ind w:left="4680"/>
      </w:pPr>
      <w:r>
        <w:t xml:space="preserve">Plaintiffs-Appellants,</w:t>
      </w:r>
    </w:p>
    <w:p>
      <w:pPr>
        <w:spacing w:before="55" w:after="55" w:line="340" w:lineRule="exact"/>
        <w:jc w:val="center"/>
      </w:pPr>
      <w:r>
        <w:t xml:space="preserve">v.</w:t>
      </w:r>
    </w:p>
    <w:p>
      <w:pPr>
        <w:spacing w:before="0" w:after="0" w:line="340" w:lineRule="exact"/>
        <w:jc w:val="center"/>
      </w:pPr>
      <w:r>
        <w:t xml:space="preserve">GAVIN</w:t>
      </w:r>
      <w:r>
        <w:t xml:space="preserve"> </w:t>
      </w:r>
      <w:r>
        <w:t xml:space="preserve">NEWSOM,</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Governor</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and</w:t>
      </w:r>
      <w:r>
        <w:t xml:space="preserve"> </w:t>
      </w:r>
      <w:r>
        <w:t xml:space="preserve">in</w:t>
      </w:r>
      <w:r>
        <w:t xml:space="preserve"> </w:t>
      </w:r>
      <w:r>
        <w:t xml:space="preserve">his</w:t>
      </w:r>
      <w:r>
        <w:t xml:space="preserve"> </w:t>
      </w:r>
      <w:r>
        <w:t xml:space="preserve">personal</w:t>
      </w:r>
      <w:r>
        <w:t xml:space="preserve"> </w:t>
      </w:r>
      <w:r>
        <w:t xml:space="preserve">capacity,</w:t>
      </w:r>
      <w:r>
        <w:t xml:space="preserve"> </w:t>
      </w:r>
      <w:r>
        <w:t xml:space="preserve">et</w:t>
      </w:r>
      <w:r>
        <w:t xml:space="preserve"> </w:t>
      </w:r>
      <w:r>
        <w:t xml:space="preserve">al.,</w:t>
      </w:r>
    </w:p>
    <w:p>
      <w:pPr>
        <w:spacing w:before="0" w:after="0" w:line="340" w:lineRule="exact"/>
        <w:ind w:left="4680"/>
      </w:pPr>
      <w:r>
        <w:t xml:space="preserve">Defendants-Appellees.</w:t>
      </w:r>
    </w:p>
    <w:p>
      <w:pPr>
        <w:pBdr>
          <w:bottom w:val="single" w:sz="6" w:space="1" w:color="000000"/>
        </w:pBdr>
        <w:spacing w:before="185" w:after="0" w:line="120" w:lineRule="exact"/>
        <w:ind w:left="3240" w:right="3240"/>
      </w:pPr>
    </w:p>
    <w:p>
      <w:pPr>
        <w:spacing w:before="185" w:after="0" w:line="34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Southern</w:t>
      </w:r>
      <w:r>
        <w:t xml:space="preserve"> </w:t>
      </w:r>
      <w:r>
        <w:t xml:space="preserve">District</w:t>
      </w:r>
      <w:r>
        <w:t xml:space="preserve"> </w:t>
      </w:r>
      <w:r>
        <w:t xml:space="preserve">of</w:t>
      </w:r>
      <w:r>
        <w:t xml:space="preserve"> </w:t>
      </w:r>
      <w:r>
        <w:t xml:space="preserve">California</w:t>
      </w:r>
    </w:p>
    <w:p>
      <w:pPr>
        <w:spacing w:before="0" w:after="0" w:line="340" w:lineRule="exact"/>
        <w:jc w:val="center"/>
      </w:pPr>
      <w:r>
        <w:t xml:space="preserve">D.C. No. </w:t>
      </w:r>
      <w:r>
        <w:t xml:space="preserve">3:21-cv</w:t>
        <w:noBreakHyphen/>
        <w:t xml:space="preserve">01718-AJB-DDL</w:t>
      </w:r>
      <w:r>
        <w:t xml:space="preserve">; </w:t>
      </w:r>
      <w:r>
        <w:t xml:space="preserve">Honorable</w:t>
      </w:r>
      <w:r>
        <w:t xml:space="preserve"> </w:t>
      </w:r>
      <w:r>
        <w:t xml:space="preserve">Anthony</w:t>
      </w:r>
      <w:r>
        <w:t xml:space="preserve"> </w:t>
      </w:r>
      <w:r>
        <w:t xml:space="preserve">J.</w:t>
      </w:r>
      <w:r>
        <w:t xml:space="preserve"> </w:t>
      </w:r>
      <w:r>
        <w:t xml:space="preserve">Battaglia</w:t>
      </w:r>
    </w:p>
    <w:p>
      <w:pPr>
        <w:pBdr>
          <w:bottom w:val="single" w:sz="6" w:space="1" w:color="000000"/>
        </w:pBdr>
        <w:spacing w:before="185" w:after="0" w:line="120" w:lineRule="exact"/>
        <w:ind w:left="3240" w:right="3240"/>
      </w:pPr>
    </w:p>
    <w:p>
      <w:pPr>
        <w:spacing w:before="185" w:after="0" w:line="340" w:lineRule="exact"/>
        <w:jc w:val="center"/>
      </w:pPr>
      <w:r>
        <w:rPr>
          <w:b/>
          <w:bCs/>
          <w:caps/>
        </w:rPr>
        <w:t xml:space="preserve">Appellants’</w:t>
      </w:r>
      <w:r>
        <w:rPr>
          <w:b/>
          <w:bCs/>
          <w:caps/>
        </w:rPr>
        <w:t xml:space="preserve"> </w:t>
      </w:r>
      <w:r>
        <w:rPr>
          <w:b/>
          <w:bCs/>
          <w:caps/>
        </w:rPr>
        <w:t xml:space="preserve">Reply</w:t>
      </w:r>
      <w:r>
        <w:rPr>
          <w:b/>
          <w:bCs/>
          <w:caps/>
        </w:rPr>
        <w:t xml:space="preserve"> </w:t>
      </w:r>
      <w:r>
        <w:rPr>
          <w:b/>
          <w:bCs/>
          <w:caps/>
        </w:rPr>
        <w:t xml:space="preserve">Brief</w:t>
      </w:r>
    </w:p>
    <w:p>
      <w:pPr>
        <w:pBdr>
          <w:bottom w:val="single" w:sz="6" w:space="1" w:color="000000"/>
        </w:pBdr>
        <w:spacing w:before="185" w:after="0" w:line="120" w:lineRule="exact"/>
        <w:ind w:left="3240" w:right="3240"/>
      </w:pPr>
    </w:p>
    <w:p>
      <w:pPr>
        <w:keepLines/>
        <w:spacing w:before="185" w:after="0" w:line="340" w:lineRule="exact"/>
        <w:ind w:left="4680"/>
      </w:pPr>
      <w:r>
        <w:t xml:space="preserve">C.D.</w:t>
      </w:r>
      <w:r>
        <w:t xml:space="preserve"> </w:t>
      </w:r>
      <w:r>
        <w:t xml:space="preserve">Michel</w:t>
      </w:r>
    </w:p>
    <w:p>
      <w:pPr>
        <w:keepLines/>
        <w:spacing w:before="0" w:after="0" w:line="340" w:lineRule="exact"/>
        <w:ind w:left="4680"/>
      </w:pPr>
      <w:r>
        <w:t xml:space="preserve">Anna</w:t>
      </w:r>
      <w:r>
        <w:t xml:space="preserve"> </w:t>
      </w:r>
      <w:r>
        <w:t xml:space="preserve">M.</w:t>
      </w:r>
      <w:r>
        <w:t xml:space="preserve"> </w:t>
      </w:r>
      <w:r>
        <w:t xml:space="preserve">Barvir</w:t>
      </w:r>
    </w:p>
    <w:p>
      <w:pPr>
        <w:keepLines/>
        <w:spacing w:before="0" w:after="0" w:line="340" w:lineRule="exact"/>
        <w:ind w:left="4680"/>
      </w:pPr>
      <w:r>
        <w:t xml:space="preserve">Tiffany</w:t>
      </w:r>
      <w:r>
        <w:t xml:space="preserve"> </w:t>
      </w:r>
      <w:r>
        <w:t xml:space="preserve">D.</w:t>
      </w:r>
      <w:r>
        <w:t xml:space="preserve"> </w:t>
      </w:r>
      <w:r>
        <w:t xml:space="preserve">Cheuvront</w:t>
      </w:r>
    </w:p>
    <w:p>
      <w:pPr>
        <w:keepLines/>
        <w:spacing w:before="0" w:after="0" w:line="340" w:lineRule="exact"/>
        <w:ind w:left="4680" w:firstLine="140"/>
      </w:pPr>
      <w:r>
        <w:rPr>
          <w:i/>
          <w:iCs/>
        </w:rPr>
        <w:t xml:space="preserve">MICHEL</w:t>
      </w:r>
      <w:r>
        <w:rPr>
          <w:i/>
          <w:iCs/>
        </w:rPr>
        <w:t xml:space="preserve"> </w:t>
      </w:r>
      <w:r>
        <w:rPr>
          <w:i/>
          <w:iCs/>
        </w:rPr>
        <w:t xml:space="preserve">&amp;</w:t>
      </w:r>
      <w:r>
        <w:rPr>
          <w:i/>
          <w:iCs/>
        </w:rPr>
        <w:t xml:space="preserve"> </w:t>
      </w:r>
      <w:r>
        <w:rPr>
          <w:i/>
          <w:iCs/>
        </w:rPr>
        <w:t xml:space="preserve">ASSOCIATES,</w:t>
      </w:r>
      <w:r>
        <w:rPr>
          <w:i/>
          <w:iCs/>
        </w:rPr>
        <w:t xml:space="preserve"> </w:t>
      </w:r>
      <w:r>
        <w:rPr>
          <w:i/>
          <w:iCs/>
        </w:rPr>
        <w:t xml:space="preserve">P.C.</w:t>
      </w:r>
    </w:p>
    <w:p>
      <w:pPr>
        <w:keepLines/>
        <w:spacing w:before="0" w:after="0" w:line="340" w:lineRule="exact"/>
        <w:ind w:left="4680" w:firstLine="140"/>
      </w:pPr>
      <w:r>
        <w:rPr>
          <w:i/>
          <w:iCs/>
        </w:rPr>
        <w:t xml:space="preserve">180</w:t>
      </w:r>
      <w:r>
        <w:rPr>
          <w:i/>
          <w:iCs/>
        </w:rPr>
        <w:t xml:space="preserve"> </w:t>
      </w:r>
      <w:r>
        <w:rPr>
          <w:i/>
          <w:iCs/>
        </w:rPr>
        <w:t xml:space="preserve">E.</w:t>
      </w:r>
      <w:r>
        <w:rPr>
          <w:i/>
          <w:iCs/>
        </w:rPr>
        <w:t xml:space="preserve"> </w:t>
      </w:r>
      <w:r>
        <w:rPr>
          <w:i/>
          <w:iCs/>
        </w:rPr>
        <w:t xml:space="preserve">Ocean</w:t>
      </w:r>
      <w:r>
        <w:rPr>
          <w:i/>
          <w:iCs/>
        </w:rPr>
        <w:t xml:space="preserve"> </w:t>
      </w:r>
      <w:r>
        <w:rPr>
          <w:i/>
          <w:iCs/>
        </w:rPr>
        <w:t xml:space="preserve">Blvd.,</w:t>
      </w:r>
      <w:r>
        <w:rPr>
          <w:i/>
          <w:iCs/>
        </w:rPr>
        <w:t xml:space="preserve"> </w:t>
      </w:r>
      <w:r>
        <w:rPr>
          <w:i/>
          <w:iCs/>
        </w:rPr>
        <w:t xml:space="preserve">Suite</w:t>
      </w:r>
      <w:r>
        <w:rPr>
          <w:i/>
          <w:iCs/>
        </w:rPr>
        <w:t xml:space="preserve"> </w:t>
      </w:r>
      <w:r>
        <w:rPr>
          <w:i/>
          <w:iCs/>
        </w:rPr>
        <w:t xml:space="preserve">200</w:t>
      </w:r>
    </w:p>
    <w:p>
      <w:pPr>
        <w:keepLines/>
        <w:spacing w:before="0" w:after="0" w:line="340" w:lineRule="exact"/>
        <w:ind w:left="4680" w:firstLine="140"/>
      </w:pPr>
      <w:r>
        <w:rPr>
          <w:i/>
          <w:iCs/>
        </w:rPr>
        <w:t xml:space="preserve">Long</w:t>
      </w:r>
      <w:r>
        <w:rPr>
          <w:i/>
          <w:iCs/>
        </w:rPr>
        <w:t xml:space="preserve"> </w:t>
      </w:r>
      <w:r>
        <w:rPr>
          <w:i/>
          <w:iCs/>
        </w:rPr>
        <w:t xml:space="preserve">Beach,</w:t>
      </w:r>
      <w:r>
        <w:rPr>
          <w:i/>
          <w:iCs/>
        </w:rPr>
        <w:t xml:space="preserve"> </w:t>
      </w:r>
      <w:r>
        <w:rPr>
          <w:i/>
          <w:iCs/>
        </w:rPr>
        <w:t xml:space="preserve">CA</w:t>
      </w:r>
      <w:r>
        <w:rPr>
          <w:i/>
          <w:iCs/>
        </w:rPr>
        <w:t xml:space="preserve"> </w:t>
      </w:r>
      <w:r>
        <w:rPr>
          <w:i/>
          <w:iCs/>
        </w:rPr>
        <w:t xml:space="preserve">90802</w:t>
      </w:r>
    </w:p>
    <w:p>
      <w:pPr>
        <w:keepLines/>
        <w:spacing w:before="0" w:after="0" w:line="340" w:lineRule="exact"/>
        <w:ind w:left="4680" w:firstLine="140"/>
      </w:pPr>
      <w:r>
        <w:rPr>
          <w:i/>
          <w:iCs/>
        </w:rPr>
        <w:t xml:space="preserve">cmichel@michellawyers.com</w:t>
      </w:r>
    </w:p>
    <w:p>
      <w:pPr>
        <w:keepLines/>
        <w:spacing w:before="0" w:after="0" w:line="340" w:lineRule="exact"/>
        <w:ind w:left="4680" w:firstLine="140"/>
      </w:pPr>
      <w:r>
        <w:rPr>
          <w:i/>
          <w:iCs/>
        </w:rPr>
        <w:t xml:space="preserve">(562)</w:t>
      </w:r>
      <w:r>
        <w:rPr>
          <w:i/>
          <w:iCs/>
        </w:rPr>
        <w:t xml:space="preserve"> </w:t>
      </w:r>
      <w:r>
        <w:rPr>
          <w:i/>
          <w:iCs/>
        </w:rPr>
        <w:t xml:space="preserve">216</w:t>
        <w:noBreakHyphen/>
        <w:t xml:space="preserve">4444</w:t>
      </w:r>
    </w:p>
    <w:p>
      <w:pPr>
        <w:keepLines/>
        <w:spacing w:before="100" w:after="0" w:line="340" w:lineRule="exact"/>
        <w:ind w:left="4680"/>
      </w:pPr>
      <w:r>
        <w:t xml:space="preserve">Donald</w:t>
      </w:r>
      <w:r>
        <w:t xml:space="preserve"> </w:t>
      </w:r>
      <w:r>
        <w:t xml:space="preserve">Kilmer</w:t>
      </w:r>
    </w:p>
    <w:p>
      <w:pPr>
        <w:keepLines/>
        <w:spacing w:before="0" w:after="0" w:line="340" w:lineRule="exact"/>
        <w:ind w:left="4680" w:firstLine="140"/>
      </w:pPr>
      <w:r>
        <w:rPr>
          <w:i/>
          <w:iCs/>
        </w:rPr>
        <w:t xml:space="preserve">Law</w:t>
      </w:r>
      <w:r>
        <w:rPr>
          <w:i/>
          <w:iCs/>
        </w:rPr>
        <w:t xml:space="preserve"> </w:t>
      </w:r>
      <w:r>
        <w:rPr>
          <w:i/>
          <w:iCs/>
        </w:rPr>
        <w:t xml:space="preserve">Offices</w:t>
      </w:r>
      <w:r>
        <w:rPr>
          <w:i/>
          <w:iCs/>
        </w:rPr>
        <w:t xml:space="preserve"> </w:t>
      </w:r>
      <w:r>
        <w:rPr>
          <w:i/>
          <w:iCs/>
        </w:rPr>
        <w:t xml:space="preserve">of</w:t>
      </w:r>
      <w:r>
        <w:rPr>
          <w:i/>
          <w:iCs/>
        </w:rPr>
        <w:t xml:space="preserve"> </w:t>
      </w:r>
      <w:r>
        <w:rPr>
          <w:i/>
          <w:iCs/>
        </w:rPr>
        <w:t xml:space="preserve">Donald</w:t>
      </w:r>
      <w:r>
        <w:rPr>
          <w:i/>
          <w:iCs/>
        </w:rPr>
        <w:t xml:space="preserve"> </w:t>
      </w:r>
      <w:r>
        <w:rPr>
          <w:i/>
          <w:iCs/>
        </w:rPr>
        <w:t xml:space="preserve">Kilmer,</w:t>
      </w:r>
      <w:r>
        <w:rPr>
          <w:i/>
          <w:iCs/>
        </w:rPr>
        <w:t xml:space="preserve"> </w:t>
      </w:r>
      <w:r>
        <w:rPr>
          <w:i/>
          <w:iCs/>
        </w:rPr>
        <w:t xml:space="preserve">APC</w:t>
      </w:r>
    </w:p>
    <w:p>
      <w:pPr>
        <w:keepLines/>
        <w:spacing w:before="0" w:after="0" w:line="340" w:lineRule="exact"/>
        <w:ind w:left="4680" w:firstLine="140"/>
      </w:pPr>
      <w:r>
        <w:rPr>
          <w:i/>
          <w:iCs/>
        </w:rPr>
        <w:t xml:space="preserve">14085</w:t>
      </w:r>
      <w:r>
        <w:rPr>
          <w:i/>
          <w:iCs/>
        </w:rPr>
        <w:t xml:space="preserve"> </w:t>
      </w:r>
      <w:r>
        <w:rPr>
          <w:i/>
          <w:iCs/>
        </w:rPr>
        <w:t xml:space="preserve">Silver</w:t>
      </w:r>
      <w:r>
        <w:rPr>
          <w:i/>
          <w:iCs/>
        </w:rPr>
        <w:t xml:space="preserve"> </w:t>
      </w:r>
      <w:r>
        <w:rPr>
          <w:i/>
          <w:iCs/>
        </w:rPr>
        <w:t xml:space="preserve">Ridge</w:t>
      </w:r>
      <w:r>
        <w:rPr>
          <w:i/>
          <w:iCs/>
        </w:rPr>
        <w:t xml:space="preserve"> </w:t>
      </w:r>
      <w:r>
        <w:rPr>
          <w:i/>
          <w:iCs/>
        </w:rPr>
        <w:t xml:space="preserve">Rd.</w:t>
      </w:r>
    </w:p>
    <w:p>
      <w:pPr>
        <w:keepLines/>
        <w:spacing w:before="0" w:after="0" w:line="340" w:lineRule="exact"/>
        <w:ind w:left="4680" w:firstLine="140"/>
      </w:pPr>
      <w:r>
        <w:rPr>
          <w:i/>
          <w:iCs/>
        </w:rPr>
        <w:t xml:space="preserve">Caldwell,</w:t>
      </w:r>
      <w:r>
        <w:rPr>
          <w:i/>
          <w:iCs/>
        </w:rPr>
        <w:t xml:space="preserve"> </w:t>
      </w:r>
      <w:r>
        <w:rPr>
          <w:i/>
          <w:iCs/>
        </w:rPr>
        <w:t xml:space="preserve">Idaho</w:t>
      </w:r>
      <w:r>
        <w:rPr>
          <w:i/>
          <w:iCs/>
        </w:rPr>
        <w:t xml:space="preserve"> </w:t>
      </w:r>
      <w:r>
        <w:rPr>
          <w:i/>
          <w:iCs/>
        </w:rPr>
        <w:t xml:space="preserve">83607</w:t>
      </w:r>
    </w:p>
    <w:p>
      <w:pPr>
        <w:keepLines/>
        <w:spacing w:before="0" w:after="0" w:line="340" w:lineRule="exact"/>
        <w:ind w:left="4680" w:firstLine="140"/>
      </w:pPr>
      <w:r>
        <w:rPr>
          <w:i/>
          <w:iCs/>
        </w:rPr>
        <w:t xml:space="preserve">don@dklawoffice.com</w:t>
      </w:r>
    </w:p>
    <w:p>
      <w:pPr>
        <w:keepLines/>
        <w:spacing w:before="0" w:after="0" w:line="340" w:lineRule="exact"/>
        <w:ind w:left="4680" w:firstLine="140"/>
      </w:pPr>
      <w:r>
        <w:rPr>
          <w:i/>
          <w:iCs/>
        </w:rPr>
        <w:t xml:space="preserve">(408)</w:t>
      </w:r>
      <w:r>
        <w:rPr>
          <w:i/>
          <w:iCs/>
        </w:rPr>
        <w:t xml:space="preserve"> </w:t>
      </w:r>
      <w:r>
        <w:rPr>
          <w:i/>
          <w:iCs/>
        </w:rPr>
        <w:t xml:space="preserve">264</w:t>
        <w:noBreakHyphen/>
        <w:t xml:space="preserve">8489</w:t>
      </w:r>
    </w:p>
    <w:p>
      <w:pPr>
        <w:pBdr>
          <w:bottom w:val="thickThinSmallGap" w:sz="12" w:space="1" w:color="000000"/>
        </w:pBdr>
        <w:spacing w:before="185"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340" w:lineRule="exact"/>
        <w:ind w:left="0" w:right="20"/>
        <w:jc w:val="right"/>
      </w:pPr>
      <w:r>
        <w:rPr>
          <w:b/>
          <w:bCs/>
          <w:u w:val="single"/>
        </w:rPr>
        <w:t xml:space="preserve">Page</w:t>
      </w:r>
    </w:p>
    <w:p>
      <w:pPr>
        <w:keepLines/>
        <w:tabs>
          <w:tab w:val="right" w:leader="dot" w:pos="9360"/>
        </w:tabs>
        <w:spacing w:before="168" w:after="0" w:line="340" w:lineRule="exact"/>
        <w:ind w:left="0" w:right="720"/>
      </w:pPr>
      <w:r>
        <w:t xml:space="preserve">TABLE OF AUTHORITIES   </w:t>
      </w:r>
      <w:r>
        <w:tab/>
      </w:r>
      <w:r>
        <w:t xml:space="preserve">ii</w:t>
      </w:r>
    </w:p>
    <w:p>
      <w:pPr>
        <w:keepLines/>
        <w:tabs>
          <w:tab w:val="right" w:leader="dot" w:pos="9360"/>
        </w:tabs>
        <w:spacing w:before="168" w:after="0" w:line="340" w:lineRule="exact"/>
        <w:ind w:left="0" w:right="720"/>
      </w:pPr>
      <w:r>
        <w:t xml:space="preserve">INTRODUCTION   </w:t>
      </w:r>
      <w:r>
        <w:tab/>
      </w:r>
      <w:r>
        <w:t xml:space="preserve">1</w:t>
      </w:r>
    </w:p>
    <w:p>
      <w:pPr>
        <w:keepLines/>
        <w:tabs>
          <w:tab w:val="right" w:leader="dot" w:pos="9360"/>
        </w:tabs>
        <w:spacing w:before="168" w:after="0" w:line="340" w:lineRule="exact"/>
        <w:ind w:left="0" w:right="720"/>
      </w:pPr>
      <w:r>
        <w:t xml:space="preserve">ARGUMENT   </w:t>
      </w:r>
      <w:r>
        <w:tab/>
      </w:r>
      <w:r>
        <w:t xml:space="preserve">2</w:t>
      </w:r>
    </w:p>
    <w:p>
      <w:pPr>
        <w:keepLines/>
        <w:tabs>
          <w:tab w:val="right" w:leader="dot" w:pos="9360"/>
        </w:tabs>
        <w:spacing w:before="98" w:after="0" w:line="340" w:lineRule="exact"/>
        <w:ind w:left="720" w:right="720" w:hanging="720"/>
      </w:pPr>
      <w:r>
        <w:t xml:space="preserve">I.</w:t>
      </w:r>
      <w:r>
        <w:tab/>
      </w:r>
      <w:r>
        <w:t xml:space="preserve">The District Court’s Rule 12 Dismissal of Appellants’ Well-pled Second Amendment Claim Is Reversible Error   </w:t>
      </w:r>
      <w:r>
        <w:tab/>
      </w:r>
      <w:r>
        <w:t xml:space="preserve">2</w:t>
      </w:r>
    </w:p>
    <w:p>
      <w:pPr>
        <w:keepLines/>
        <w:tabs>
          <w:tab w:val="right" w:leader="dot" w:pos="9360"/>
        </w:tabs>
        <w:spacing w:before="98" w:after="0" w:line="340" w:lineRule="exact"/>
        <w:ind w:left="1440" w:right="720" w:hanging="720"/>
      </w:pPr>
      <w:r>
        <w:t xml:space="preserve">A.</w:t>
      </w:r>
      <w:r>
        <w:tab/>
      </w:r>
      <w:r>
        <w:t xml:space="preserve">The District Court Improperly Relied on Texeira to Short-circuit the Text-and-History Based Analysis Required Under Bruen   </w:t>
      </w:r>
      <w:r>
        <w:tab/>
      </w:r>
      <w:r>
        <w:t xml:space="preserve">2</w:t>
      </w:r>
    </w:p>
    <w:p>
      <w:pPr>
        <w:keepLines/>
        <w:tabs>
          <w:tab w:val="right" w:leader="dot" w:pos="9360"/>
        </w:tabs>
        <w:spacing w:before="168" w:after="0" w:line="340" w:lineRule="exact"/>
        <w:ind w:left="0" w:right="720"/>
      </w:pPr>
      <w:r>
        <w:t xml:space="preserve">CONCLUSION   </w:t>
      </w:r>
      <w:r>
        <w:tab/>
      </w:r>
      <w:r>
        <w:t xml:space="preserve">8</w:t>
      </w:r>
    </w:p>
    <w:p>
      <w:pPr>
        <w:keepLines/>
        <w:tabs>
          <w:tab w:val="right" w:leader="dot" w:pos="9360"/>
        </w:tabs>
        <w:spacing w:before="168" w:after="0" w:line="340" w:lineRule="exact"/>
        <w:ind w:left="0" w:right="720"/>
      </w:pPr>
      <w:r>
        <w:t xml:space="preserve">STATEMENT OF RELATED CASES   </w:t>
      </w:r>
      <w:r>
        <w:tab/>
      </w:r>
      <w:r>
        <w:t xml:space="preserve">9</w:t>
      </w:r>
    </w:p>
    <w:p>
      <w:pPr>
        <w:keepLines/>
        <w:tabs>
          <w:tab w:val="right" w:leader="dot" w:pos="9360"/>
        </w:tabs>
        <w:spacing w:before="168" w:after="0" w:line="340" w:lineRule="exact"/>
        <w:ind w:left="0" w:right="720"/>
      </w:pPr>
      <w:r>
        <w:t xml:space="preserve">CERTIFICATE OF COMPLIANCE   </w:t>
      </w:r>
      <w:r>
        <w:tab/>
      </w:r>
      <w:r>
        <w:t xml:space="preserve">10</w:t>
      </w:r>
    </w:p>
    <w:p>
      <w:pPr>
        <w:pStyle w:val="Heading1"/>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340" w:lineRule="exact"/>
      </w:pPr>
      <w:r>
        <w:rPr>
          <w:b/>
          <w:bCs/>
        </w:rPr>
        <w:t xml:space="preserve">Cases:</w:t>
      </w:r>
      <w:r>
        <w:tab/>
      </w:r>
      <w:r>
        <w:rPr>
          <w:b/>
          <w:bCs/>
          <w:u w:val="single"/>
        </w:rPr>
        <w:t xml:space="preserve">Page(s)</w:t>
      </w:r>
    </w:p>
    <w:p>
      <w:pPr>
        <w:keepLines/>
        <w:tabs>
          <w:tab w:val="right" w:leader="dot" w:pos="9360"/>
        </w:tabs>
        <w:spacing w:before="196" w:after="0" w:line="340" w:lineRule="exact"/>
        <w:ind w:left="504" w:right="1120" w:hanging="504"/>
      </w:pPr>
      <w:r>
        <w:rPr>
          <w:i/>
          <w:iCs/>
        </w:rPr>
        <w:t xml:space="preserve">B&amp;L</w:t>
      </w:r>
      <w:r>
        <w:rPr>
          <w:i/>
          <w:iCs/>
        </w:rPr>
        <w:t xml:space="preserve"> </w:t>
      </w:r>
      <w:r>
        <w:rPr>
          <w:i/>
          <w:iCs/>
        </w:rPr>
        <w:t xml:space="preserve">Prods.,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Newsom</w:t>
      </w:r>
      <w:r>
        <w:t xml:space="preserve">,</w:t>
      </w:r>
      <w:r>
        <w:br/>
      </w:r>
      <w:r>
        <w:t xml:space="preserve">No.</w:t>
      </w:r>
      <w:r>
        <w:t xml:space="preserve"> </w:t>
      </w:r>
      <w:r>
        <w:t xml:space="preserve">8:22-cv</w:t>
        <w:noBreakHyphen/>
        <w:t xml:space="preserve">01518,</w:t>
      </w:r>
      <w:r>
        <w:t xml:space="preserve"> </w:t>
      </w:r>
      <w:r>
        <w:t xml:space="preserve">2023</w:t>
      </w:r>
      <w:r>
        <w:t xml:space="preserve"> </w:t>
      </w:r>
      <w:r>
        <w:t xml:space="preserve">WL</w:t>
      </w:r>
      <w:r>
        <w:t xml:space="preserve"> </w:t>
      </w:r>
      <w:r>
        <w:t xml:space="preserve">7132054</w:t>
      </w:r>
      <w:r>
        <w:t xml:space="preserve"> </w:t>
      </w:r>
      <w:r>
        <w:t xml:space="preserve">(C.D.</w:t>
      </w:r>
      <w:r>
        <w:t xml:space="preserve"> </w:t>
      </w:r>
      <w:r>
        <w:t xml:space="preserve">Cal.</w:t>
      </w:r>
      <w:r>
        <w:t xml:space="preserve"> </w:t>
      </w:r>
      <w:r>
        <w:t xml:space="preserve">Oct.</w:t>
      </w:r>
      <w:r>
        <w:t xml:space="preserve"> </w:t>
      </w:r>
      <w:r>
        <w:t xml:space="preserve">30,</w:t>
      </w:r>
      <w:r>
        <w:t xml:space="preserve"> </w:t>
      </w:r>
      <w:r>
        <w:t xml:space="preserve">2023)</w:t>
      </w:r>
      <w:r>
        <w:t xml:space="preserve">   </w:t>
      </w:r>
      <w:r>
        <w:tab/>
      </w:r>
      <w:r>
        <w:t xml:space="preserve">3, 6, 7</w:t>
      </w:r>
    </w:p>
    <w:p>
      <w:pPr>
        <w:keepLines/>
        <w:tabs>
          <w:tab w:val="right" w:leader="dot" w:pos="9360"/>
        </w:tabs>
        <w:spacing w:before="196" w:after="0" w:line="340" w:lineRule="exact"/>
        <w:ind w:left="504" w:right="1120" w:hanging="504"/>
      </w:pPr>
      <w:r>
        <w:rPr>
          <w:i/>
          <w:iCs/>
        </w:rPr>
        <w:t xml:space="preserve">Boland</w:t>
      </w:r>
      <w:r>
        <w:rPr>
          <w:i/>
          <w:iCs/>
        </w:rPr>
        <w:t xml:space="preserve"> </w:t>
      </w:r>
      <w:r>
        <w:rPr>
          <w:i/>
          <w:iCs/>
        </w:rPr>
        <w:t xml:space="preserve">v.</w:t>
      </w:r>
      <w:r>
        <w:rPr>
          <w:i/>
          <w:iCs/>
        </w:rPr>
        <w:t xml:space="preserve"> </w:t>
      </w:r>
      <w:r>
        <w:rPr>
          <w:i/>
          <w:iCs/>
        </w:rPr>
        <w:t xml:space="preserve">Bonta</w:t>
      </w:r>
      <w:r>
        <w:t xml:space="preserve">,</w:t>
      </w:r>
      <w:r>
        <w:br/>
      </w:r>
      <w:r>
        <w:t xml:space="preserve">No.</w:t>
      </w:r>
      <w:r>
        <w:t xml:space="preserve"> </w:t>
      </w:r>
      <w:r>
        <w:t xml:space="preserve">22</w:t>
        <w:noBreakHyphen/>
        <w:t xml:space="preserve">01421,</w:t>
      </w:r>
      <w:r>
        <w:t xml:space="preserve"> </w:t>
      </w:r>
      <w:r>
        <w:t xml:space="preserve">2023</w:t>
      </w:r>
      <w:r>
        <w:t xml:space="preserve"> </w:t>
      </w:r>
      <w:r>
        <w:t xml:space="preserve">WL</w:t>
      </w:r>
      <w:r>
        <w:t xml:space="preserve"> </w:t>
      </w:r>
      <w:r>
        <w:t xml:space="preserve">2588565</w:t>
      </w:r>
      <w:r>
        <w:t xml:space="preserve"> </w:t>
      </w:r>
      <w:r>
        <w:t xml:space="preserve">(C.D.</w:t>
      </w:r>
      <w:r>
        <w:t xml:space="preserve"> </w:t>
      </w:r>
      <w:r>
        <w:t xml:space="preserve">Cal.</w:t>
      </w:r>
      <w:r>
        <w:t xml:space="preserve"> </w:t>
      </w:r>
      <w:r>
        <w:t xml:space="preserve">Mar.</w:t>
      </w:r>
      <w:r>
        <w:t xml:space="preserve"> </w:t>
      </w:r>
      <w:r>
        <w:t xml:space="preserve">20,</w:t>
      </w:r>
      <w:r>
        <w:t xml:space="preserve"> </w:t>
      </w:r>
      <w:r>
        <w:t xml:space="preserve">2023)</w:t>
      </w:r>
      <w:r>
        <w:t xml:space="preserve">   </w:t>
      </w:r>
      <w:r>
        <w:tab/>
      </w:r>
      <w:r>
        <w:t xml:space="preserve">3</w:t>
      </w:r>
    </w:p>
    <w:p>
      <w:pPr>
        <w:keepLines/>
        <w:tabs>
          <w:tab w:val="right" w:leader="dot" w:pos="9360"/>
        </w:tabs>
        <w:spacing w:before="196" w:after="0" w:line="340" w:lineRule="exact"/>
        <w:ind w:left="504" w:right="1120" w:hanging="504"/>
      </w:pPr>
      <w:r>
        <w:rPr>
          <w:i/>
          <w:iCs/>
        </w:rPr>
        <w:t xml:space="preserve">Central</w:t>
      </w:r>
      <w:r>
        <w:rPr>
          <w:i/>
          <w:iCs/>
        </w:rPr>
        <w:t xml:space="preserve"> </w:t>
      </w:r>
      <w:r>
        <w:rPr>
          <w:i/>
          <w:iCs/>
        </w:rPr>
        <w:t xml:space="preserve">Hudson</w:t>
      </w:r>
      <w:r>
        <w:rPr>
          <w:i/>
          <w:iCs/>
        </w:rPr>
        <w:t xml:space="preserve"> </w:t>
      </w:r>
      <w:r>
        <w:rPr>
          <w:i/>
          <w:iCs/>
        </w:rPr>
        <w:t xml:space="preserve">Gas</w:t>
      </w:r>
      <w:r>
        <w:rPr>
          <w:i/>
          <w:iCs/>
        </w:rPr>
        <w:t xml:space="preserve"> </w:t>
      </w:r>
      <w:r>
        <w:rPr>
          <w:i/>
          <w:iCs/>
        </w:rPr>
        <w:t xml:space="preserve">&amp;</w:t>
      </w:r>
      <w:r>
        <w:rPr>
          <w:i/>
          <w:iCs/>
        </w:rPr>
        <w:t xml:space="preserve"> </w:t>
      </w:r>
      <w:r>
        <w:rPr>
          <w:i/>
          <w:iCs/>
        </w:rPr>
        <w:t xml:space="preserve">Electric</w:t>
      </w:r>
      <w:r>
        <w:rPr>
          <w:i/>
          <w:iCs/>
        </w:rPr>
        <w:t xml:space="preserve"> </w:t>
      </w:r>
      <w:r>
        <w:rPr>
          <w:i/>
          <w:iCs/>
        </w:rPr>
        <w:t xml:space="preserve">Commission</w:t>
      </w:r>
      <w:r>
        <w:rPr>
          <w:i/>
          <w:iCs/>
        </w:rPr>
        <w:t xml:space="preserve"> </w:t>
      </w:r>
      <w:r>
        <w:rPr>
          <w:i/>
          <w:iCs/>
        </w:rPr>
        <w:t xml:space="preserve">v.</w:t>
      </w:r>
      <w:r>
        <w:rPr>
          <w:i/>
          <w:iCs/>
        </w:rPr>
        <w:t xml:space="preserve"> </w:t>
      </w:r>
      <w:r>
        <w:rPr>
          <w:i/>
          <w:iCs/>
        </w:rPr>
        <w:t xml:space="preserve">Public</w:t>
      </w:r>
      <w:r>
        <w:rPr>
          <w:i/>
          <w:iCs/>
        </w:rPr>
        <w:t xml:space="preserve"> </w:t>
      </w:r>
      <w:r>
        <w:rPr>
          <w:i/>
          <w:iCs/>
        </w:rPr>
        <w:t xml:space="preserve">Services</w:t>
      </w:r>
      <w:r>
        <w:rPr>
          <w:i/>
          <w:iCs/>
        </w:rPr>
        <w:t xml:space="preserve"> </w:t>
      </w:r>
      <w:r>
        <w:rPr>
          <w:i/>
          <w:iCs/>
        </w:rPr>
        <w:t xml:space="preserve">Commission</w:t>
      </w:r>
      <w:r>
        <w:t xml:space="preserve">,</w:t>
      </w:r>
      <w:r>
        <w:br/>
      </w:r>
      <w:r>
        <w:t xml:space="preserve">447</w:t>
      </w:r>
      <w:r>
        <w:t xml:space="preserve"> </w:t>
      </w:r>
      <w:r>
        <w:t xml:space="preserve">U.S.</w:t>
      </w:r>
      <w:r>
        <w:t xml:space="preserve"> </w:t>
      </w:r>
      <w:r>
        <w:t xml:space="preserve">557</w:t>
      </w:r>
      <w:r>
        <w:t xml:space="preserve"> </w:t>
      </w:r>
      <w:r>
        <w:t xml:space="preserve">(1980)</w:t>
      </w:r>
      <w:r>
        <w:t xml:space="preserve">   </w:t>
      </w:r>
      <w:r>
        <w:tab/>
      </w:r>
      <w:r>
        <w:t xml:space="preserve">1</w:t>
      </w:r>
    </w:p>
    <w:p>
      <w:pPr>
        <w:keepLines/>
        <w:tabs>
          <w:tab w:val="right" w:leader="dot" w:pos="9360"/>
        </w:tabs>
        <w:spacing w:before="196" w:after="0" w:line="340" w:lineRule="exact"/>
        <w:ind w:left="504" w:right="1120" w:hanging="504"/>
      </w:pPr>
      <w:r>
        <w:rPr>
          <w:i/>
          <w:iCs/>
        </w:rPr>
        <w:t xml:space="preserve">District</w:t>
      </w:r>
      <w:r>
        <w:rPr>
          <w:i/>
          <w:iCs/>
        </w:rPr>
        <w:t xml:space="preserve"> </w:t>
      </w:r>
      <w:r>
        <w:rPr>
          <w:i/>
          <w:iCs/>
        </w:rPr>
        <w:t xml:space="preserve">of</w:t>
      </w:r>
      <w:r>
        <w:rPr>
          <w:i/>
          <w:iCs/>
        </w:rPr>
        <w:t xml:space="preserve"> </w:t>
      </w:r>
      <w:r>
        <w:rPr>
          <w:i/>
          <w:iCs/>
        </w:rPr>
        <w:t xml:space="preserve">Columbia</w:t>
      </w:r>
      <w:r>
        <w:rPr>
          <w:i/>
          <w:iCs/>
        </w:rPr>
        <w:t xml:space="preserve"> </w:t>
      </w:r>
      <w:r>
        <w:rPr>
          <w:i/>
          <w:iCs/>
        </w:rPr>
        <w:t xml:space="preserve">v.</w:t>
      </w:r>
      <w:r>
        <w:rPr>
          <w:i/>
          <w:iCs/>
        </w:rPr>
        <w:t xml:space="preserve"> </w:t>
      </w:r>
      <w:r>
        <w:rPr>
          <w:i/>
          <w:iCs/>
        </w:rPr>
        <w:t xml:space="preserve">Heller</w:t>
      </w:r>
      <w:r>
        <w:t xml:space="preserve">,</w:t>
      </w:r>
      <w:r>
        <w:br/>
      </w:r>
      <w:r>
        <w:t xml:space="preserve">554</w:t>
      </w:r>
      <w:r>
        <w:t xml:space="preserve"> </w:t>
      </w:r>
      <w:r>
        <w:t xml:space="preserve">U.S.</w:t>
      </w:r>
      <w:r>
        <w:t xml:space="preserve"> </w:t>
      </w:r>
      <w:r>
        <w:t xml:space="preserve">570</w:t>
      </w:r>
      <w:r>
        <w:t xml:space="preserve"> </w:t>
      </w:r>
      <w:r>
        <w:t xml:space="preserve">(2008)</w:t>
      </w:r>
      <w:r>
        <w:t xml:space="preserve">   </w:t>
      </w:r>
      <w:r>
        <w:tab/>
      </w:r>
      <w:r>
        <w:t xml:space="preserve">3, 4, 5</w:t>
      </w:r>
    </w:p>
    <w:p>
      <w:pPr>
        <w:keepLines/>
        <w:tabs>
          <w:tab w:val="right" w:leader="dot" w:pos="9360"/>
        </w:tabs>
        <w:spacing w:before="196" w:after="0" w:line="340" w:lineRule="exact"/>
        <w:ind w:left="504" w:right="1120" w:hanging="504"/>
      </w:pPr>
      <w:r>
        <w:rPr>
          <w:i/>
          <w:iCs/>
        </w:rPr>
        <w:t xml:space="preserve">Jackson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w:t>
      </w:r>
      <w:r>
        <w:br/>
      </w:r>
      <w:r>
        <w:t xml:space="preserve">746</w:t>
      </w:r>
      <w:r>
        <w:t xml:space="preserve"> </w:t>
      </w:r>
      <w:r>
        <w:t xml:space="preserve">F.3d</w:t>
      </w:r>
      <w:r>
        <w:t xml:space="preserve"> </w:t>
      </w:r>
      <w:r>
        <w:t xml:space="preserve">953</w:t>
      </w:r>
      <w:r>
        <w:t xml:space="preserve"> </w:t>
      </w:r>
      <w:r>
        <w:t xml:space="preserve">(9th</w:t>
      </w:r>
      <w:r>
        <w:t xml:space="preserve"> </w:t>
      </w:r>
      <w:r>
        <w:t xml:space="preserve">Cir.</w:t>
      </w:r>
      <w:r>
        <w:t xml:space="preserve"> </w:t>
      </w:r>
      <w:r>
        <w:t xml:space="preserve">2014)</w:t>
      </w:r>
      <w:r>
        <w:t xml:space="preserve">   </w:t>
      </w:r>
      <w:r>
        <w:tab/>
      </w:r>
      <w:r>
        <w:t xml:space="preserve">3</w:t>
      </w:r>
    </w:p>
    <w:p>
      <w:pPr>
        <w:keepLines/>
        <w:tabs>
          <w:tab w:val="right" w:leader="dot" w:pos="9360"/>
        </w:tabs>
        <w:spacing w:before="196" w:after="0" w:line="340" w:lineRule="exact"/>
        <w:ind w:left="504" w:right="1120" w:hanging="504"/>
      </w:pPr>
      <w:r>
        <w:rPr>
          <w:i/>
          <w:iCs/>
        </w:rPr>
        <w:t xml:space="preserve">New</w:t>
      </w:r>
      <w:r>
        <w:rPr>
          <w:i/>
          <w:iCs/>
        </w:rPr>
        <w:t xml:space="preserve"> </w:t>
      </w:r>
      <w:r>
        <w:rPr>
          <w:i/>
          <w:iCs/>
        </w:rPr>
        <w:t xml:space="preserve">York</w:t>
      </w:r>
      <w:r>
        <w:rPr>
          <w:i/>
          <w:iCs/>
        </w:rPr>
        <w:t xml:space="preserve"> </w:t>
      </w:r>
      <w:r>
        <w:rPr>
          <w:i/>
          <w:iCs/>
        </w:rPr>
        <w:t xml:space="preserve">State</w:t>
      </w:r>
      <w:r>
        <w:rPr>
          <w:i/>
          <w:iCs/>
        </w:rPr>
        <w:t xml:space="preserve"> </w:t>
      </w:r>
      <w:r>
        <w:rPr>
          <w:i/>
          <w:iCs/>
        </w:rPr>
        <w:t xml:space="preserve">Rifle</w:t>
      </w:r>
      <w:r>
        <w:rPr>
          <w:i/>
          <w:iCs/>
        </w:rPr>
        <w:t xml:space="preserve"> </w:t>
      </w:r>
      <w:r>
        <w:rPr>
          <w:i/>
          <w:iCs/>
        </w:rPr>
        <w:t xml:space="preserve">&amp;</w:t>
      </w:r>
      <w:r>
        <w:rPr>
          <w:i/>
          <w:iCs/>
        </w:rPr>
        <w:t xml:space="preserve"> </w:t>
      </w:r>
      <w:r>
        <w:rPr>
          <w:i/>
          <w:iCs/>
        </w:rPr>
        <w:t xml:space="preserve">Pistol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Bruen</w:t>
      </w:r>
      <w:r>
        <w:t xml:space="preserve">,</w:t>
      </w:r>
      <w:r>
        <w:br/>
      </w:r>
      <w:r>
        <w:t xml:space="preserve">__</w:t>
      </w:r>
      <w:r>
        <w:t xml:space="preserve"> </w:t>
      </w:r>
      <w:r>
        <w:t xml:space="preserve">U.S.</w:t>
      </w:r>
      <w:r>
        <w:t xml:space="preserve"> </w:t>
      </w:r>
      <w:r>
        <w:t xml:space="preserve">__,</w:t>
      </w:r>
      <w:r>
        <w:t xml:space="preserve"> </w:t>
      </w:r>
      <w:r>
        <w:t xml:space="preserve">142</w:t>
      </w:r>
      <w:r>
        <w:t xml:space="preserve"> </w:t>
      </w:r>
      <w:r>
        <w:t xml:space="preserve">S.</w:t>
      </w:r>
      <w:r>
        <w:t xml:space="preserve"> </w:t>
      </w:r>
      <w:r>
        <w:t xml:space="preserve">Ct.</w:t>
      </w:r>
      <w:r>
        <w:t xml:space="preserve"> </w:t>
      </w:r>
      <w:r>
        <w:t xml:space="preserve">2111</w:t>
      </w:r>
      <w:r>
        <w:t xml:space="preserve"> </w:t>
      </w:r>
      <w:r>
        <w:t xml:space="preserve">(2022)</w:t>
      </w:r>
      <w:r>
        <w:t xml:space="preserve">   </w:t>
      </w:r>
      <w:r>
        <w:tab/>
      </w:r>
      <w:r>
        <w:t xml:space="preserve">1, 2, 5</w:t>
      </w:r>
    </w:p>
    <w:p>
      <w:pPr>
        <w:keepLines/>
        <w:tabs>
          <w:tab w:val="right" w:leader="dot" w:pos="9360"/>
        </w:tabs>
        <w:spacing w:before="196" w:after="0" w:line="340" w:lineRule="exact"/>
        <w:ind w:left="504" w:right="1120" w:hanging="504"/>
      </w:pPr>
      <w:r>
        <w:rPr>
          <w:i/>
          <w:iCs/>
        </w:rPr>
        <w:t xml:space="preserve">Renna</w:t>
      </w:r>
      <w:r>
        <w:rPr>
          <w:i/>
          <w:iCs/>
        </w:rPr>
        <w:t xml:space="preserve"> </w:t>
      </w:r>
      <w:r>
        <w:rPr>
          <w:i/>
          <w:iCs/>
        </w:rPr>
        <w:t xml:space="preserve">v.</w:t>
      </w:r>
      <w:r>
        <w:rPr>
          <w:i/>
          <w:iCs/>
        </w:rPr>
        <w:t xml:space="preserve"> </w:t>
      </w:r>
      <w:r>
        <w:rPr>
          <w:i/>
          <w:iCs/>
        </w:rPr>
        <w:t xml:space="preserve">Bonta</w:t>
      </w:r>
      <w:r>
        <w:t xml:space="preserve">,</w:t>
      </w:r>
      <w:r>
        <w:br/>
      </w:r>
      <w:r>
        <w:t xml:space="preserve">No.</w:t>
      </w:r>
      <w:r>
        <w:t xml:space="preserve"> </w:t>
      </w:r>
      <w:r>
        <w:t xml:space="preserve">20</w:t>
        <w:noBreakHyphen/>
        <w:t xml:space="preserve">2190,</w:t>
      </w:r>
      <w:r>
        <w:t xml:space="preserve"> </w:t>
      </w:r>
      <w:r>
        <w:t xml:space="preserve">2023</w:t>
      </w:r>
      <w:r>
        <w:t xml:space="preserve"> </w:t>
      </w:r>
      <w:r>
        <w:t xml:space="preserve">WL</w:t>
      </w:r>
      <w:r>
        <w:t xml:space="preserve"> </w:t>
      </w:r>
      <w:r>
        <w:t xml:space="preserve">2846937</w:t>
      </w:r>
      <w:r>
        <w:t xml:space="preserve"> </w:t>
      </w:r>
      <w:r>
        <w:t xml:space="preserve">(S.D.</w:t>
      </w:r>
      <w:r>
        <w:t xml:space="preserve"> </w:t>
      </w:r>
      <w:r>
        <w:t xml:space="preserve">Cal.</w:t>
      </w:r>
      <w:r>
        <w:t xml:space="preserve"> </w:t>
      </w:r>
      <w:r>
        <w:t xml:space="preserve">Apr.</w:t>
      </w:r>
      <w:r>
        <w:t xml:space="preserve"> </w:t>
      </w:r>
      <w:r>
        <w:t xml:space="preserve">3,</w:t>
      </w:r>
      <w:r>
        <w:t xml:space="preserve"> </w:t>
      </w:r>
      <w:r>
        <w:t xml:space="preserve">2023)</w:t>
      </w:r>
      <w:r>
        <w:t xml:space="preserve">   </w:t>
      </w:r>
      <w:r>
        <w:tab/>
      </w:r>
      <w:r>
        <w:t xml:space="preserve">3</w:t>
      </w:r>
    </w:p>
    <w:p>
      <w:pPr>
        <w:keepLines/>
        <w:tabs>
          <w:tab w:val="right" w:leader="dot" w:pos="9360"/>
        </w:tabs>
        <w:spacing w:before="196" w:after="0" w:line="340" w:lineRule="exact"/>
        <w:ind w:left="504" w:right="1260" w:hanging="504"/>
      </w:pPr>
      <w:r>
        <w:rPr>
          <w:i/>
          <w:iCs/>
        </w:rPr>
        <w:t xml:space="preserve">Teixeira</w:t>
      </w:r>
      <w:r>
        <w:rPr>
          <w:i/>
          <w:iCs/>
        </w:rPr>
        <w:t xml:space="preserve"> </w:t>
      </w:r>
      <w:r>
        <w:rPr>
          <w:i/>
          <w:iCs/>
        </w:rPr>
        <w:t xml:space="preserve">v.</w:t>
      </w:r>
      <w:r>
        <w:rPr>
          <w:i/>
          <w:iCs/>
        </w:rPr>
        <w:t xml:space="preserve"> </w:t>
      </w:r>
      <w:r>
        <w:rPr>
          <w:i/>
          <w:iCs/>
        </w:rPr>
        <w:t xml:space="preserve">County</w:t>
      </w:r>
      <w:r>
        <w:rPr>
          <w:i/>
          <w:iCs/>
        </w:rPr>
        <w:t xml:space="preserve"> </w:t>
      </w:r>
      <w:r>
        <w:rPr>
          <w:i/>
          <w:iCs/>
        </w:rPr>
        <w:t xml:space="preserve">of</w:t>
      </w:r>
      <w:r>
        <w:rPr>
          <w:i/>
          <w:iCs/>
        </w:rPr>
        <w:t xml:space="preserve"> </w:t>
      </w:r>
      <w:r>
        <w:rPr>
          <w:i/>
          <w:iCs/>
        </w:rPr>
        <w:t xml:space="preserve">Alameda</w:t>
      </w:r>
      <w:r>
        <w:t xml:space="preserve">,</w:t>
      </w:r>
      <w:r>
        <w:br/>
      </w:r>
      <w:r>
        <w:t xml:space="preserve">873</w:t>
      </w:r>
      <w:r>
        <w:t xml:space="preserve"> </w:t>
      </w:r>
      <w:r>
        <w:t xml:space="preserve">F.3d</w:t>
      </w:r>
      <w:r>
        <w:t xml:space="preserve"> </w:t>
      </w:r>
      <w:r>
        <w:t xml:space="preserve">670</w:t>
      </w:r>
      <w:r>
        <w:t xml:space="preserve"> </w:t>
      </w:r>
      <w:r>
        <w:t xml:space="preserve">(9th</w:t>
      </w:r>
      <w:r>
        <w:t xml:space="preserve"> </w:t>
      </w:r>
      <w:r>
        <w:t xml:space="preserve">Cir.</w:t>
      </w:r>
      <w:r>
        <w:t xml:space="preserve"> </w:t>
      </w:r>
      <w:r>
        <w:t xml:space="preserve">2017)</w:t>
      </w:r>
      <w:r>
        <w:t xml:space="preserve"> </w:t>
      </w:r>
      <w:r>
        <w:t xml:space="preserve">(en</w:t>
      </w:r>
      <w:r>
        <w:t xml:space="preserve"> </w:t>
      </w:r>
      <w:r>
        <w:t xml:space="preserve">banc)</w:t>
      </w:r>
      <w:r>
        <w:t xml:space="preserve">   </w:t>
      </w:r>
      <w:r>
        <w:tab/>
      </w:r>
      <w:r>
        <w:t xml:space="preserve">3, 4, 5, 6, 7</w:t>
      </w:r>
    </w:p>
    <w:p>
      <w:pPr>
        <w:keepLines/>
        <w:tabs>
          <w:tab w:val="right" w:leader="dot" w:pos="9360"/>
        </w:tabs>
        <w:spacing w:before="196" w:after="0" w:line="340" w:lineRule="exact"/>
        <w:ind w:left="504" w:right="11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Marzzarella</w:t>
      </w:r>
      <w:r>
        <w:t xml:space="preserve">,</w:t>
      </w:r>
      <w:r>
        <w:br/>
      </w:r>
      <w:r>
        <w:t xml:space="preserve">614</w:t>
      </w:r>
      <w:r>
        <w:t xml:space="preserve"> </w:t>
      </w:r>
      <w:r>
        <w:t xml:space="preserve">F.3d</w:t>
      </w:r>
      <w:r>
        <w:t xml:space="preserve"> </w:t>
      </w:r>
      <w:r>
        <w:t xml:space="preserve">85</w:t>
      </w:r>
      <w:r>
        <w:t xml:space="preserve"> </w:t>
      </w:r>
      <w:r>
        <w:t xml:space="preserve">(3d</w:t>
      </w:r>
      <w:r>
        <w:t xml:space="preserve"> </w:t>
      </w:r>
      <w:r>
        <w:t xml:space="preserve">Cir.</w:t>
      </w:r>
      <w:r>
        <w:t xml:space="preserve"> </w:t>
      </w:r>
      <w:r>
        <w:t xml:space="preserve">2010)</w:t>
      </w:r>
      <w:r>
        <w:t xml:space="preserve">   </w:t>
      </w:r>
      <w:r>
        <w:tab/>
      </w:r>
      <w:r>
        <w:t xml:space="preserve">4</w:t>
      </w:r>
    </w:p>
    <w:p>
      <w:pPr>
        <w:keepNext/>
        <w:keepLines/>
        <w:tabs>
          <w:tab w:val="right" w:pos="9360"/>
        </w:tabs>
        <w:spacing w:before="392" w:after="56" w:line="340" w:lineRule="exact"/>
      </w:pPr>
      <w:r>
        <w:rPr>
          <w:b/>
          <w:bCs/>
        </w:rPr>
        <w:t xml:space="preserve">Constitutional Provisions:</w:t>
      </w:r>
    </w:p>
    <w:p>
      <w:pPr>
        <w:keepLines/>
        <w:tabs>
          <w:tab w:val="right" w:leader="dot" w:pos="9360"/>
        </w:tabs>
        <w:spacing w:before="196" w:after="0" w:line="340" w:lineRule="exact"/>
        <w:ind w:left="504" w:right="1120" w:hanging="504"/>
      </w:pPr>
      <w:r>
        <w:t xml:space="preserve">U.S.</w:t>
      </w:r>
      <w:r>
        <w:t xml:space="preserve"> </w:t>
      </w:r>
      <w:r>
        <w:t xml:space="preserve">Const.</w:t>
      </w:r>
      <w:r>
        <w:t xml:space="preserve"> </w:t>
      </w:r>
      <w:r>
        <w:t xml:space="preserve">amend.</w:t>
      </w:r>
      <w:r>
        <w:t xml:space="preserve"> </w:t>
      </w:r>
      <w:r>
        <w:t xml:space="preserve">I</w:t>
      </w:r>
      <w:r>
        <w:t xml:space="preserve">   </w:t>
      </w:r>
      <w:r>
        <w:tab/>
      </w:r>
      <w:r>
        <w:t xml:space="preserve">1</w:t>
      </w:r>
    </w:p>
    <w:p>
      <w:pPr>
        <w:keepLines/>
        <w:tabs>
          <w:tab w:val="right" w:leader="dot" w:pos="9360"/>
        </w:tabs>
        <w:spacing w:before="196" w:after="0" w:line="340" w:lineRule="exact"/>
        <w:ind w:left="504" w:right="1540" w:hanging="504"/>
      </w:pPr>
      <w:r>
        <w:t xml:space="preserve">U.S.</w:t>
      </w:r>
      <w:r>
        <w:t xml:space="preserve"> </w:t>
      </w:r>
      <w:r>
        <w:t xml:space="preserve">Const.</w:t>
      </w:r>
      <w:r>
        <w:t xml:space="preserve"> </w:t>
      </w:r>
      <w:r>
        <w:t xml:space="preserve">amend.</w:t>
      </w:r>
      <w:r>
        <w:t xml:space="preserve"> </w:t>
      </w:r>
      <w:r>
        <w:t xml:space="preserve">II</w:t>
      </w:r>
      <w:r>
        <w:t xml:space="preserve">   </w:t>
      </w:r>
      <w:r>
        <w:tab/>
      </w:r>
      <w:r>
        <w:t xml:space="preserve">1, 2, 3, 4, 6, 7</w:t>
      </w:r>
    </w:p>
    <w:p>
      <w:pPr>
        <w:keepNext/>
        <w:keepLines/>
        <w:tabs>
          <w:tab w:val="right" w:pos="9360"/>
        </w:tabs>
        <w:spacing w:before="392" w:after="56" w:line="340" w:lineRule="exact"/>
      </w:pPr>
      <w:r>
        <w:rPr>
          <w:b/>
          <w:bCs/>
        </w:rPr>
        <w:t xml:space="preserve">Statutes:</w:t>
      </w:r>
    </w:p>
    <w:p>
      <w:pPr>
        <w:keepLines/>
        <w:tabs>
          <w:tab w:val="right" w:leader="dot" w:pos="9360"/>
        </w:tabs>
        <w:spacing w:before="196" w:after="0" w:line="340" w:lineRule="exact"/>
        <w:ind w:left="504" w:right="1120" w:hanging="504"/>
      </w:pPr>
      <w:r>
        <w:t xml:space="preserve">Assembly</w:t>
      </w:r>
      <w:r>
        <w:t xml:space="preserve"> </w:t>
      </w:r>
      <w:r>
        <w:t xml:space="preserve">Bill</w:t>
      </w:r>
      <w:r>
        <w:t xml:space="preserve"> </w:t>
      </w:r>
      <w:r>
        <w:t xml:space="preserve">893</w:t>
      </w:r>
      <w:r>
        <w:t xml:space="preserve">   </w:t>
      </w:r>
      <w:r>
        <w:tab/>
      </w:r>
      <w:r>
        <w:t xml:space="preserve">1, 3, 7</w:t>
      </w:r>
    </w:p>
    <w:p>
      <w:pPr>
        <w:keepNext/>
        <w:keepLines/>
        <w:tabs>
          <w:tab w:val="right" w:pos="9360"/>
        </w:tabs>
        <w:spacing w:before="392" w:after="56" w:line="340" w:lineRule="exact"/>
      </w:pPr>
      <w:r>
        <w:rPr>
          <w:b/>
          <w:bCs/>
        </w:rPr>
        <w:t xml:space="preserve">Rules:</w:t>
      </w:r>
    </w:p>
    <w:p>
      <w:pPr>
        <w:keepLines/>
        <w:tabs>
          <w:tab w:val="right" w:leader="dot" w:pos="9360"/>
        </w:tabs>
        <w:spacing w:before="196" w:after="0" w:line="340" w:lineRule="exact"/>
        <w:ind w:left="504" w:right="1120" w:hanging="504"/>
      </w:pPr>
      <w:r>
        <w:t xml:space="preserve">Fed.</w:t>
      </w:r>
      <w:r>
        <w:t xml:space="preserve"> </w:t>
      </w:r>
      <w:r>
        <w:t xml:space="preserve">R.</w:t>
      </w:r>
      <w:r>
        <w:t xml:space="preserve"> </w:t>
      </w:r>
      <w:r>
        <w:t xml:space="preserve">Civ.</w:t>
      </w:r>
      <w:r>
        <w:t xml:space="preserve"> </w:t>
      </w:r>
      <w:r>
        <w:t xml:space="preserve">P.</w:t>
      </w:r>
      <w:r>
        <w:t xml:space="preserve"> </w:t>
      </w:r>
      <w:r>
        <w:t xml:space="preserve">12</w:t>
      </w:r>
      <w:r>
        <w:t xml:space="preserve">   </w:t>
      </w:r>
      <w:r>
        <w:tab/>
      </w:r>
      <w:r>
        <w:t xml:space="preserve">1, 2, 8</w:t>
      </w:r>
    </w:p>
    <w:p>
      <w:pPr>
        <w:keepNext/>
        <w:keepLines/>
        <w:tabs>
          <w:tab w:val="right" w:pos="9360"/>
        </w:tabs>
        <w:spacing w:before="392" w:after="56" w:line="340" w:lineRule="exact"/>
      </w:pPr>
      <w:r>
        <w:rPr>
          <w:b/>
          <w:bCs/>
        </w:rPr>
        <w:t xml:space="preserve">Other Authorities:</w:t>
      </w:r>
    </w:p>
    <w:p>
      <w:pPr>
        <w:keepLines/>
        <w:tabs>
          <w:tab w:val="right" w:leader="dot" w:pos="9360"/>
        </w:tabs>
        <w:spacing w:before="196" w:after="0" w:line="340" w:lineRule="exact"/>
        <w:ind w:left="504" w:right="1120" w:hanging="504"/>
      </w:pPr>
      <w:r>
        <w:t xml:space="preserve">David</w:t>
      </w:r>
      <w:r>
        <w:t xml:space="preserve"> </w:t>
      </w:r>
      <w:r>
        <w:t xml:space="preserve">B.</w:t>
      </w:r>
      <w:r>
        <w:t xml:space="preserve"> </w:t>
      </w:r>
      <w:r>
        <w:t xml:space="preserve">Kopel,</w:t>
      </w:r>
      <w:r>
        <w:t xml:space="preserve"> </w:t>
      </w:r>
      <w:r>
        <w:t xml:space="preserve">Does</w:t>
      </w:r>
      <w:r>
        <w:t xml:space="preserve"> </w:t>
      </w:r>
      <w:r>
        <w:t xml:space="preserve">the</w:t>
      </w:r>
      <w:r>
        <w:t xml:space="preserve"> </w:t>
      </w:r>
      <w:r>
        <w:t xml:space="preserve">Second</w:t>
      </w:r>
      <w:r>
        <w:t xml:space="preserve"> </w:t>
      </w:r>
      <w:r>
        <w:t xml:space="preserve">Amendment</w:t>
      </w:r>
      <w:r>
        <w:t xml:space="preserve"> </w:t>
      </w:r>
      <w:r>
        <w:t xml:space="preserve">Protect</w:t>
      </w:r>
      <w:r>
        <w:t xml:space="preserve"> </w:t>
      </w:r>
      <w:r>
        <w:t xml:space="preserve">Firearms</w:t>
      </w:r>
      <w:r>
        <w:t xml:space="preserve"> </w:t>
      </w:r>
      <w:r>
        <w:t xml:space="preserve">Commerce?</w:t>
      </w:r>
      <w:r>
        <w:t xml:space="preserve">,</w:t>
      </w:r>
      <w:r>
        <w:br/>
      </w:r>
      <w:r>
        <w:t xml:space="preserve">127</w:t>
      </w:r>
      <w:r>
        <w:t xml:space="preserve"> </w:t>
      </w:r>
      <w:r>
        <w:t xml:space="preserve">Harv.</w:t>
      </w:r>
      <w:r>
        <w:t xml:space="preserve"> </w:t>
      </w:r>
      <w:r>
        <w:t xml:space="preserve">L.</w:t>
      </w:r>
      <w:r>
        <w:t xml:space="preserve"> </w:t>
      </w:r>
      <w:r>
        <w:t xml:space="preserve">Rev.</w:t>
      </w:r>
      <w:r>
        <w:t xml:space="preserve"> </w:t>
      </w:r>
      <w:r>
        <w:t xml:space="preserve">F.</w:t>
      </w:r>
      <w:r>
        <w:t xml:space="preserve"> </w:t>
      </w:r>
      <w:r>
        <w:t xml:space="preserve">230</w:t>
      </w:r>
      <w:r>
        <w:t xml:space="preserve"> </w:t>
      </w:r>
      <w:r>
        <w:t xml:space="preserve">(2014)</w:t>
      </w:r>
      <w:r>
        <w:t xml:space="preserve">   </w:t>
      </w:r>
      <w:r>
        <w:tab/>
      </w:r>
      <w:r>
        <w:t xml:space="preserve">4</w:t>
      </w:r>
    </w:p>
    <w:p>
      <w:pPr>
        <w:spacing w:before="0" w:after="0" w:line="20" w:lineRule="exact"/>
        <w:sectPr>
          <w:footerReference w:type="default" r:id="rIdFtrPage"/>
          <w:pgSz w:w="12240" w:h="15840"/>
          <w:pgMar w:top="1440" w:right="1440"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INTRODUCTION</w:t>
      </w:r>
    </w:p>
    <w:p>
      <w:pPr>
        <w:pStyle w:val="FirstParagraph"/>
      </w:pPr>
      <w:r>
        <w:t xml:space="preserve">As Appellants have shown, the district court evaded its duty to fully analyze whether AB 893 comports with the text and history of the Second Amendment as it was required to do under the Supreme Court’s recent decision in</w:t>
      </w:r>
      <w:r>
        <w:t xml:space="preserve"> </w:t>
      </w:r>
      <w:r>
        <w:rPr>
          <w:i/>
          <w:iCs/>
        </w:rPr>
        <w:t xml:space="preserve">New York State Rifle &amp; Pistol Ass’n v. Bruen</w:t>
      </w:r>
      <w:r>
        <w:t xml:space="preserve">, __ U.S. __, 142 S. Ct. 2111 (2022). Instead, the court casually dismissed Appellants’ claims offhand because they had not alleged the total destruction of their right to acquire arms. As for the court’s treatment of Appellants’ First Amendment claims, and even setting aside (but not waiving) their pure speech claims, the district court failed to fully apply the commercial speech doctrine to Appellants’ claims as required by</w:t>
      </w:r>
      <w:r>
        <w:t xml:space="preserve"> </w:t>
      </w:r>
      <w:r>
        <w:rPr>
          <w:i/>
          <w:iCs/>
        </w:rPr>
        <w:t xml:space="preserve">Central Hudson Gas &amp; Electric Commission v. Public Services Commission</w:t>
      </w:r>
      <w:r>
        <w:t xml:space="preserve">, 447 U.S. 557 (1980). Both are plain errors that call for summary reversal.</w:t>
      </w:r>
    </w:p>
    <w:p>
      <w:pPr>
        <w:pStyle w:val="BodyText"/>
      </w:pPr>
      <w:r>
        <w:t xml:space="preserve">Appellant’s equal protection claims are, at a minimum, cross-relevant to their First Amendment claims on a theory of animus. The differential treatment by state actors on a matter of fundamental rights is actionable under the Equal Protection clause. Because unequal treatment is a question of fact, and because this claim was dismissed on a Rule 12 motion, the trial court committed reversible error.</w:t>
      </w:r>
    </w:p>
    <w:p>
      <w:pPr>
        <w:pStyle w:val="BodyText"/>
      </w:pPr>
      <w:r>
        <w:t xml:space="preserve">Aside from introducing argument and evidence that was not considered by the district court below and improperly injecting factual disputes into this appeal of Rule 12 dismissal of Appellants’ claims, the State’s responsive brief does little to rebut</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340" w:lineRule="exact"/>
        <w:ind w:left="0" w:firstLine="0"/>
        <w:jc w:val="center"/>
      </w:pPr>
      <w:r>
        <w:rPr>
          <w:b/>
          <w:bCs/>
        </w:rPr>
        <w:t xml:space="preserve">I.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Rule</w:t>
      </w:r>
      <w:r>
        <w:rPr>
          <w:b/>
          <w:bCs/>
        </w:rPr>
        <w:t xml:space="preserve"> </w:t>
      </w:r>
      <w:r>
        <w:rPr>
          <w:b/>
          <w:bCs/>
        </w:rPr>
        <w:t xml:space="preserve">12</w:t>
      </w:r>
      <w:r>
        <w:rPr>
          <w:b/>
          <w:bCs/>
        </w:rPr>
        <w:t xml:space="preserve"> </w:t>
      </w:r>
      <w:r>
        <w:rPr>
          <w:b/>
          <w:bCs/>
        </w:rPr>
        <w:t xml:space="preserve">Dismissal</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Well-pled</w:t>
      </w:r>
      <w:r>
        <w:rPr>
          <w:b/>
          <w:bCs/>
        </w:rPr>
        <w:t xml:space="preserve"> </w:t>
      </w:r>
      <w:r>
        <w:rPr>
          <w:b/>
          <w:bCs/>
        </w:rPr>
        <w:t xml:space="preserve">Second</w:t>
      </w:r>
      <w:r>
        <w:rPr>
          <w:b/>
          <w:bCs/>
        </w:rPr>
        <w:t xml:space="preserve"> </w:t>
      </w:r>
      <w:r>
        <w:rPr>
          <w:b/>
          <w:bCs/>
        </w:rPr>
        <w:t xml:space="preserve">Amendment</w:t>
      </w:r>
      <w:r>
        <w:rPr>
          <w:b/>
          <w:bCs/>
        </w:rPr>
        <w:t xml:space="preserve"> </w:t>
      </w:r>
      <w:r>
        <w:rPr>
          <w:b/>
          <w:bCs/>
        </w:rPr>
        <w:t xml:space="preserve">Claim</w:t>
      </w:r>
      <w:r>
        <w:rPr>
          <w:b/>
          <w:bCs/>
        </w:rPr>
        <w:t xml:space="preserve"> </w:t>
      </w:r>
      <w:r>
        <w:rPr>
          <w:b/>
          <w:bCs/>
        </w:rPr>
        <w:t xml:space="preserve">Is</w:t>
      </w:r>
      <w:r>
        <w:rPr>
          <w:b/>
          <w:bCs/>
        </w:rPr>
        <w:t xml:space="preserve"> </w:t>
      </w:r>
      <w:r>
        <w:rPr>
          <w:b/>
          <w:bCs/>
        </w:rPr>
        <w:t xml:space="preserve">Reversible</w:t>
      </w:r>
      <w:r>
        <w:rPr>
          <w:b/>
          <w:bCs/>
        </w:rPr>
        <w:t xml:space="preserve"> </w:t>
      </w:r>
      <w:r>
        <w:rPr>
          <w:b/>
          <w:bCs/>
        </w:rPr>
        <w:t xml:space="preserve">Error</w:t>
      </w:r>
    </w:p>
    <w:p>
      <w:pPr>
        <w:pStyle w:val="Heading3"/>
        <w:keepNext/>
        <w:keepLines/>
        <w:spacing w:before="308" w:after="252" w:line="340" w:lineRule="exact"/>
        <w:ind w:left="1440" w:hanging="720"/>
      </w:pPr>
      <w:r>
        <w:rPr>
          <w:b/>
          <w:bCs/>
        </w:rPr>
        <w:t xml:space="preserve">A.</w:t>
      </w:r>
      <w:r>
        <w:rPr>
          <w:b/>
          <w:bCs/>
        </w:rP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Improperly</w:t>
      </w:r>
      <w:r>
        <w:rPr>
          <w:b/>
          <w:bCs/>
        </w:rPr>
        <w:t xml:space="preserve"> </w:t>
      </w:r>
      <w:r>
        <w:rPr>
          <w:b/>
          <w:bCs/>
        </w:rPr>
        <w:t xml:space="preserve">Relied</w:t>
      </w:r>
      <w:r>
        <w:rPr>
          <w:b/>
          <w:bCs/>
        </w:rPr>
        <w:t xml:space="preserve"> </w:t>
      </w:r>
      <w:r>
        <w:rPr>
          <w:b/>
          <w:bCs/>
        </w:rPr>
        <w:t xml:space="preserve">on</w:t>
      </w:r>
      <w:r>
        <w:rPr>
          <w:b/>
          <w:bCs/>
        </w:rPr>
        <w:t xml:space="preserve"> </w:t>
      </w:r>
      <w:r>
        <w:rPr>
          <w:b/>
          <w:bCs/>
          <w:i/>
          <w:iCs/>
        </w:rPr>
        <w:t xml:space="preserve">Texeira</w:t>
      </w:r>
      <w:r>
        <w:rPr>
          <w:b/>
          <w:bCs/>
        </w:rPr>
        <w:t xml:space="preserve"> </w:t>
      </w:r>
      <w:r>
        <w:rPr>
          <w:b/>
          <w:bCs/>
        </w:rPr>
        <w:t xml:space="preserve">to</w:t>
      </w:r>
      <w:r>
        <w:rPr>
          <w:b/>
          <w:bCs/>
        </w:rPr>
        <w:t xml:space="preserve"> </w:t>
      </w:r>
      <w:r>
        <w:rPr>
          <w:b/>
          <w:bCs/>
        </w:rPr>
        <w:t xml:space="preserve">Short-circuit</w:t>
      </w:r>
      <w:r>
        <w:rPr>
          <w:b/>
          <w:bCs/>
        </w:rPr>
        <w:t xml:space="preserve"> </w:t>
      </w:r>
      <w:r>
        <w:rPr>
          <w:b/>
          <w:bCs/>
        </w:rPr>
        <w:t xml:space="preserve">the</w:t>
      </w:r>
      <w:r>
        <w:rPr>
          <w:b/>
          <w:bCs/>
        </w:rPr>
        <w:t xml:space="preserve"> </w:t>
      </w:r>
      <w:r>
        <w:rPr>
          <w:b/>
          <w:bCs/>
        </w:rPr>
        <w:t xml:space="preserve">Text-and-History</w:t>
      </w:r>
      <w:r>
        <w:rPr>
          <w:b/>
          <w:bCs/>
        </w:rPr>
        <w:t xml:space="preserve"> </w:t>
      </w:r>
      <w:r>
        <w:rPr>
          <w:b/>
          <w:bCs/>
        </w:rPr>
        <w:t xml:space="preserve">Based</w:t>
      </w:r>
      <w:r>
        <w:rPr>
          <w:b/>
          <w:bCs/>
        </w:rPr>
        <w:t xml:space="preserve"> </w:t>
      </w:r>
      <w:r>
        <w:rPr>
          <w:b/>
          <w:bCs/>
        </w:rPr>
        <w:t xml:space="preserve">Analysis</w:t>
      </w:r>
      <w:r>
        <w:rPr>
          <w:b/>
          <w:bCs/>
        </w:rPr>
        <w:t xml:space="preserve"> </w:t>
      </w:r>
      <w:r>
        <w:rPr>
          <w:b/>
          <w:bCs/>
        </w:rPr>
        <w:t xml:space="preserve">Required</w:t>
      </w:r>
      <w:r>
        <w:rPr>
          <w:b/>
          <w:bCs/>
        </w:rPr>
        <w:t xml:space="preserve"> </w:t>
      </w:r>
      <w:r>
        <w:rPr>
          <w:b/>
          <w:bCs/>
        </w:rPr>
        <w:t xml:space="preserve">Under</w:t>
      </w:r>
      <w:r>
        <w:rPr>
          <w:b/>
          <w:bCs/>
        </w:rPr>
        <w:t xml:space="preserve"> </w:t>
      </w:r>
      <w:r>
        <w:rPr>
          <w:b/>
          <w:bCs/>
          <w:i/>
          <w:iCs/>
        </w:rPr>
        <w:t xml:space="preserve">Bruen</w:t>
      </w:r>
    </w:p>
    <w:p>
      <w:pPr>
        <w:pStyle w:val="BodyText"/>
      </w:pPr>
      <w:r>
        <w:t xml:space="preserve">As Appellants’ Opening Brief explains, under the Supreme Court’s recent decision in</w:t>
      </w:r>
      <w:r>
        <w:t xml:space="preserve"> </w:t>
      </w:r>
      <w:r>
        <w:rPr>
          <w:i/>
          <w:iCs/>
        </w:rPr>
        <w:t xml:space="preserve">Bruen</w:t>
      </w:r>
      <w:r>
        <w:t xml:space="preserve">, 142 S. Ct. at 2117</w:t>
      </w:r>
      <w:r>
        <w:noBreakHyphen/>
      </w:r>
      <w:r>
        <w:t xml:space="preserve">18, it is no longer appropriate for courts to subject Second Amendment claims to multi-step, interest-balancing tests, like intermediate scrutiny. A.O.B.16. Of course, the right to keep and bear arms must be implicated.</w:t>
      </w:r>
      <w:r>
        <w:t xml:space="preserve"> </w:t>
      </w:r>
      <w:r>
        <w:rPr>
          <w:i/>
          <w:iCs/>
        </w:rPr>
        <w:t xml:space="preserve">Bruen</w:t>
      </w:r>
      <w:r>
        <w:t xml:space="preserve">, 142 S. Ct. at 2129. But, in most cases, this requires no in-depth analysis. The “plain text” of the Amendment controls. If the restricted conduct is covered by the Second Amendment’s “plain text,” the conduct is presumptively protected,</w:t>
      </w:r>
      <w:r>
        <w:t xml:space="preserve"> </w:t>
      </w:r>
      <w:r>
        <w:rPr>
          <w:i/>
          <w:iCs/>
        </w:rPr>
        <w:t xml:space="preserve">id.</w:t>
      </w:r>
      <w:r>
        <w:t xml:space="preserve"> </w:t>
      </w:r>
      <w:r>
        <w:t xml:space="preserve">at 2126, 2129</w:t>
      </w:r>
      <w:r>
        <w:noBreakHyphen/>
      </w:r>
      <w:r>
        <w:t xml:space="preserve">30, and “the government must affirmatively prove that its firearms regulation is part of the historical tradition that delimits the outer bounds of the right to keep and bear arms,”</w:t>
      </w:r>
      <w:r>
        <w:t xml:space="preserve"> </w:t>
      </w:r>
      <w:r>
        <w:rPr>
          <w:i/>
          <w:iCs/>
        </w:rPr>
        <w:t xml:space="preserve">id.</w:t>
      </w:r>
      <w:r>
        <w:t xml:space="preserve"> </w:t>
      </w:r>
      <w:r>
        <w:t xml:space="preserve">at 2127.</w:t>
      </w:r>
    </w:p>
    <w:p>
      <w:pPr>
        <w:pStyle w:val="BodyText"/>
      </w:pPr>
      <w:r>
        <w:t xml:space="preserve">It can hardly be disputed that the conduct Appellants seek to engage in at gun shows, including sales, is within the Second Amendment’s “plain text.” A.O.B.17</w:t>
      </w:r>
      <w:r>
        <w:noBreakHyphen/>
      </w:r>
      <w:r>
        <w:t xml:space="preserve">21. The operative complaint alleges that Appellants, as gun show attendees, vendors, and promoters, seek to engage in otherwise lawful activities related to commerce in firearms, ammunition, and firearm parts. 2-ER</w:t>
      </w:r>
      <w:r>
        <w:noBreakHyphen/>
      </w:r>
      <w:r>
        <w:t xml:space="preserve">135</w:t>
      </w:r>
      <w:r>
        <w:noBreakHyphen/>
      </w:r>
      <w:r>
        <w:t xml:space="preserve">41. “Because the Second Amendment protects the individual’s right to keep and bear arms in self-defense, it also must protect the attendant rights of gun ownership that make keeping and bearing arms meaningful.”</w:t>
      </w:r>
      <w:r>
        <w:t xml:space="preserve"> </w:t>
      </w:r>
      <w:r>
        <w:rPr>
          <w:i/>
          <w:iCs/>
        </w:rPr>
        <w:t xml:space="preserve">B&amp;L Prods., Inc. v. Newsom</w:t>
      </w:r>
      <w:r>
        <w:t xml:space="preserve">, No. 8:22-cv</w:t>
      </w:r>
      <w:r>
        <w:noBreakHyphen/>
      </w:r>
      <w:r>
        <w:t xml:space="preserve">01518, 2023 WL 7132054 *13 (C.D. Cal. Oct. 30, 2023).</w:t>
      </w:r>
      <w:r>
        <w:rPr>
          <w:rStyle w:val="FootnoteReference"/>
        </w:rPr>
        <w:footnoteReference w:id="9"/>
      </w:r>
      <w:r>
        <w:t xml:space="preserve"> </w:t>
      </w:r>
      <w:r>
        <w:t xml:space="preserve">This includes the right to acquire lawful firearms and ammunition, as this circuit’s precedents have established.</w:t>
      </w:r>
      <w:r>
        <w:t xml:space="preserve"> </w:t>
      </w:r>
      <w:r>
        <w:rPr>
          <w:i/>
          <w:iCs/>
        </w:rPr>
        <w:t xml:space="preserve">See, e.g.</w:t>
      </w:r>
      <w:r>
        <w:t xml:space="preserve">,</w:t>
      </w:r>
      <w:r>
        <w:t xml:space="preserve"> </w:t>
      </w:r>
      <w:r>
        <w:rPr>
          <w:i/>
          <w:iCs/>
        </w:rPr>
        <w:t xml:space="preserve">Teixeira</w:t>
      </w:r>
      <w:r>
        <w:t xml:space="preserve">, 873 F.3d at 677</w:t>
      </w:r>
      <w:r>
        <w:noBreakHyphen/>
      </w:r>
      <w:r>
        <w:t xml:space="preserve">78 (discussing authorities acknowledging the right to acquire arms);</w:t>
      </w:r>
      <w:r>
        <w:t xml:space="preserve"> </w:t>
      </w:r>
      <w:r>
        <w:rPr>
          <w:i/>
          <w:iCs/>
        </w:rPr>
        <w:t xml:space="preserve">Jackson v. City &amp; Cnty. of San Francisco</w:t>
      </w:r>
      <w:r>
        <w:t xml:space="preserve">, 746 F.3d 953, 967</w:t>
      </w:r>
      <w:r>
        <w:noBreakHyphen/>
      </w:r>
      <w:r>
        <w:t xml:space="preserve">68 (9th Cir. 2014) (hollow-point ammunition). At a minimum, California’s gun show ban implicates the right of acquisition.</w:t>
      </w:r>
    </w:p>
    <w:p>
      <w:pPr>
        <w:pStyle w:val="BodyText"/>
      </w:pPr>
      <w:r>
        <w:t xml:space="preserve">The district court failed to hold the State to its burden under</w:t>
      </w:r>
      <w:r>
        <w:t xml:space="preserve"> </w:t>
      </w:r>
      <w:r>
        <w:rPr>
          <w:i/>
          <w:iCs/>
        </w:rPr>
        <w:t xml:space="preserve">Bruen</w:t>
      </w:r>
      <w:r>
        <w:t xml:space="preserve"> </w:t>
      </w:r>
      <w:r>
        <w:t xml:space="preserve">and refused to perform the required historical analysis, holding instead that Appellants’ Second Amendment claim necessarily fails because they did not allege that AB 893 “amount[s] to a prohibition of” the right to acquire guns or ammunition. 1-ER</w:t>
      </w:r>
      <w:r>
        <w:noBreakHyphen/>
      </w:r>
      <w:r>
        <w:t xml:space="preserve">11. The State, arguing that this Court’s en banc decision in</w:t>
      </w:r>
      <w:r>
        <w:t xml:space="preserve"> </w:t>
      </w:r>
      <w:r>
        <w:rPr>
          <w:i/>
          <w:iCs/>
        </w:rPr>
        <w:t xml:space="preserve">Teixeira</w:t>
      </w:r>
      <w:r>
        <w:t xml:space="preserve"> </w:t>
      </w:r>
      <w:r>
        <w:t xml:space="preserve">is still good law because its analysis was rooted in text, history, and tradition, argues that the district court got this right. Appellees’ Br. (“A.B”) 16</w:t>
      </w:r>
      <w:r>
        <w:noBreakHyphen/>
      </w:r>
      <w:r>
        <w:t xml:space="preserve">17 (discussing</w:t>
      </w:r>
      <w:r>
        <w:t xml:space="preserve"> </w:t>
      </w:r>
      <w:r>
        <w:rPr>
          <w:i/>
          <w:iCs/>
        </w:rPr>
        <w:t xml:space="preserve">Teixeira v. County of Alameda</w:t>
      </w:r>
      <w:r>
        <w:t xml:space="preserve">, 873 F.3d 670). The State is wrong.</w:t>
      </w:r>
    </w:p>
    <w:p>
      <w:pPr>
        <w:pStyle w:val="BodyText"/>
      </w:pPr>
      <w:r>
        <w:t xml:space="preserve">First,</w:t>
      </w:r>
      <w:r>
        <w:t xml:space="preserve"> </w:t>
      </w:r>
      <w:r>
        <w:rPr>
          <w:i/>
          <w:iCs/>
        </w:rPr>
        <w:t xml:space="preserve">Teixeira</w:t>
      </w:r>
      <w:r>
        <w:t xml:space="preserve">’s textual and history analysis was limited to its analysis of whether there is an independent right to sell firearms, not to whether there is a right to acquire them. 873 F.3d at 682</w:t>
      </w:r>
      <w:r>
        <w:noBreakHyphen/>
      </w:r>
      <w:r>
        <w:t xml:space="preserve">90.</w:t>
      </w:r>
      <w:r>
        <w:rPr>
          <w:rStyle w:val="FootnoteReference"/>
        </w:rPr>
        <w:footnoteReference w:id="10"/>
      </w:r>
      <w:r>
        <w:t xml:space="preserve"> </w:t>
      </w:r>
      <w:r>
        <w:t xml:space="preserve">The Court summarily rejected</w:t>
      </w:r>
      <w:r>
        <w:t xml:space="preserve"> </w:t>
      </w:r>
      <w:r>
        <w:rPr>
          <w:i/>
          <w:iCs/>
        </w:rPr>
        <w:t xml:space="preserve">Teixeira</w:t>
      </w:r>
      <w:r>
        <w:t xml:space="preserve">’s attempt to assert a “right to acquire arms on behalf of his potential customers,” not because there was no textual or historical basis for claiming such a right exists, but because he had not shown that his customers’ ability to acquire arms in the county had been completely snuffed out.</w:t>
      </w:r>
      <w:r>
        <w:t xml:space="preserve"> </w:t>
      </w:r>
      <w:r>
        <w:rPr>
          <w:i/>
          <w:iCs/>
        </w:rPr>
        <w:t xml:space="preserve">Id.</w:t>
      </w:r>
      <w:r>
        <w:t xml:space="preserve"> </w:t>
      </w:r>
      <w:r>
        <w:t xml:space="preserve">at 678</w:t>
      </w:r>
      <w:r>
        <w:noBreakHyphen/>
      </w:r>
      <w:r>
        <w:t xml:space="preserve">81. But tests requiring plaintiffs to prove that a challenged law imposes some arbitrarily severe burden or “meaningful” restriction,</w:t>
      </w:r>
      <w:r>
        <w:t xml:space="preserve"> </w:t>
      </w:r>
      <w:r>
        <w:rPr>
          <w:i/>
          <w:iCs/>
        </w:rPr>
        <w:t xml:space="preserve">Teixeira</w:t>
      </w:r>
      <w:r>
        <w:t xml:space="preserve">, 873 F.3d at 680, on their Second Amendment rights have no place in a post-</w:t>
      </w:r>
      <w:r>
        <w:rPr>
          <w:i/>
          <w:iCs/>
        </w:rPr>
        <w:t xml:space="preserve">Bruen</w:t>
      </w:r>
      <w:r>
        <w:t xml:space="preserve"> </w:t>
      </w:r>
      <w:r>
        <w:t xml:space="preserve">landscape—if they were ever appropriate. Insisting on such a showing deceptively smuggles burden and interest balancing into the analysis in direct conflict with</w:t>
      </w:r>
      <w:r>
        <w:t xml:space="preserve"> </w:t>
      </w:r>
      <w:r>
        <w:rPr>
          <w:i/>
          <w:iCs/>
        </w:rPr>
        <w:t xml:space="preserve">Bruen</w:t>
      </w:r>
      <w:r>
        <w:t xml:space="preserve">’s (and</w:t>
      </w:r>
      <w:r>
        <w:t xml:space="preserve"> </w:t>
      </w:r>
      <w:r>
        <w:rPr>
          <w:i/>
          <w:iCs/>
        </w:rPr>
        <w:t xml:space="preserve">Heller</w:t>
      </w:r>
      <w:r>
        <w:t xml:space="preserve">’s) clear commands.</w:t>
      </w:r>
      <w:r>
        <w:t xml:space="preserve"> </w:t>
      </w:r>
      <w:r>
        <w:rPr>
          <w:i/>
          <w:iCs/>
        </w:rPr>
        <w:t xml:space="preserve">See</w:t>
      </w:r>
      <w:r>
        <w:t xml:space="preserve"> </w:t>
      </w:r>
      <w:r>
        <w:rPr>
          <w:i/>
          <w:iCs/>
        </w:rPr>
        <w:t xml:space="preserve">Bruen</w:t>
      </w:r>
      <w:r>
        <w:t xml:space="preserve">, 142 S. Ct. at 2129</w:t>
      </w:r>
      <w:r>
        <w:noBreakHyphen/>
      </w:r>
      <w:r>
        <w:t xml:space="preserve">30 (discussing</w:t>
      </w:r>
      <w:r>
        <w:t xml:space="preserve"> </w:t>
      </w:r>
      <w:r>
        <w:rPr>
          <w:i/>
          <w:iCs/>
        </w:rPr>
        <w:t xml:space="preserve">Heller</w:t>
      </w:r>
      <w:r>
        <w:t xml:space="preserve">, 554 U.S. at 634). The district court’s rejection of</w:t>
      </w:r>
      <w:r>
        <w:t xml:space="preserve"> </w:t>
      </w:r>
      <w:r>
        <w:rPr>
          <w:i/>
          <w:iCs/>
        </w:rPr>
        <w:t xml:space="preserve">Bruen</w:t>
      </w:r>
      <w:r>
        <w:t xml:space="preserve">’s text-and-history analysis in favor of</w:t>
      </w:r>
      <w:r>
        <w:t xml:space="preserve"> </w:t>
      </w:r>
      <w:r>
        <w:rPr>
          <w:i/>
          <w:iCs/>
        </w:rPr>
        <w:t xml:space="preserve">Teixeira</w:t>
      </w:r>
      <w:r>
        <w:t xml:space="preserve">’s abrogated “meaningful[] restrict[ion]” test is reversible error.</w:t>
      </w:r>
    </w:p>
    <w:p>
      <w:pPr>
        <w:pStyle w:val="BodyText"/>
      </w:pPr>
      <w:r>
        <w:t xml:space="preserve">What’s more, in</w:t>
      </w:r>
      <w:r>
        <w:t xml:space="preserve"> </w:t>
      </w:r>
      <w:r>
        <w:rPr>
          <w:i/>
          <w:iCs/>
        </w:rPr>
        <w:t xml:space="preserve">Teixeira</w:t>
      </w:r>
      <w:r>
        <w:t xml:space="preserve">, this Court held that “gun buyers have no right to have a gun store in a particular location, at least as long as their access is not meaningfully constrained.” 873 F.3d at 680.</w:t>
      </w:r>
      <w:r>
        <w:t xml:space="preserve"> </w:t>
      </w:r>
      <w:r>
        <w:rPr>
          <w:i/>
          <w:iCs/>
        </w:rPr>
        <w:t xml:space="preserve">Bruen</w:t>
      </w:r>
      <w:r>
        <w:t xml:space="preserve">’s “plain text” analysis does not support construing the right so narrowly. But even if it did,</w:t>
      </w:r>
      <w:r>
        <w:t xml:space="preserve"> </w:t>
      </w:r>
      <w:r>
        <w:rPr>
          <w:i/>
          <w:iCs/>
        </w:rPr>
        <w:t xml:space="preserve">Teixeira</w:t>
      </w:r>
      <w:r>
        <w:t xml:space="preserve">’s straw-man description of a gun buyer’s purported “right to have a gun store in a particular location” conflates the restricted conduct with the restriction itself. This is a critical error. The restricted conduct is not the sale and purchase of firearms at a gun store (or gun show) in a preferred place, but the sale and purchase of firearms, full stop. The restriction is a ban on that conduct in certain places. Because the “plain text” protects the individual right to acquire firearms, ammunition, and firearm parts, the government must prove that its “place” restriction is “consistent with this Nation’s historical tradition of firearm regulation,”</w:t>
      </w:r>
      <w:r>
        <w:t xml:space="preserve"> </w:t>
      </w:r>
      <w:r>
        <w:rPr>
          <w:i/>
          <w:iCs/>
        </w:rPr>
        <w:t xml:space="preserve">Bruen</w:t>
      </w:r>
      <w:r>
        <w:t xml:space="preserve">, 142 S. Ct. 2126. If it can, the restriction would be constitutional—not because there is no “right to have a gun store in a particular location,” but because the government had some historical justification for restrictions on sales in certain spaces.</w:t>
      </w:r>
    </w:p>
    <w:p>
      <w:pPr>
        <w:pStyle w:val="BodyText"/>
      </w:pPr>
      <w:r>
        <w:t xml:space="preserve">Finally, even if one accepts that</w:t>
      </w:r>
      <w:r>
        <w:t xml:space="preserve"> </w:t>
      </w:r>
      <w:r>
        <w:rPr>
          <w:i/>
          <w:iCs/>
        </w:rPr>
        <w:t xml:space="preserve">Teixeira</w:t>
      </w:r>
      <w:r>
        <w:t xml:space="preserve"> </w:t>
      </w:r>
      <w:r>
        <w:t xml:space="preserve">were correct when it was decided and is still good law after</w:t>
      </w:r>
      <w:r>
        <w:t xml:space="preserve"> </w:t>
      </w:r>
      <w:r>
        <w:rPr>
          <w:i/>
          <w:iCs/>
        </w:rPr>
        <w:t xml:space="preserve">Bruen</w:t>
      </w:r>
      <w:r>
        <w:t xml:space="preserve">, it is not helpful to the resolution of Appellants’ Second Amendment claims, as the Central District of California recently observed in the nearly identical</w:t>
      </w:r>
      <w:r>
        <w:t xml:space="preserve"> </w:t>
      </w:r>
      <w:r>
        <w:rPr>
          <w:i/>
          <w:iCs/>
        </w:rPr>
        <w:t xml:space="preserve">B&amp;L Orange County</w:t>
      </w:r>
      <w:r>
        <w:t xml:space="preserve"> </w:t>
      </w:r>
      <w:r>
        <w:t xml:space="preserve">case.</w:t>
      </w:r>
      <w:r>
        <w:t xml:space="preserve"> </w:t>
      </w:r>
      <w:r>
        <w:rPr>
          <w:i/>
          <w:iCs/>
        </w:rPr>
        <w:t xml:space="preserve">See</w:t>
      </w:r>
      <w:r>
        <w:t xml:space="preserve"> </w:t>
      </w:r>
      <w:r>
        <w:rPr>
          <w:i/>
          <w:iCs/>
        </w:rPr>
        <w:t xml:space="preserve">B&amp;L Orange Cnty.</w:t>
      </w:r>
      <w:r>
        <w:t xml:space="preserve">, 2023 WL 7132054, *14</w:t>
      </w:r>
      <w:r>
        <w:noBreakHyphen/>
      </w:r>
      <w:r>
        <w:t xml:space="preserve">15. The</w:t>
      </w:r>
      <w:r>
        <w:t xml:space="preserve"> </w:t>
      </w:r>
      <w:r>
        <w:rPr>
          <w:i/>
          <w:iCs/>
        </w:rPr>
        <w:t xml:space="preserve">Teixeira</w:t>
      </w:r>
      <w:r>
        <w:t xml:space="preserve"> </w:t>
      </w:r>
      <w:r>
        <w:t xml:space="preserve">en banc panel dismissed the plaintiffs’ Second Amendment claim because they had not alleged that the restriction prevented them from acquiring firearms anywhere in the county. 873 F.3d at 678. “The Ninth Circuit reached that conclusion because there were several other gun stores within the county at which residents could purchase firearms and ammunition, including one gun store that was ‘600 feet away from the proposed site of Teixeira’s planned store.’”</w:t>
      </w:r>
      <w:r>
        <w:t xml:space="preserve"> </w:t>
      </w:r>
      <w:r>
        <w:rPr>
          <w:i/>
          <w:iCs/>
        </w:rPr>
        <w:t xml:space="preserve">B&amp;L Orange Cnty.</w:t>
      </w:r>
      <w:r>
        <w:t xml:space="preserve">, 2023 WL 7132054, *14 (quoting</w:t>
      </w:r>
      <w:r>
        <w:t xml:space="preserve"> </w:t>
      </w:r>
      <w:r>
        <w:rPr>
          <w:i/>
          <w:iCs/>
        </w:rPr>
        <w:t xml:space="preserve">Teixeira</w:t>
      </w:r>
      <w:r>
        <w:t xml:space="preserve">, 873 F.3d at 679).</w:t>
      </w:r>
    </w:p>
    <w:p>
      <w:pPr>
        <w:pStyle w:val="BodyText"/>
      </w:pPr>
      <w:r>
        <w:t xml:space="preserve">But here, as in</w:t>
      </w:r>
      <w:r>
        <w:t xml:space="preserve"> </w:t>
      </w:r>
      <w:r>
        <w:rPr>
          <w:i/>
          <w:iCs/>
        </w:rPr>
        <w:t xml:space="preserve">B&amp;L Orange County</w:t>
      </w:r>
      <w:r>
        <w:t xml:space="preserve">, Appellants allege several facts that distinguish this case from</w:t>
      </w:r>
      <w:r>
        <w:t xml:space="preserve"> </w:t>
      </w:r>
      <w:r>
        <w:rPr>
          <w:i/>
          <w:iCs/>
        </w:rPr>
        <w:t xml:space="preserve">Teixeira</w:t>
      </w:r>
      <w:r>
        <w:t xml:space="preserve">.</w:t>
      </w:r>
      <w:r>
        <w:t xml:space="preserve"> </w:t>
      </w:r>
      <w:r>
        <w:rPr>
          <w:i/>
          <w:iCs/>
        </w:rPr>
        <w:t xml:space="preserve">See</w:t>
      </w:r>
      <w:r>
        <w:t xml:space="preserve"> </w:t>
      </w:r>
      <w:r>
        <w:t xml:space="preserve">2-ER</w:t>
      </w:r>
      <w:r>
        <w:noBreakHyphen/>
      </w:r>
      <w:r>
        <w:t xml:space="preserve">135, 156</w:t>
      </w:r>
      <w:r>
        <w:noBreakHyphen/>
      </w:r>
      <w:r>
        <w:t xml:space="preserve">59;</w:t>
      </w:r>
      <w:r>
        <w:t xml:space="preserve"> </w:t>
      </w:r>
      <w:r>
        <w:rPr>
          <w:i/>
          <w:iCs/>
        </w:rPr>
        <w:t xml:space="preserve">see also</w:t>
      </w:r>
      <w:r>
        <w:t xml:space="preserve"> </w:t>
      </w:r>
      <w:r>
        <w:rPr>
          <w:i/>
          <w:iCs/>
        </w:rPr>
        <w:t xml:space="preserve">B&amp;L Orange Cnty.</w:t>
      </w:r>
      <w:r>
        <w:t xml:space="preserve">, 2023 WL 7132054, *14</w:t>
      </w:r>
      <w:r>
        <w:noBreakHyphen/>
      </w:r>
      <w:r>
        <w:t xml:space="preserve">15. For instance, they allege that gun shows are different from gun stores because they are “cultural marketplaces,” 2-ER</w:t>
      </w:r>
      <w:r>
        <w:noBreakHyphen/>
      </w:r>
      <w:r>
        <w:t xml:space="preserve">157, where participants “exchange … products and ideas, knowledge, services, education, entertainment, and recreation,” 2-ER</w:t>
      </w:r>
      <w:r>
        <w:noBreakHyphen/>
      </w:r>
      <w:r>
        <w:t xml:space="preserve">156</w:t>
      </w:r>
      <w:r>
        <w:noBreakHyphen/>
      </w:r>
      <w:r>
        <w:t xml:space="preserve">57. In short, a gun show is a “celebration of America’s ‘gun culture’ that is a natural and essential outgrowth of the constitutional rights that flow from the Second Amendment.” 2-ER</w:t>
      </w:r>
      <w:r>
        <w:noBreakHyphen/>
      </w:r>
      <w:r>
        <w:t xml:space="preserve">156. Participating in that culture, not just exchanging guns for money, “is an important reason people attend B&amp;L gun shows.” 2-ER</w:t>
      </w:r>
      <w:r>
        <w:noBreakHyphen/>
      </w:r>
      <w:r>
        <w:t xml:space="preserve">158. Appellants also allege that they and many others attend gun shows “to exchange knowledge with experienced dealers and firearm enthusiasts that they cannot get anywhere else.” 2-ER</w:t>
      </w:r>
      <w:r>
        <w:noBreakHyphen/>
      </w:r>
      <w:r>
        <w:t xml:space="preserve">158 (emphasis added).</w:t>
      </w:r>
    </w:p>
    <w:p>
      <w:pPr>
        <w:pStyle w:val="BodyText"/>
      </w:pPr>
      <w:r>
        <w:t xml:space="preserve">And, Appellants claim, that “[b]ecause of its large size and unique urban location, the Fairgrounds is a unique, publicly owned venue. There is no other public or private venue of similar size in the area.” 2-ER</w:t>
      </w:r>
      <w:r>
        <w:noBreakHyphen/>
      </w:r>
      <w:r>
        <w:t xml:space="preserve">159. Similarly:</w:t>
      </w:r>
    </w:p>
    <w:p>
      <w:pPr>
        <w:pStyle w:val="BlockText"/>
      </w:pPr>
      <w:r>
        <w:t xml:space="preserve">Because California prohibits the building of similar venues within their districts as a way to prevent competition for available space, there are no venues in the area that offer comparable space and parking needed for gun show events. Plaintiff Crossroads has thus been unable to find a suitable alternate location to the Fairgrounds. 2-ER</w:t>
      </w:r>
      <w:r>
        <w:noBreakHyphen/>
      </w:r>
      <w:r>
        <w:t xml:space="preserve">175.</w:t>
      </w:r>
    </w:p>
    <w:p>
      <w:pPr>
        <w:pStyle w:val="FirstParagraph"/>
      </w:pPr>
      <w:r>
        <w:t xml:space="preserve">Taking these factual allegations as true—as the Court must on a motion to dismiss—it is clear that</w:t>
      </w:r>
      <w:r>
        <w:t xml:space="preserve"> </w:t>
      </w:r>
      <w:r>
        <w:rPr>
          <w:i/>
          <w:iCs/>
        </w:rPr>
        <w:t xml:space="preserve">Teixeira</w:t>
      </w:r>
      <w:r>
        <w:t xml:space="preserve"> </w:t>
      </w:r>
      <w:r>
        <w:t xml:space="preserve">is not on point. Indeed, to paraphrase</w:t>
      </w:r>
      <w:r>
        <w:t xml:space="preserve"> </w:t>
      </w:r>
      <w:r>
        <w:rPr>
          <w:i/>
          <w:iCs/>
        </w:rPr>
        <w:t xml:space="preserve">B&amp;L Orange County</w:t>
      </w:r>
      <w:r>
        <w:t xml:space="preserve">, “the instant action is distinct because there is no alternative gun show in [the district], let alone within ‘600 feet’ of the [Del Mar] Fairgrounds.” 2023 WL 7132054, *15 (citing</w:t>
      </w:r>
      <w:r>
        <w:t xml:space="preserve"> </w:t>
      </w:r>
      <w:r>
        <w:rPr>
          <w:i/>
          <w:iCs/>
        </w:rPr>
        <w:t xml:space="preserve">Teixeira</w:t>
      </w:r>
      <w:r>
        <w:t xml:space="preserve">, 873 F.3d at 679). The existence of brick-and-mortar gun stores within San Diego county makes no difference because California “fail[s] to identify how the general experience of [Appellants’] gun shows can be replicated by alternative forums in the area.”</w:t>
      </w:r>
      <w:r>
        <w:t xml:space="preserve"> </w:t>
      </w:r>
      <w:r>
        <w:rPr>
          <w:i/>
          <w:iCs/>
        </w:rPr>
        <w:t xml:space="preserve">Id.</w:t>
      </w:r>
      <w:r>
        <w:t xml:space="preserve"> </w:t>
      </w:r>
      <w:r>
        <w:t xml:space="preserve">at *14 (footnote omitted).</w:t>
      </w:r>
    </w:p>
    <w:p>
      <w:pPr>
        <w:pStyle w:val="BodyText"/>
      </w:pPr>
      <w:r>
        <w:t xml:space="preserve">Because Appellants have alleged that AB 893 restricts conduct protected by the “plain text” of the Second Amendment,</w:t>
      </w:r>
      <w:r>
        <w:t xml:space="preserve"> </w:t>
      </w:r>
      <w:r>
        <w:rPr>
          <w:i/>
          <w:iCs/>
        </w:rPr>
        <w:t xml:space="preserve">Bruen</w:t>
      </w:r>
      <w:r>
        <w:t xml:space="preserve"> </w:t>
      </w:r>
      <w:r>
        <w:t xml:space="preserve">demands that California prove that the ban is part of the history and tradition of firearm regulation in this country dating back to the Founding. As explained below, and admitted by the government, A.B.29, n.9, this raises a factual question that the district court cannot decide on a motion to dismiss. Nor can this Court decide the issue, in the first instance, on appeal.</w:t>
      </w:r>
      <w:r>
        <w:t xml:space="preserve"> </w:t>
      </w:r>
      <w:r>
        <w:rPr>
          <w:i/>
          <w:iCs/>
        </w:rPr>
        <w:t xml:space="preserve">See</w:t>
      </w:r>
      <w:r>
        <w:t xml:space="preserve"> </w:t>
      </w:r>
      <w:r>
        <w:t xml:space="preserve">A.B.29, n.9.</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588" w:lineRule="exact"/>
        <w:ind w:left="0" w:firstLine="720"/>
      </w:pPr>
      <w:r>
        <w:t xml:space="preserve">For</w:t>
      </w:r>
      <w:r>
        <w:t xml:space="preserve"> </w:t>
      </w:r>
      <w:r>
        <w:t xml:space="preserve">these</w:t>
      </w:r>
      <w:r>
        <w:t xml:space="preserve"> </w:t>
      </w:r>
      <w:r>
        <w:t xml:space="preserve">reasons,</w:t>
      </w:r>
      <w:r>
        <w:t xml:space="preserve"> </w:t>
      </w:r>
      <w:r>
        <w:t xml:space="preserve">the</w:t>
      </w:r>
      <w:r>
        <w:t xml:space="preserve"> </w:t>
      </w:r>
      <w:r>
        <w:t xml:space="preserve">district</w:t>
      </w:r>
      <w:r>
        <w:t xml:space="preserve"> </w:t>
      </w:r>
      <w:r>
        <w:t xml:space="preserve">court</w:t>
      </w:r>
      <w:r>
        <w:t xml:space="preserve"> </w:t>
      </w:r>
      <w:r>
        <w:t xml:space="preserve">committed</w:t>
      </w:r>
      <w:r>
        <w:t xml:space="preserve"> </w:t>
      </w:r>
      <w:r>
        <w:t xml:space="preserve">reversible</w:t>
      </w:r>
      <w:r>
        <w:t xml:space="preserve"> </w:t>
      </w:r>
      <w:r>
        <w:t xml:space="preserve">error</w:t>
      </w:r>
      <w:r>
        <w:t xml:space="preserve"> </w:t>
      </w:r>
      <w:r>
        <w:t xml:space="preserve">by</w:t>
      </w:r>
      <w:r>
        <w:t xml:space="preserve"> </w:t>
      </w:r>
      <w:r>
        <w:t xml:space="preserve">dismissing</w:t>
      </w:r>
      <w:r>
        <w:t xml:space="preserve"> </w:t>
      </w:r>
      <w:r>
        <w:t xml:space="preserve">the</w:t>
      </w:r>
      <w:r>
        <w:t xml:space="preserve"> </w:t>
      </w:r>
      <w:r>
        <w:t xml:space="preserve">case</w:t>
      </w:r>
      <w:r>
        <w:t xml:space="preserve"> </w:t>
      </w:r>
      <w:r>
        <w:t xml:space="preserve">under</w:t>
      </w:r>
      <w:r>
        <w:t xml:space="preserve"> </w:t>
      </w:r>
      <w:r>
        <w:t xml:space="preserve">Rule</w:t>
      </w:r>
      <w:r>
        <w:t xml:space="preserve"> </w:t>
      </w:r>
      <w:r>
        <w:t xml:space="preserve">12</w:t>
      </w:r>
      <w:r>
        <w:t xml:space="preserve">.</w:t>
      </w:r>
      <w:r>
        <w:t xml:space="preserve"> </w:t>
      </w:r>
      <w:r>
        <w:t xml:space="preserve">The</w:t>
      </w:r>
      <w:r>
        <w:t xml:space="preserve"> </w:t>
      </w:r>
      <w:r>
        <w:t xml:space="preserve">Court</w:t>
      </w:r>
      <w:r>
        <w:t xml:space="preserve"> </w:t>
      </w:r>
      <w:r>
        <w:t xml:space="preserve">should</w:t>
      </w:r>
      <w:r>
        <w:t xml:space="preserve"> </w:t>
      </w:r>
      <w:r>
        <w:t xml:space="preserve">reverse</w:t>
      </w:r>
      <w:r>
        <w:t xml:space="preserve"> </w:t>
      </w:r>
      <w:r>
        <w:t xml:space="preserve">that</w:t>
      </w:r>
      <w:r>
        <w:t xml:space="preserve"> </w:t>
      </w:r>
      <w:r>
        <w:t xml:space="preserve">order</w:t>
      </w:r>
      <w:r>
        <w:t xml:space="preserve"> </w:t>
      </w:r>
      <w:r>
        <w:t xml:space="preserve">and</w:t>
      </w:r>
      <w:r>
        <w:t xml:space="preserve"> </w:t>
      </w:r>
      <w:r>
        <w:t xml:space="preserve">remanded</w:t>
      </w:r>
      <w:r>
        <w:t xml:space="preserve"> </w:t>
      </w:r>
      <w:r>
        <w:t xml:space="preserve">for</w:t>
      </w:r>
      <w:r>
        <w:t xml:space="preserve"> </w:t>
      </w:r>
      <w:r>
        <w:t xml:space="preserve">further</w:t>
      </w:r>
      <w:r>
        <w:t xml:space="preserve"> </w:t>
      </w:r>
      <w:r>
        <w:t xml:space="preserve">proceedings.</w:t>
      </w:r>
    </w:p>
    <w:p>
      <w:pPr>
        <w:keepNext/>
        <w:keepLines/>
        <w:spacing w:before="392" w:after="0" w:line="340" w:lineRule="exact"/>
        <w:ind w:left="4680"/>
      </w:pPr>
      <w:r>
        <w:t xml:space="preserve">Respectfully submitted,</w:t>
      </w:r>
    </w:p>
    <w:p>
      <w:pPr>
        <w:keepNext/>
        <w:keepLines/>
        <w:spacing w:before="336" w:after="0" w:line="340" w:lineRule="exact"/>
        <w:ind w:left="4680"/>
      </w:pPr>
      <w:r>
        <w:t xml:space="preserve">s/ Anna M. Barvir</w:t>
      </w:r>
    </w:p>
    <w:p>
      <w:pPr>
        <w:keepNext/>
        <w:keepLines/>
        <w:spacing w:before="0" w:after="0" w:line="340" w:lineRule="exact"/>
        <w:ind w:left="4680"/>
      </w:pPr>
      <w:r>
        <w:t xml:space="preserve">ANNA M. BARVIR</w:t>
      </w:r>
    </w:p>
    <w:p>
      <w:pPr>
        <w:keepNext/>
        <w:keepLines/>
        <w:spacing w:before="0" w:after="0" w:line="340" w:lineRule="exact"/>
        <w:ind w:left="4680" w:firstLine="140"/>
      </w:pPr>
      <w:r>
        <w:rPr>
          <w:i/>
          <w:iCs/>
        </w:rPr>
        <w:t xml:space="preserve">Attorneys</w:t>
      </w:r>
      <w:r>
        <w:rPr>
          <w:i/>
          <w:iCs/>
        </w:rPr>
        <w:t xml:space="preserve"> </w:t>
      </w:r>
      <w:r>
        <w:rPr>
          <w:i/>
          <w:iCs/>
        </w:rPr>
        <w:t xml:space="preserve">for</w:t>
      </w:r>
      <w:r>
        <w:rPr>
          <w:i/>
          <w:iCs/>
        </w:rPr>
        <w:t xml:space="preserve"> </w:t>
      </w:r>
      <w:r>
        <w:rPr>
          <w:i/>
          <w:iCs/>
        </w:rPr>
        <w:t xml:space="preserve">Plaintiffs-Appellants</w:t>
      </w:r>
    </w:p>
    <w:p>
      <w:pPr>
        <w:keepLines/>
        <w:spacing w:before="224" w:after="0" w:line="340" w:lineRule="exact"/>
        <w:ind w:left="0"/>
      </w:pPr>
      <w:r>
        <w:t xml:space="preserve">December</w:t>
      </w:r>
      <w:r>
        <w:t xml:space="preserve"> </w:t>
      </w:r>
      <w:r>
        <w:t xml:space="preserve">1,</w:t>
      </w:r>
      <w:r>
        <w:t xml:space="preserve"> </w:t>
      </w:r>
      <w:r>
        <w:t xml:space="preserve">2023</w:t>
      </w:r>
    </w:p>
    <w:p>
      <w:pPr>
        <w:pStyle w:val="Heading1"/>
        <w:keepNext/>
        <w:keepLines/>
        <w:pageBreakBefore/>
        <w:spacing w:before="0" w:after="308" w:line="400" w:lineRule="exact"/>
        <w:ind w:left="0" w:firstLine="0"/>
        <w:jc w:val="center"/>
      </w:pPr>
      <w:r>
        <w:rPr>
          <w:b/>
          <w:bCs/>
          <w:sz w:val="32"/>
          <w:szCs w:val="32"/>
        </w:rPr>
        <w:t xml:space="preserve">STATEMENT OF RELATED CASES</w:t>
      </w:r>
    </w:p>
    <w:p>
      <w:pPr>
        <w:spacing w:before="0" w:after="280" w:line="340" w:lineRule="exact"/>
        <w:ind w:left="0"/>
      </w:pPr>
      <w:r>
        <w:t xml:space="preserve">9th Cir. Case Number(s) </w:t>
      </w:r>
      <w:r>
        <w:t xml:space="preserve">23</w:t>
        <w:noBreakHyphen/>
        <w:t xml:space="preserve">55431</w:t>
      </w:r>
    </w:p>
    <w:p>
      <w:pPr>
        <w:spacing w:before="0" w:after="0" w:line="340" w:lineRule="exact"/>
        <w:ind w:left="0"/>
      </w:pPr>
      <w:r>
        <w:t xml:space="preserve">The undersigned attorney or self-represented party states the following:</w:t>
      </w:r>
    </w:p>
    <w:p>
      <w:pPr>
        <w:keepLines/>
        <w:spacing w:before="224" w:after="0" w:line="340" w:lineRule="exact"/>
        <w:ind w:left="448" w:hanging="448"/>
      </w:pPr>
      <w:r>
        <w:rPr>
          <w:bdr w:val="single" w:sz="6" w:space="0" w:color="000000"/>
        </w:rPr>
        <w:t xml:space="preserve">   </w:t>
      </w:r>
      <w:r>
        <w:tab/>
      </w:r>
      <w:r>
        <w:t xml:space="preserve">I am unaware of any related cases currently pending in this court.</w:t>
      </w:r>
    </w:p>
    <w:p>
      <w:pPr>
        <w:keepLines/>
        <w:spacing w:before="224" w:after="0" w:line="340" w:lineRule="exact"/>
        <w:ind w:left="448" w:hanging="448"/>
      </w:pPr>
      <w:r>
        <w:rPr>
          <w:bdr w:val="single" w:sz="6" w:space="0" w:color="000000"/>
        </w:rPr>
        <w:t xml:space="preserve">   </w:t>
      </w:r>
      <w:r>
        <w:tab/>
      </w:r>
      <w:r>
        <w:t xml:space="preserve">I am unaware of any related cases currently pending in this court other than the case(s) identified in the initial brief(s) filed by the other party or parties.</w:t>
      </w:r>
    </w:p>
    <w:p>
      <w:pPr>
        <w:keepNext/>
        <w:keepLines/>
        <w:spacing w:before="224" w:after="0" w:line="340" w:lineRule="exact"/>
        <w:ind w:left="448" w:hanging="448"/>
      </w:pPr>
      <w:r>
        <w:rPr>
          <w:bdr w:val="single" w:sz="6" w:space="0" w:color="000000"/>
        </w:rPr>
        <w:t xml:space="preserve">X</w:t>
      </w:r>
      <w:r>
        <w:tab/>
      </w:r>
      <w:r>
        <w:t xml:space="preserve">I am aware of one or more related cases currently pending in this court. The case number and name of each related case and its relationship to this case are:</w:t>
      </w:r>
    </w:p>
    <w:p>
      <w:pPr>
        <w:keepNext/>
        <w:keepLines/>
        <w:spacing w:before="196" w:after="0" w:line="340" w:lineRule="exact"/>
        <w:ind w:left="896" w:hanging="448"/>
      </w:pPr>
      <w:r>
        <w:t xml:space="preserve">No. </w:t>
      </w:r>
      <w:r>
        <w:t xml:space="preserve">23</w:t>
        <w:noBreakHyphen/>
        <w:t xml:space="preserve">3793</w:t>
      </w:r>
      <w:r>
        <w:t xml:space="preserve">, </w:t>
      </w:r>
      <w:r>
        <w:rPr>
          <w:i/>
          <w:iCs/>
        </w:rPr>
        <w:t xml:space="preserve">B&amp;L</w:t>
      </w:r>
      <w:r>
        <w:rPr>
          <w:i/>
          <w:iCs/>
        </w:rPr>
        <w:t xml:space="preserve"> </w:t>
      </w:r>
      <w:r>
        <w:rPr>
          <w:i/>
          <w:iCs/>
        </w:rPr>
        <w:t xml:space="preserve">Productions,</w:t>
      </w:r>
      <w:r>
        <w:rPr>
          <w:i/>
          <w:iCs/>
        </w:rPr>
        <w:t xml:space="preserve"> </w:t>
      </w:r>
      <w:r>
        <w:rPr>
          <w:i/>
          <w:iCs/>
        </w:rPr>
        <w:t xml:space="preserve">Inc.,</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Newsom,</w:t>
      </w:r>
      <w:r>
        <w:rPr>
          <w:i/>
          <w:iCs/>
        </w:rPr>
        <w:t xml:space="preserve"> </w:t>
      </w:r>
      <w:r>
        <w:rPr>
          <w:i/>
          <w:iCs/>
        </w:rPr>
        <w:t xml:space="preserve">et</w:t>
      </w:r>
      <w:r>
        <w:rPr>
          <w:i/>
          <w:iCs/>
        </w:rPr>
        <w:t xml:space="preserve"> </w:t>
      </w:r>
      <w:r>
        <w:rPr>
          <w:i/>
          <w:iCs/>
        </w:rPr>
        <w:t xml:space="preserve">al.</w:t>
      </w:r>
      <w:r>
        <w:t xml:space="preserve"> (</w:t>
      </w:r>
      <w:r>
        <w:t xml:space="preserve">This</w:t>
      </w:r>
      <w:r>
        <w:t xml:space="preserve"> </w:t>
      </w:r>
      <w:r>
        <w:t xml:space="preserve">related</w:t>
      </w:r>
      <w:r>
        <w:t xml:space="preserve"> </w:t>
      </w:r>
      <w:r>
        <w:t xml:space="preserve">case,</w:t>
      </w:r>
      <w:r>
        <w:t xml:space="preserve"> </w:t>
      </w:r>
      <w:r>
        <w:t xml:space="preserve">filed</w:t>
      </w:r>
      <w:r>
        <w:t xml:space="preserve"> </w:t>
      </w:r>
      <w:r>
        <w:t xml:space="preserve">on</w:t>
      </w:r>
      <w:r>
        <w:t xml:space="preserve"> </w:t>
      </w:r>
      <w:r>
        <w:t xml:space="preserve">November</w:t>
      </w:r>
      <w:r>
        <w:t xml:space="preserve"> </w:t>
      </w:r>
      <w:r>
        <w:t xml:space="preserve">27,</w:t>
      </w:r>
      <w:r>
        <w:t xml:space="preserve"> </w:t>
      </w:r>
      <w:r>
        <w:t xml:space="preserve">2023,</w:t>
      </w:r>
      <w:r>
        <w:t xml:space="preserve"> </w:t>
      </w:r>
      <w:r>
        <w:t xml:space="preserve">is</w:t>
      </w:r>
      <w:r>
        <w:t xml:space="preserve"> </w:t>
      </w:r>
      <w:r>
        <w:t xml:space="preserve">an</w:t>
      </w:r>
      <w:r>
        <w:t xml:space="preserve"> </w:t>
      </w:r>
      <w:r>
        <w:t xml:space="preserve">interlocutory</w:t>
      </w:r>
      <w:r>
        <w:t xml:space="preserve"> </w:t>
      </w:r>
      <w:r>
        <w:t xml:space="preserve">appeal</w:t>
      </w:r>
      <w:r>
        <w:t xml:space="preserve"> </w:t>
      </w:r>
      <w:r>
        <w:t xml:space="preserve">of</w:t>
      </w:r>
      <w:r>
        <w:t xml:space="preserve"> </w:t>
      </w:r>
      <w:r>
        <w:t xml:space="preserve">an</w:t>
      </w:r>
      <w:r>
        <w:t xml:space="preserve"> </w:t>
      </w:r>
      <w:r>
        <w:t xml:space="preserve">order</w:t>
      </w:r>
      <w:r>
        <w:t xml:space="preserve"> </w:t>
      </w:r>
      <w:r>
        <w:t xml:space="preserve">granting</w:t>
      </w:r>
      <w:r>
        <w:t xml:space="preserve"> </w:t>
      </w:r>
      <w:r>
        <w:t xml:space="preserve">plaintiffs’</w:t>
      </w:r>
      <w:r>
        <w:t xml:space="preserve"> </w:t>
      </w:r>
      <w:r>
        <w:t xml:space="preserve">motion</w:t>
      </w:r>
      <w:r>
        <w:t xml:space="preserve"> </w:t>
      </w:r>
      <w:r>
        <w:t xml:space="preserve">for</w:t>
      </w:r>
      <w:r>
        <w:t xml:space="preserve"> </w:t>
      </w:r>
      <w:r>
        <w:t xml:space="preserve">preliminary</w:t>
      </w:r>
      <w:r>
        <w:t xml:space="preserve"> </w:t>
      </w:r>
      <w:r>
        <w:t xml:space="preserve">injunction</w:t>
      </w:r>
      <w:r>
        <w:t xml:space="preserve"> </w:t>
      </w:r>
      <w:r>
        <w:t xml:space="preserve">and</w:t>
      </w:r>
      <w:r>
        <w:t xml:space="preserve"> </w:t>
      </w:r>
      <w:r>
        <w:t xml:space="preserve">enjoining</w:t>
      </w:r>
      <w:r>
        <w:t xml:space="preserve"> </w:t>
      </w:r>
      <w:r>
        <w:t xml:space="preserve">the</w:t>
      </w:r>
      <w:r>
        <w:t xml:space="preserve"> </w:t>
      </w:r>
      <w:r>
        <w:t xml:space="preserve">enforcement</w:t>
      </w:r>
      <w:r>
        <w:t xml:space="preserve"> </w:t>
      </w:r>
      <w:r>
        <w:t xml:space="preserve">of</w:t>
      </w:r>
      <w:r>
        <w:t xml:space="preserve"> </w:t>
      </w:r>
      <w:r>
        <w:t xml:space="preserve">Senate</w:t>
      </w:r>
      <w:r>
        <w:t xml:space="preserve"> </w:t>
      </w:r>
      <w:r>
        <w:t xml:space="preserve">Bill</w:t>
      </w:r>
      <w:r>
        <w:t xml:space="preserve"> </w:t>
      </w:r>
      <w:r>
        <w:t xml:space="preserve">264</w:t>
      </w:r>
      <w:r>
        <w:t xml:space="preserve"> </w:t>
      </w:r>
      <w:r>
        <w:t xml:space="preserve">(applicable</w:t>
      </w:r>
      <w:r>
        <w:t xml:space="preserve"> </w:t>
      </w:r>
      <w:r>
        <w:t xml:space="preserve">to</w:t>
      </w:r>
      <w:r>
        <w:t xml:space="preserve"> </w:t>
      </w:r>
      <w:r>
        <w:t xml:space="preserve">the</w:t>
      </w:r>
      <w:r>
        <w:t xml:space="preserve"> </w:t>
      </w:r>
      <w:r>
        <w:t xml:space="preserve">Orange</w:t>
      </w:r>
      <w:r>
        <w:t xml:space="preserve"> </w:t>
      </w:r>
      <w:r>
        <w:t xml:space="preserve">County</w:t>
      </w:r>
      <w:r>
        <w:t xml:space="preserve"> </w:t>
      </w:r>
      <w:r>
        <w:t xml:space="preserve">Fair</w:t>
      </w:r>
      <w:r>
        <w:t xml:space="preserve"> </w:t>
      </w:r>
      <w:r>
        <w:t xml:space="preserve">&amp;</w:t>
      </w:r>
      <w:r>
        <w:t xml:space="preserve"> </w:t>
      </w:r>
      <w:r>
        <w:t xml:space="preserve">Event</w:t>
      </w:r>
      <w:r>
        <w:t xml:space="preserve"> </w:t>
      </w:r>
      <w:r>
        <w:t xml:space="preserve">Center)</w:t>
      </w:r>
      <w:r>
        <w:t xml:space="preserve"> </w:t>
      </w:r>
      <w:r>
        <w:t xml:space="preserve">and</w:t>
      </w:r>
      <w:r>
        <w:t xml:space="preserve"> </w:t>
      </w:r>
      <w:r>
        <w:t xml:space="preserve">Senate</w:t>
      </w:r>
      <w:r>
        <w:t xml:space="preserve"> </w:t>
      </w:r>
      <w:r>
        <w:t xml:space="preserve">Bill</w:t>
      </w:r>
      <w:r>
        <w:t xml:space="preserve"> </w:t>
      </w:r>
      <w:r>
        <w:t xml:space="preserve">915</w:t>
      </w:r>
      <w:r>
        <w:t xml:space="preserve"> </w:t>
      </w:r>
      <w:r>
        <w:t xml:space="preserve">(applicable</w:t>
      </w:r>
      <w:r>
        <w:t xml:space="preserve"> </w:t>
      </w:r>
      <w:r>
        <w:t xml:space="preserve">to</w:t>
      </w:r>
      <w:r>
        <w:t xml:space="preserve"> </w:t>
      </w:r>
      <w:r>
        <w:t xml:space="preserve">all</w:t>
      </w:r>
      <w:r>
        <w:t xml:space="preserve"> </w:t>
      </w:r>
      <w:r>
        <w:t xml:space="preserve">state-owned</w:t>
      </w:r>
      <w:r>
        <w:t xml:space="preserve"> </w:t>
      </w:r>
      <w:r>
        <w:t xml:space="preserve">property),</w:t>
      </w:r>
      <w:r>
        <w:t xml:space="preserve"> </w:t>
      </w:r>
      <w:r>
        <w:t xml:space="preserve">two</w:t>
      </w:r>
      <w:r>
        <w:t xml:space="preserve"> </w:t>
      </w:r>
      <w:r>
        <w:t xml:space="preserve">state</w:t>
      </w:r>
      <w:r>
        <w:t xml:space="preserve"> </w:t>
      </w:r>
      <w:r>
        <w:t xml:space="preserve">laws</w:t>
      </w:r>
      <w:r>
        <w:t xml:space="preserve"> </w:t>
      </w:r>
      <w:r>
        <w:t xml:space="preserve">that</w:t>
      </w:r>
      <w:r>
        <w:t xml:space="preserve"> </w:t>
      </w:r>
      <w:r>
        <w:t xml:space="preserve">are</w:t>
      </w:r>
      <w:r>
        <w:t xml:space="preserve"> </w:t>
      </w:r>
      <w:r>
        <w:t xml:space="preserve">nearly</w:t>
      </w:r>
      <w:r>
        <w:t xml:space="preserve"> </w:t>
      </w:r>
      <w:r>
        <w:t xml:space="preserve">identical</w:t>
      </w:r>
      <w:r>
        <w:t xml:space="preserve"> </w:t>
      </w:r>
      <w:r>
        <w:t xml:space="preserve">to</w:t>
      </w:r>
      <w:r>
        <w:t xml:space="preserve"> </w:t>
      </w:r>
      <w:r>
        <w:t xml:space="preserve">the</w:t>
      </w:r>
      <w:r>
        <w:t xml:space="preserve"> </w:t>
      </w:r>
      <w:r>
        <w:t xml:space="preserve">law</w:t>
      </w:r>
      <w:r>
        <w:t xml:space="preserve"> </w:t>
      </w:r>
      <w:r>
        <w:t xml:space="preserve">challenged</w:t>
      </w:r>
      <w:r>
        <w:t xml:space="preserve"> </w:t>
      </w:r>
      <w:r>
        <w:t xml:space="preserve">in</w:t>
      </w:r>
      <w:r>
        <w:t xml:space="preserve"> </w:t>
      </w:r>
      <w:r>
        <w:t xml:space="preserve">this</w:t>
      </w:r>
      <w:r>
        <w:t xml:space="preserve"> </w:t>
      </w:r>
      <w:r>
        <w:t xml:space="preserve">case.</w:t>
      </w:r>
      <w:r>
        <w:t xml:space="preserve"> </w:t>
      </w:r>
      <w:r>
        <w:t xml:space="preserve">After</w:t>
      </w:r>
      <w:r>
        <w:t xml:space="preserve"> </w:t>
      </w:r>
      <w:r>
        <w:t xml:space="preserve">extensive</w:t>
      </w:r>
      <w:r>
        <w:t xml:space="preserve"> </w:t>
      </w:r>
      <w:r>
        <w:t xml:space="preserve">briefing,</w:t>
      </w:r>
      <w:r>
        <w:t xml:space="preserve"> </w:t>
      </w:r>
      <w:r>
        <w:t xml:space="preserve">including</w:t>
      </w:r>
      <w:r>
        <w:t xml:space="preserve"> </w:t>
      </w:r>
      <w:r>
        <w:t xml:space="preserve">two</w:t>
      </w:r>
      <w:r>
        <w:t xml:space="preserve"> </w:t>
      </w:r>
      <w:r>
        <w:t xml:space="preserve">rounds</w:t>
      </w:r>
      <w:r>
        <w:t xml:space="preserve"> </w:t>
      </w:r>
      <w:r>
        <w:t xml:space="preserve">of</w:t>
      </w:r>
      <w:r>
        <w:t xml:space="preserve"> </w:t>
      </w:r>
      <w:r>
        <w:t xml:space="preserve">supplemental</w:t>
      </w:r>
      <w:r>
        <w:t xml:space="preserve"> </w:t>
      </w:r>
      <w:r>
        <w:t xml:space="preserve">briefing,</w:t>
      </w:r>
      <w:r>
        <w:t xml:space="preserve"> </w:t>
      </w:r>
      <w:r>
        <w:t xml:space="preserve">and</w:t>
      </w:r>
      <w:r>
        <w:t xml:space="preserve"> </w:t>
      </w:r>
      <w:r>
        <w:t xml:space="preserve">a</w:t>
      </w:r>
      <w:r>
        <w:t xml:space="preserve"> </w:t>
      </w:r>
      <w:r>
        <w:t xml:space="preserve">two-hour</w:t>
      </w:r>
      <w:r>
        <w:t xml:space="preserve"> </w:t>
      </w:r>
      <w:r>
        <w:t xml:space="preserve">hearing,</w:t>
      </w:r>
      <w:r>
        <w:t xml:space="preserve"> </w:t>
      </w:r>
      <w:r>
        <w:t xml:space="preserve">the</w:t>
      </w:r>
      <w:r>
        <w:t xml:space="preserve"> </w:t>
      </w:r>
      <w:r>
        <w:t xml:space="preserve">Central</w:t>
      </w:r>
      <w:r>
        <w:t xml:space="preserve"> </w:t>
      </w:r>
      <w:r>
        <w:t xml:space="preserve">District</w:t>
      </w:r>
      <w:r>
        <w:t xml:space="preserve"> </w:t>
      </w:r>
      <w:r>
        <w:t xml:space="preserve">held</w:t>
      </w:r>
      <w:r>
        <w:t xml:space="preserve"> </w:t>
      </w:r>
      <w:r>
        <w:t xml:space="preserve">that</w:t>
      </w:r>
      <w:r>
        <w:t xml:space="preserve"> </w:t>
      </w:r>
      <w:r>
        <w:t xml:space="preserve">the</w:t>
      </w:r>
      <w:r>
        <w:t xml:space="preserve"> </w:t>
      </w:r>
      <w:r>
        <w:t xml:space="preserve">plaintiffs</w:t>
      </w:r>
      <w:r>
        <w:t xml:space="preserve"> </w:t>
      </w:r>
      <w:r>
        <w:t xml:space="preserve">(including</w:t>
      </w:r>
      <w:r>
        <w:t xml:space="preserve"> </w:t>
      </w:r>
      <w:r>
        <w:t xml:space="preserve">several</w:t>
      </w:r>
      <w:r>
        <w:t xml:space="preserve"> </w:t>
      </w:r>
      <w:r>
        <w:t xml:space="preserve">appellants</w:t>
      </w:r>
      <w:r>
        <w:t xml:space="preserve"> </w:t>
      </w:r>
      <w:r>
        <w:t xml:space="preserve">in</w:t>
      </w:r>
      <w:r>
        <w:t xml:space="preserve"> </w:t>
      </w:r>
      <w:r>
        <w:t xml:space="preserve">this</w:t>
      </w:r>
      <w:r>
        <w:t xml:space="preserve"> </w:t>
      </w:r>
      <w:r>
        <w:t xml:space="preserve">case)</w:t>
      </w:r>
      <w:r>
        <w:t xml:space="preserve"> </w:t>
      </w:r>
      <w:r>
        <w:t xml:space="preserve">were</w:t>
      </w:r>
      <w:r>
        <w:t xml:space="preserve"> </w:t>
      </w:r>
      <w:r>
        <w:t xml:space="preserve">likely</w:t>
      </w:r>
      <w:r>
        <w:t xml:space="preserve"> </w:t>
      </w:r>
      <w:r>
        <w:t xml:space="preserve">to</w:t>
      </w:r>
      <w:r>
        <w:t xml:space="preserve"> </w:t>
      </w:r>
      <w:r>
        <w:t xml:space="preserve">prevail</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their</w:t>
      </w:r>
      <w:r>
        <w:t xml:space="preserve"> </w:t>
      </w:r>
      <w:r>
        <w:t xml:space="preserve">First</w:t>
      </w:r>
      <w:r>
        <w:t xml:space="preserve"> </w:t>
      </w:r>
      <w:r>
        <w:t xml:space="preserve">and</w:t>
      </w:r>
      <w:r>
        <w:t xml:space="preserve"> </w:t>
      </w:r>
      <w:r>
        <w:t xml:space="preserve">Second</w:t>
      </w:r>
      <w:r>
        <w:t xml:space="preserve"> </w:t>
      </w:r>
      <w:r>
        <w:t xml:space="preserve">Amendment</w:t>
      </w:r>
      <w:r>
        <w:t xml:space="preserve"> </w:t>
      </w:r>
      <w:r>
        <w:t xml:space="preserve">claims.</w:t>
      </w:r>
      <w:r>
        <w:t xml:space="preserve"> </w:t>
      </w:r>
      <w:r>
        <w:t xml:space="preserve">Pursuant</w:t>
      </w:r>
      <w:r>
        <w:t xml:space="preserve"> </w:t>
      </w:r>
      <w:r>
        <w:t xml:space="preserve">to</w:t>
      </w:r>
      <w:r>
        <w:t xml:space="preserve"> </w:t>
      </w:r>
      <w:r>
        <w:t xml:space="preserve">this</w:t>
      </w:r>
      <w:r>
        <w:t xml:space="preserve"> </w:t>
      </w:r>
      <w:r>
        <w:t xml:space="preserve">Court’s</w:t>
      </w:r>
      <w:r>
        <w:t xml:space="preserve"> </w:t>
      </w:r>
      <w:r>
        <w:t xml:space="preserve">earlier</w:t>
      </w:r>
      <w:r>
        <w:t xml:space="preserve"> </w:t>
      </w:r>
      <w:r>
        <w:t xml:space="preserve">direction,</w:t>
      </w:r>
      <w:r>
        <w:t xml:space="preserve"> </w:t>
      </w:r>
      <w:r>
        <w:t xml:space="preserve">Appellants</w:t>
      </w:r>
      <w:r>
        <w:t xml:space="preserve"> </w:t>
      </w:r>
      <w:r>
        <w:t xml:space="preserve">intend</w:t>
      </w:r>
      <w:r>
        <w:t xml:space="preserve"> </w:t>
      </w:r>
      <w:r>
        <w:t xml:space="preserve">to</w:t>
      </w:r>
      <w:r>
        <w:t xml:space="preserve"> </w:t>
      </w:r>
      <w:r>
        <w:t xml:space="preserve">renew</w:t>
      </w:r>
      <w:r>
        <w:t xml:space="preserve"> </w:t>
      </w:r>
      <w:r>
        <w:t xml:space="preserve">their</w:t>
      </w:r>
      <w:r>
        <w:t xml:space="preserve"> </w:t>
      </w:r>
      <w:r>
        <w:t xml:space="preserve">request</w:t>
      </w:r>
      <w:r>
        <w:t xml:space="preserve"> </w:t>
      </w:r>
      <w:r>
        <w:t xml:space="preserve">to</w:t>
      </w:r>
      <w:r>
        <w:t xml:space="preserve"> </w:t>
      </w:r>
      <w:r>
        <w:t xml:space="preserve">have</w:t>
      </w:r>
      <w:r>
        <w:t xml:space="preserve"> </w:t>
      </w:r>
      <w:r>
        <w:t xml:space="preserve">these</w:t>
      </w:r>
      <w:r>
        <w:t xml:space="preserve"> </w:t>
      </w:r>
      <w:r>
        <w:t xml:space="preserve">cases</w:t>
      </w:r>
      <w:r>
        <w:t xml:space="preserve"> </w:t>
      </w:r>
      <w:r>
        <w:t xml:space="preserve">heard</w:t>
      </w:r>
      <w:r>
        <w:t xml:space="preserve"> </w:t>
      </w:r>
      <w:r>
        <w:t xml:space="preserve">together.</w:t>
      </w:r>
      <w:r>
        <w:t xml:space="preserve">).</w:t>
      </w:r>
    </w:p>
    <w:p>
      <w:pPr>
        <w:keepNext/>
        <w:keepLines/>
        <w:tabs>
          <w:tab w:val="left" w:pos="4820"/>
        </w:tabs>
        <w:spacing w:before="448" w:after="0" w:line="340" w:lineRule="exact"/>
        <w:ind w:left="0"/>
      </w:pPr>
      <w:r>
        <w:t xml:space="preserve">s/ Anna M. Barvir</w:t>
      </w:r>
      <w:r>
        <w:tab/>
      </w:r>
      <w:r>
        <w:t xml:space="preserve">December</w:t>
      </w:r>
      <w:r>
        <w:t xml:space="preserve"> </w:t>
      </w:r>
      <w:r>
        <w:t xml:space="preserve">1,</w:t>
      </w:r>
      <w:r>
        <w:t xml:space="preserve"> </w:t>
      </w:r>
      <w:r>
        <w:t xml:space="preserve">2023</w:t>
      </w:r>
    </w:p>
    <w:p>
      <w:pPr>
        <w:keepLines/>
        <w:tabs>
          <w:tab w:val="left" w:pos="4820"/>
        </w:tabs>
        <w:spacing w:before="0" w:after="0" w:line="340" w:lineRule="exact"/>
        <w:ind w:left="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COMPLIANCE</w:t>
      </w:r>
    </w:p>
    <w:p>
      <w:pPr>
        <w:spacing w:before="0" w:after="280" w:line="340" w:lineRule="exact"/>
        <w:ind w:left="0"/>
      </w:pPr>
      <w:r>
        <w:t xml:space="preserve">9th Cir. Case Number(s) </w:t>
      </w:r>
      <w:r>
        <w:t xml:space="preserve">23</w:t>
        <w:noBreakHyphen/>
        <w:t xml:space="preserve">55431</w:t>
      </w:r>
    </w:p>
    <w:p>
      <w:pPr>
        <w:spacing w:before="0" w:after="280" w:line="340" w:lineRule="exact"/>
        <w:ind w:left="0"/>
      </w:pPr>
      <w:r>
        <w:t xml:space="preserve">I am the attorney or self-represented party.</w:t>
      </w:r>
    </w:p>
    <w:p>
      <w:pPr>
        <w:spacing w:before="0" w:after="280" w:line="340" w:lineRule="exact"/>
        <w:ind w:left="0"/>
      </w:pPr>
      <w:r>
        <w:t xml:space="preserve">This brief contains 1,965 words, including 0 words manually counted in any visual images, and excluding the items exempted by FRAP 32(f). The brief’s type size and typeface comply with FRAP 32(a)(5) and (6).</w:t>
      </w:r>
    </w:p>
    <w:p>
      <w:pPr>
        <w:spacing w:before="0" w:after="0" w:line="340" w:lineRule="exact"/>
        <w:ind w:left="0"/>
      </w:pPr>
      <w:r>
        <w:t xml:space="preserve">I certify that this brief (select only one):</w:t>
      </w:r>
    </w:p>
    <w:p>
      <w:pPr>
        <w:keepLines/>
        <w:spacing w:before="224" w:after="0" w:line="340" w:lineRule="exact"/>
        <w:ind w:left="448" w:hanging="448"/>
      </w:pPr>
      <w:r>
        <w:rPr>
          <w:bdr w:val="single" w:sz="6" w:space="0" w:color="000000"/>
        </w:rPr>
        <w:t xml:space="preserve">X</w:t>
      </w:r>
      <w:r>
        <w:tab/>
      </w:r>
      <w:r>
        <w:t xml:space="preserve">complies with the word limit of Cir. R. 32</w:t>
        <w:noBreakHyphen/>
        <w:t xml:space="preserve">1.</w:t>
      </w:r>
    </w:p>
    <w:p>
      <w:pPr>
        <w:keepLines/>
        <w:spacing w:before="224" w:after="0" w:line="340" w:lineRule="exact"/>
        <w:ind w:left="448" w:hanging="448"/>
      </w:pPr>
      <w:r>
        <w:rPr>
          <w:bdr w:val="single" w:sz="6" w:space="0" w:color="000000"/>
        </w:rPr>
        <w:t xml:space="preserve">   </w:t>
      </w:r>
      <w:r>
        <w:tab/>
      </w:r>
      <w:r>
        <w:t xml:space="preserve">is a cross-appeal brief and complies with the word limit of Cir. R. 28.1</w:t>
        <w:noBreakHyphen/>
        <w:t xml:space="preserve">1.</w:t>
      </w:r>
    </w:p>
    <w:p>
      <w:pPr>
        <w:keepLines/>
        <w:spacing w:before="224" w:after="0" w:line="340" w:lineRule="exact"/>
        <w:ind w:left="448" w:hanging="448"/>
      </w:pPr>
      <w:r>
        <w:rPr>
          <w:bdr w:val="single" w:sz="6" w:space="0" w:color="000000"/>
        </w:rPr>
        <w:t xml:space="preserve">   </w:t>
      </w:r>
      <w:r>
        <w:tab/>
      </w:r>
      <w:r>
        <w:t xml:space="preserve">is an amicus brief and complies with the word limit of FRAP 29(a)(5), Cir. R. 29</w:t>
        <w:noBreakHyphen/>
        <w:t xml:space="preserve">2(c)(2), or Cir. R. 29</w:t>
        <w:noBreakHyphen/>
        <w:t xml:space="preserve">2(c)(3).</w:t>
      </w:r>
    </w:p>
    <w:p>
      <w:pPr>
        <w:keepLines/>
        <w:spacing w:before="224" w:after="0" w:line="340" w:lineRule="exact"/>
        <w:ind w:left="448" w:hanging="448"/>
      </w:pPr>
      <w:r>
        <w:rPr>
          <w:bdr w:val="single" w:sz="6" w:space="0" w:color="000000"/>
        </w:rPr>
        <w:t xml:space="preserve">   </w:t>
      </w:r>
      <w:r>
        <w:tab/>
      </w:r>
      <w:r>
        <w:t xml:space="preserve">is for a death penalty case and complies with the word limit of Cir. R. 32</w:t>
        <w:noBreakHyphen/>
        <w:t xml:space="preserve">4.</w:t>
      </w:r>
    </w:p>
    <w:p>
      <w:pPr>
        <w:keepLines/>
        <w:spacing w:before="224" w:after="0" w:line="340" w:lineRule="exact"/>
        <w:ind w:left="448" w:hanging="448"/>
      </w:pPr>
      <w:r>
        <w:rPr>
          <w:bdr w:val="single" w:sz="6" w:space="0" w:color="000000"/>
        </w:rPr>
        <w:t xml:space="preserve">   </w:t>
      </w:r>
      <w:r>
        <w:tab/>
      </w:r>
      <w:r>
        <w:t xml:space="preserve">complies with the longer length limit permitted by Cir. R. 32</w:t>
        <w:noBreakHyphen/>
        <w:t xml:space="preserve">2(b) because (select only one):</w:t>
      </w:r>
    </w:p>
    <w:p>
      <w:pPr>
        <w:keepLines/>
        <w:tabs>
          <w:tab w:val="left" w:pos="448"/>
        </w:tabs>
        <w:spacing w:before="224" w:after="0" w:line="340" w:lineRule="exact"/>
        <w:ind w:left="896" w:hanging="896"/>
      </w:pPr>
      <w:r>
        <w:tab/>
      </w:r>
      <w:r>
        <w:rPr>
          <w:bdr w:val="single" w:sz="6" w:space="0" w:color="000000"/>
        </w:rPr>
        <w:t xml:space="preserve">   </w:t>
      </w:r>
      <w:r>
        <w:tab/>
      </w:r>
      <w:r>
        <w:t xml:space="preserve">it is a joint brief submitted by separately represented parties.</w:t>
      </w:r>
    </w:p>
    <w:p>
      <w:pPr>
        <w:keepLines/>
        <w:tabs>
          <w:tab w:val="left" w:pos="448"/>
        </w:tabs>
        <w:spacing w:before="224" w:after="0" w:line="340" w:lineRule="exact"/>
        <w:ind w:left="896" w:hanging="896"/>
      </w:pPr>
      <w:r>
        <w:tab/>
      </w:r>
      <w:r>
        <w:rPr>
          <w:bdr w:val="single" w:sz="6" w:space="0" w:color="000000"/>
        </w:rPr>
        <w:t xml:space="preserve">   </w:t>
      </w:r>
      <w:r>
        <w:tab/>
      </w:r>
      <w:r>
        <w:t xml:space="preserve">a party or parties are filing a single brief in response to multiple briefs.</w:t>
      </w:r>
    </w:p>
    <w:p>
      <w:pPr>
        <w:keepLines/>
        <w:tabs>
          <w:tab w:val="left" w:pos="448"/>
        </w:tabs>
        <w:spacing w:before="224" w:after="0" w:line="340" w:lineRule="exact"/>
        <w:ind w:left="896" w:hanging="896"/>
      </w:pPr>
      <w:r>
        <w:tab/>
      </w:r>
      <w:r>
        <w:rPr>
          <w:bdr w:val="single" w:sz="6" w:space="0" w:color="000000"/>
        </w:rPr>
        <w:t xml:space="preserve">   </w:t>
      </w:r>
      <w:r>
        <w:tab/>
      </w:r>
      <w:r>
        <w:t xml:space="preserve">a party or parties are filing a single brief in response to a longer joint brief.</w:t>
      </w:r>
    </w:p>
    <w:p>
      <w:pPr>
        <w:keepLines/>
        <w:spacing w:before="224" w:after="0" w:line="340" w:lineRule="exact"/>
        <w:ind w:left="448" w:hanging="448"/>
      </w:pPr>
      <w:r>
        <w:rPr>
          <w:bdr w:val="single" w:sz="6" w:space="0" w:color="000000"/>
        </w:rPr>
        <w:t xml:space="preserve">   </w:t>
      </w:r>
      <w:r>
        <w:tab/>
      </w:r>
      <w:r>
        <w:t xml:space="preserve">complies with the length limit designated by court order dated __________.</w:t>
      </w:r>
    </w:p>
    <w:p>
      <w:pPr>
        <w:keepNext/>
        <w:keepLines/>
        <w:spacing w:before="224" w:after="0" w:line="340" w:lineRule="exact"/>
        <w:ind w:left="448" w:hanging="448"/>
      </w:pPr>
      <w:r>
        <w:rPr>
          <w:bdr w:val="single" w:sz="6" w:space="0" w:color="000000"/>
        </w:rPr>
        <w:t xml:space="preserve">   </w:t>
      </w:r>
      <w:r>
        <w:tab/>
      </w:r>
      <w:r>
        <w:t xml:space="preserve">is accompanied by a motion to file a longer brief pursuant to Cir. R. 32</w:t>
        <w:noBreakHyphen/>
        <w:t xml:space="preserve">2(a).</w:t>
      </w:r>
    </w:p>
    <w:p>
      <w:pPr>
        <w:keepNext/>
        <w:keepLines/>
        <w:tabs>
          <w:tab w:val="left" w:pos="4820"/>
        </w:tabs>
        <w:spacing w:before="448" w:after="0" w:line="340" w:lineRule="exact"/>
        <w:ind w:left="0"/>
      </w:pPr>
      <w:r>
        <w:t xml:space="preserve">s/ Anna M. Barvir</w:t>
      </w:r>
      <w:r>
        <w:tab/>
      </w:r>
      <w:r>
        <w:t xml:space="preserve">December</w:t>
      </w:r>
      <w:r>
        <w:t xml:space="preserve"> </w:t>
      </w:r>
      <w:r>
        <w:t xml:space="preserve">1,</w:t>
      </w:r>
      <w:r>
        <w:t xml:space="preserve"> </w:t>
      </w:r>
      <w:r>
        <w:t xml:space="preserve">2023</w:t>
      </w:r>
    </w:p>
    <w:p>
      <w:pPr>
        <w:keepLines/>
        <w:tabs>
          <w:tab w:val="left" w:pos="4820"/>
        </w:tabs>
        <w:spacing w:before="0" w:after="0" w:line="340" w:lineRule="exact"/>
        <w:ind w:left="0"/>
      </w:pPr>
      <w:r>
        <w:t xml:space="preserve">Signature</w:t>
      </w:r>
      <w:r>
        <w:tab/>
      </w:r>
      <w:r>
        <w:t xml:space="preserve">Date</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Citing</w:t>
      </w:r>
      <w:r>
        <w:t xml:space="preserve"> </w:t>
      </w:r>
      <w:r>
        <w:rPr>
          <w:i/>
          <w:iCs/>
        </w:rPr>
        <w:t xml:space="preserve">District of Columbia v. Heller</w:t>
      </w:r>
      <w:r>
        <w:t xml:space="preserve">, 554 U.S. 570, 629 (2008);</w:t>
      </w:r>
      <w:r>
        <w:t xml:space="preserve"> </w:t>
      </w:r>
      <w:r>
        <w:rPr>
          <w:i/>
          <w:iCs/>
        </w:rPr>
        <w:t xml:space="preserve">Jackson v. City &amp; Cnty. of San Francisco</w:t>
      </w:r>
      <w:r>
        <w:t xml:space="preserve">, 746 F.3d 953, 697 (9th Cir. 2014) (extending Second Amendment to the ammunition purchases because “without bullets, the right to bear arms would be meaningless”);</w:t>
      </w:r>
      <w:r>
        <w:t xml:space="preserve"> </w:t>
      </w:r>
      <w:r>
        <w:rPr>
          <w:i/>
          <w:iCs/>
        </w:rPr>
        <w:t xml:space="preserve">Teixeira v. County of Alameda</w:t>
      </w:r>
      <w:r>
        <w:t xml:space="preserve">, 873 F.3d 670, 677 (9th Cir. 2017) (en banc) (“[T]he core Second Amendment right to keep and bear arms for self-defense ‘wouldn’t mean much’ without the ability to acquire arms.”) (citing</w:t>
      </w:r>
      <w:r>
        <w:t xml:space="preserve"> </w:t>
      </w:r>
      <w:r>
        <w:rPr>
          <w:i/>
          <w:iCs/>
        </w:rPr>
        <w:t xml:space="preserve">Heller</w:t>
      </w:r>
      <w:r>
        <w:t xml:space="preserve">, 554 U.S. at 617</w:t>
      </w:r>
      <w:r>
        <w:noBreakHyphen/>
      </w:r>
      <w:r>
        <w:t xml:space="preserve">18);</w:t>
      </w:r>
      <w:r>
        <w:t xml:space="preserve"> </w:t>
      </w:r>
      <w:r>
        <w:rPr>
          <w:i/>
          <w:iCs/>
        </w:rPr>
        <w:t xml:space="preserve">Boland v. Bonta</w:t>
      </w:r>
      <w:r>
        <w:t xml:space="preserve">, No. 22</w:t>
      </w:r>
      <w:r>
        <w:noBreakHyphen/>
      </w:r>
      <w:r>
        <w:t xml:space="preserve">01421, 2023 WL 2588565, at *4 (C.D. Cal. Mar. 20, 2023) (preliminarily enjoining a California law preventing the “purchase [of] state-of-the-art handguns for self-defense” on Second Amendment grounds);</w:t>
      </w:r>
      <w:r>
        <w:t xml:space="preserve"> </w:t>
      </w:r>
      <w:r>
        <w:rPr>
          <w:i/>
          <w:iCs/>
        </w:rPr>
        <w:t xml:space="preserve">Renna v. Bonta</w:t>
      </w:r>
      <w:r>
        <w:t xml:space="preserve">, No. 20</w:t>
      </w:r>
      <w:r>
        <w:noBreakHyphen/>
      </w:r>
      <w:r>
        <w:t xml:space="preserve">2190, 2023 WL 2846937 (S.D. Cal. April 3, 2023) (similar).</w:t>
      </w:r>
    </w:p>
  </w:footnote>
  <w:footnote w:id="10">
    <w:p>
      <w:pPr>
        <w:pStyle w:val="FootnoteText"/>
      </w:pPr>
      <w:r>
        <w:rPr>
          <w:rStyle w:val="FootnoteReference"/>
        </w:rPr>
        <w:footnoteRef/>
      </w:r>
      <w:r>
        <w:t xml:space="preserve"> </w:t>
      </w:r>
      <w:r>
        <w:t xml:space="preserve">To the extent that</w:t>
      </w:r>
      <w:r>
        <w:t xml:space="preserve"> </w:t>
      </w:r>
      <w:r>
        <w:rPr>
          <w:i/>
          <w:iCs/>
        </w:rPr>
        <w:t xml:space="preserve">Teixeira</w:t>
      </w:r>
      <w:r>
        <w:t xml:space="preserve"> </w:t>
      </w:r>
      <w:r>
        <w:t xml:space="preserve">relied on “history and tradition” to hold that there is no right to sell arms, it was simply wrong. “The right to commerce in firearms was one of the rights at issue during the American Revolution, and it is a right guaranteed by the Second Amendment….” David B. Kopel,</w:t>
      </w:r>
      <w:r>
        <w:t xml:space="preserve"> </w:t>
      </w:r>
      <w:r>
        <w:rPr>
          <w:i/>
          <w:iCs/>
        </w:rPr>
        <w:t xml:space="preserve">Does the Second Amendment Protect Firearms Commerce?</w:t>
      </w:r>
      <w:r>
        <w:t xml:space="preserve">, 127 Harv. L. Rev. F. 230, 234</w:t>
      </w:r>
      <w:r>
        <w:noBreakHyphen/>
      </w:r>
      <w:r>
        <w:t xml:space="preserve">35 (2014). That is not to say that no regulation on such conduct can survive judicial scrutiny. To be sure,</w:t>
      </w:r>
      <w:r>
        <w:t xml:space="preserve"> </w:t>
      </w:r>
      <w:r>
        <w:rPr>
          <w:i/>
          <w:iCs/>
        </w:rPr>
        <w:t xml:space="preserve">Heller</w:t>
      </w:r>
      <w:r>
        <w:t xml:space="preserve"> </w:t>
      </w:r>
      <w:r>
        <w:t xml:space="preserve">acknowledged the presumptive validity of at least some “laws imposing conditions and qualifications on the commercial sale of firearms.” 554 U.S. at 626</w:t>
      </w:r>
      <w:r>
        <w:noBreakHyphen/>
      </w:r>
      <w:r>
        <w:t xml:space="preserve">27. But, “to uphold the constitutionality of a law imposing a condition on the commercial sale of firearms, a court necessarily must examine the nature and extent of the imposed condition.”</w:t>
      </w:r>
      <w:r>
        <w:t xml:space="preserve"> </w:t>
      </w:r>
      <w:r>
        <w:rPr>
          <w:i/>
          <w:iCs/>
        </w:rPr>
        <w:t xml:space="preserve">United States v. Marzzarella</w:t>
      </w:r>
      <w:r>
        <w:t xml:space="preserve">, 614 F.3d 85, 92 n.8 (3d Cir. 2010). If the sale of firearms fell outside the scope of the Second Amendment, “it would follow that there would be no constitutional defect in prohibiting the commercial sale of firearms. Such a result would be untenable under</w:t>
      </w:r>
      <w:r>
        <w:t xml:space="preserve"> </w:t>
      </w:r>
      <w:r>
        <w:rPr>
          <w:i/>
          <w:iCs/>
        </w:rPr>
        <w:t xml:space="preserve">Heller</w:t>
      </w:r>
      <w:r>
        <w:t xml:space="preserve">.”</w:t>
      </w:r>
      <w:r>
        <w:t xml:space="preserve"> </w:t>
      </w:r>
      <w:r>
        <w:rPr>
          <w:i/>
          <w:iCs/>
        </w:rPr>
        <w:t xml:space="preserve">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8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99"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99"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99"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99"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99"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88"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Appellants’ Reply Brief</vt:lpwstr>
  </property>
  <property fmtid="{D5CDD505-2E9C-101B-9397-08002B2CF9AE}" pid="4" name="caption">
    <vt:lpwstr/>
  </property>
  <property fmtid="{D5CDD505-2E9C-101B-9397-08002B2CF9AE}" pid="5" name="case_number">
    <vt:lpwstr>23-55431</vt:lpwstr>
  </property>
  <property fmtid="{D5CDD505-2E9C-101B-9397-08002B2CF9AE}" pid="6" name="counsel">
    <vt:lpwstr/>
  </property>
  <property fmtid="{D5CDD505-2E9C-101B-9397-08002B2CF9AE}" pid="7" name="district_court_case">
    <vt:lpwstr>3:21-cv-01718-AJB-DDL</vt:lpwstr>
  </property>
  <property fmtid="{D5CDD505-2E9C-101B-9397-08002B2CF9AE}" pid="8" name="judge">
    <vt:lpwstr>Honorable Anthony J. Battaglia</vt:lpwstr>
  </property>
  <property fmtid="{D5CDD505-2E9C-101B-9397-08002B2CF9AE}" pid="9" name="phone">
    <vt:lpwstr>(562) 216-4444</vt:lpwstr>
  </property>
  <property fmtid="{D5CDD505-2E9C-101B-9397-08002B2CF9AE}" pid="10" name="proceeding">
    <vt:lpwstr>On Appeal from the United States District Court for the Southern District of California</vt:lpwstr>
  </property>
  <property fmtid="{D5CDD505-2E9C-101B-9397-08002B2CF9AE}" pid="11" name="related_cases">
    <vt:lpwstr/>
  </property>
  <property fmtid="{D5CDD505-2E9C-101B-9397-08002B2CF9AE}" pid="12" name="signature">
    <vt:lpwstr/>
  </property>
  <property fmtid="{D5CDD505-2E9C-101B-9397-08002B2CF9AE}" pid="13" name="word_limit_basis">
    <vt:lpwstr>standard</vt:lpwstr>
  </property>
</Properties>
</file>