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NEVADA</w:t>
      </w:r>
    </w:p>
    <w:p>
      <w:pPr>
        <w:spacing w:before="432" w:after="0" w:line="322" w:lineRule="exact"/>
        <w:ind w:left="0" w:firstLine="0"/>
        <w:jc w:val="center"/>
      </w:pPr>
      <w:r>
        <w:rPr>
          <w:b/>
          <w:bCs/>
        </w:rPr>
        <w:t xml:space="preserve">No.</w:t>
      </w:r>
      <w:r>
        <w:rPr>
          <w:b/>
          <w:bCs/>
        </w:rPr>
        <w:t xml:space="preserve"> </w:t>
      </w:r>
      <w:r>
        <w:rPr>
          <w:b/>
          <w:bCs/>
        </w:rPr>
        <w:t xml:space="preserve">85434</w:t>
      </w:r>
    </w:p>
    <w:p>
      <w:pPr>
        <w:spacing w:before="432" w:after="0" w:line="322" w:lineRule="exact"/>
        <w:ind w:left="0" w:firstLine="0"/>
        <w:jc w:val="center"/>
      </w:pPr>
      <w:r>
        <w:t xml:space="preserve">PROGRESSIVE</w:t>
      </w:r>
      <w:r>
        <w:t xml:space="preserve"> </w:t>
      </w:r>
      <w:r>
        <w:t xml:space="preserve">LEADERSHIP</w:t>
      </w:r>
      <w:r>
        <w:t xml:space="preserve"> </w:t>
      </w:r>
      <w:r>
        <w:t xml:space="preserve">ALLIANCE</w:t>
      </w:r>
      <w:r>
        <w:t xml:space="preserve"> </w:t>
      </w:r>
      <w:r>
        <w:t xml:space="preserve">OF</w:t>
      </w:r>
      <w:r>
        <w:t xml:space="preserve"> </w:t>
      </w:r>
      <w:r>
        <w:t xml:space="preserve">NEVADA,</w:t>
      </w:r>
    </w:p>
    <w:p>
      <w:pPr>
        <w:spacing w:before="112" w:after="0" w:line="322" w:lineRule="exact"/>
        <w:ind w:left="0" w:firstLine="0"/>
        <w:jc w:val="center"/>
      </w:pPr>
      <w:r>
        <w:rPr>
          <w:i/>
          <w:iCs/>
        </w:rPr>
        <w:t xml:space="preserve">Appellant,</w:t>
      </w:r>
    </w:p>
    <w:p>
      <w:pPr>
        <w:spacing w:before="288" w:after="288" w:line="322" w:lineRule="exact"/>
        <w:ind w:left="0" w:firstLine="0"/>
        <w:jc w:val="center"/>
      </w:pPr>
      <w:r>
        <w:t xml:space="preserve">v.</w:t>
      </w:r>
    </w:p>
    <w:p>
      <w:pPr>
        <w:spacing w:before="0" w:after="0" w:line="322" w:lineRule="exact"/>
        <w:ind w:left="0" w:firstLine="0"/>
        <w:jc w:val="center"/>
      </w:pPr>
      <w:r>
        <w:t xml:space="preserve">BARBARA</w:t>
      </w:r>
      <w:r>
        <w:t xml:space="preserve"> </w:t>
      </w:r>
      <w:r>
        <w:t xml:space="preserve">CEGAVSKE,</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Nevada</w:t>
      </w:r>
      <w:r>
        <w:t xml:space="preserve"> </w:t>
      </w:r>
      <w:r>
        <w:t xml:space="preserve">Secretary</w:t>
      </w:r>
      <w:r>
        <w:t xml:space="preserve"> </w:t>
      </w:r>
      <w:r>
        <w:t xml:space="preserve">of</w:t>
      </w:r>
      <w:r>
        <w:t xml:space="preserve"> </w:t>
      </w:r>
      <w:r>
        <w:t xml:space="preserve">State,</w:t>
      </w:r>
    </w:p>
    <w:p>
      <w:pPr>
        <w:spacing w:before="112" w:after="0" w:line="322" w:lineRule="exact"/>
        <w:ind w:left="0" w:firstLine="0"/>
        <w:jc w:val="center"/>
      </w:pPr>
      <w:r>
        <w:rPr>
          <w:i/>
          <w:iCs/>
        </w:rPr>
        <w:t xml:space="preserve">Respondent.</w:t>
      </w:r>
    </w:p>
    <w:p>
      <w:pPr>
        <w:spacing w:before="432"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First</w:t>
      </w:r>
      <w:r>
        <w:t xml:space="preserve"> </w:t>
      </w:r>
      <w:r>
        <w:t xml:space="preserve">Judicial</w:t>
      </w:r>
      <w:r>
        <w:t xml:space="preserve"> </w:t>
      </w:r>
      <w:r>
        <w:t xml:space="preserve">District</w:t>
      </w:r>
      <w:r>
        <w:t xml:space="preserve"> </w:t>
      </w:r>
      <w:r>
        <w:t xml:space="preserve">Court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Nevada</w:t>
      </w:r>
    </w:p>
    <w:p>
      <w:pPr>
        <w:spacing w:before="0" w:after="0" w:line="322" w:lineRule="exact"/>
        <w:ind w:left="0" w:firstLine="0"/>
        <w:jc w:val="center"/>
      </w:pPr>
      <w:r>
        <w:t xml:space="preserve">Nevada</w:t>
      </w:r>
      <w:r>
        <w:t xml:space="preserve"> </w:t>
      </w:r>
      <w:r>
        <w:t xml:space="preserve">Case</w:t>
      </w:r>
      <w:r>
        <w:t xml:space="preserve"> </w:t>
      </w:r>
      <w:r>
        <w:t xml:space="preserve">No.</w:t>
      </w:r>
      <w:r>
        <w:t xml:space="preserve"> </w:t>
      </w:r>
      <w:r>
        <w:t xml:space="preserve">22-OC</w:t>
        <w:noBreakHyphen/>
        <w:t xml:space="preserve">000101</w:t>
        <w:noBreakHyphen/>
        <w:t xml:space="preserve">1B</w:t>
      </w:r>
    </w:p>
    <w:p>
      <w:pPr>
        <w:spacing w:before="0" w:after="0" w:line="1701" w:lineRule="exact"/>
      </w:pPr>
    </w:p>
    <w:p>
      <w:pPr>
        <w:spacing w:before="0" w:after="0" w:line="368" w:lineRule="exact"/>
        <w:ind w:left="0" w:firstLine="0"/>
        <w:jc w:val="center"/>
      </w:pPr>
      <w:r>
        <w:rPr>
          <w:b/>
          <w:bCs/>
          <w:sz w:val="32"/>
          <w:szCs w:val="32"/>
        </w:rPr>
        <w:t xml:space="preserve">RESPONDENT</w:t>
      </w:r>
      <w:r>
        <w:rPr>
          <w:b/>
          <w:bCs/>
          <w:sz w:val="32"/>
          <w:szCs w:val="32"/>
        </w:rPr>
        <w:t xml:space="preserve"> </w:t>
      </w:r>
      <w:r>
        <w:rPr>
          <w:b/>
          <w:bCs/>
          <w:sz w:val="32"/>
          <w:szCs w:val="32"/>
        </w:rPr>
        <w:t xml:space="preserve">BARBARA</w:t>
      </w:r>
      <w:r>
        <w:rPr>
          <w:b/>
          <w:bCs/>
          <w:sz w:val="32"/>
          <w:szCs w:val="32"/>
        </w:rPr>
        <w:t xml:space="preserve"> </w:t>
      </w:r>
      <w:r>
        <w:rPr>
          <w:b/>
          <w:bCs/>
          <w:sz w:val="32"/>
          <w:szCs w:val="32"/>
        </w:rPr>
        <w:t xml:space="preserve">CEGAVSKE’S</w:t>
      </w:r>
      <w:r>
        <w:rPr>
          <w:b/>
          <w:bCs/>
          <w:sz w:val="32"/>
          <w:szCs w:val="32"/>
        </w:rPr>
        <w:t xml:space="preserve"> </w:t>
      </w:r>
      <w:r>
        <w:rPr>
          <w:b/>
          <w:bCs/>
          <w:sz w:val="32"/>
          <w:szCs w:val="32"/>
        </w:rPr>
        <w:t xml:space="preserve">ANSWERING</w:t>
      </w:r>
      <w:r>
        <w:rPr>
          <w:b/>
          <w:bCs/>
          <w:sz w:val="32"/>
          <w:szCs w:val="32"/>
        </w:rPr>
        <w:t xml:space="preserve"> </w:t>
      </w:r>
      <w:r>
        <w:rPr>
          <w:b/>
          <w:bCs/>
          <w:sz w:val="32"/>
          <w:szCs w:val="32"/>
        </w:rPr>
        <w:t xml:space="preserve">BRIEF</w:t>
      </w:r>
    </w:p>
    <w:p>
      <w:pPr>
        <w:spacing w:before="0" w:after="0" w:line="170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AARON</w:t>
            </w:r>
            <w:r>
              <w:rPr>
                <w:b/>
                <w:bCs/>
              </w:rPr>
              <w:t xml:space="preserve"> </w:t>
            </w:r>
            <w:r>
              <w:rPr>
                <w:b/>
                <w:bCs/>
              </w:rPr>
              <w:t xml:space="preserve">D.</w:t>
            </w:r>
            <w:r>
              <w:rPr>
                <w:b/>
                <w:bCs/>
              </w:rPr>
              <w:t xml:space="preserve"> </w:t>
            </w:r>
            <w:r>
              <w:rPr>
                <w:b/>
                <w:bCs/>
              </w:rPr>
              <w:t xml:space="preserve">FORD</w:t>
            </w:r>
          </w:p>
          <w:p>
            <w:pPr>
              <w:spacing w:before="0" w:after="0" w:line="322" w:lineRule="exact"/>
              <w:ind w:left="0" w:firstLine="0"/>
              <w:jc w:val="left"/>
            </w:pPr>
            <w:r>
              <w:rPr>
                <w:b/>
                <w:bCs/>
              </w:rPr>
              <w:t xml:space="preserve">Nevada</w:t>
            </w:r>
            <w:r>
              <w:rPr>
                <w:b/>
                <w:bCs/>
              </w:rPr>
              <w:t xml:space="preserve"> </w:t>
            </w:r>
            <w:r>
              <w:rPr>
                <w:b/>
                <w:bCs/>
              </w:rPr>
              <w:t xml:space="preserve">Attorney</w:t>
            </w:r>
            <w:r>
              <w:rPr>
                <w:b/>
                <w:bCs/>
              </w:rPr>
              <w:t xml:space="preserve"> </w:t>
            </w:r>
            <w:r>
              <w:rPr>
                <w:b/>
                <w:bCs/>
              </w:rPr>
              <w:t xml:space="preserve">General</w:t>
            </w:r>
          </w:p>
          <w:p>
            <w:pPr>
              <w:spacing w:before="0" w:after="0" w:line="322" w:lineRule="exact"/>
              <w:ind w:left="0" w:firstLine="0"/>
              <w:jc w:val="left"/>
            </w:pPr>
            <w:r>
              <w:rPr>
                <w:b/>
                <w:bCs/>
              </w:rPr>
              <w:t xml:space="preserve">CRAIG</w:t>
            </w:r>
            <w:r>
              <w:rPr>
                <w:b/>
                <w:bCs/>
              </w:rPr>
              <w:t xml:space="preserve"> </w:t>
            </w:r>
            <w:r>
              <w:rPr>
                <w:b/>
                <w:bCs/>
              </w:rPr>
              <w:t xml:space="preserve">A.</w:t>
            </w:r>
            <w:r>
              <w:rPr>
                <w:b/>
                <w:bCs/>
              </w:rPr>
              <w:t xml:space="preserve"> </w:t>
            </w:r>
            <w:r>
              <w:rPr>
                <w:b/>
                <w:bCs/>
              </w:rPr>
              <w:t xml:space="preserve">NEWBY</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8591)</w:t>
            </w:r>
          </w:p>
          <w:p>
            <w:pPr>
              <w:spacing w:before="0" w:after="0" w:line="322" w:lineRule="exact"/>
              <w:ind w:left="0" w:firstLine="0"/>
              <w:jc w:val="left"/>
            </w:pPr>
            <w:r>
              <w:rPr>
                <w:b/>
                <w:bCs/>
              </w:rPr>
              <w:t xml:space="preserve">Deputy</w:t>
            </w:r>
            <w:r>
              <w:rPr>
                <w:b/>
                <w:bCs/>
              </w:rPr>
              <w:t xml:space="preserve"> </w:t>
            </w:r>
            <w:r>
              <w:rPr>
                <w:b/>
                <w:bCs/>
              </w:rPr>
              <w:t xml:space="preserve">Solicitor</w:t>
            </w:r>
            <w:r>
              <w:rPr>
                <w:b/>
                <w:bCs/>
              </w:rPr>
              <w:t xml:space="preserve"> </w:t>
            </w:r>
            <w:r>
              <w:rPr>
                <w:b/>
                <w:bCs/>
              </w:rPr>
              <w:t xml:space="preserve">General</w:t>
            </w:r>
          </w:p>
          <w:p>
            <w:pPr>
              <w:spacing w:before="0" w:after="0" w:line="322" w:lineRule="exact"/>
              <w:ind w:left="0" w:firstLine="0"/>
              <w:jc w:val="left"/>
            </w:pPr>
            <w:r>
              <w:rPr>
                <w:b/>
                <w:bCs/>
              </w:rPr>
              <w:t xml:space="preserve">LAENA</w:t>
            </w:r>
            <w:r>
              <w:rPr>
                <w:b/>
                <w:bCs/>
              </w:rPr>
              <w:t xml:space="preserve"> </w:t>
            </w:r>
            <w:r>
              <w:rPr>
                <w:b/>
                <w:bCs/>
              </w:rPr>
              <w:t xml:space="preserve">ST-JULES</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15156)</w:t>
            </w:r>
          </w:p>
          <w:p>
            <w:pPr>
              <w:spacing w:before="0" w:after="0" w:line="322" w:lineRule="exact"/>
              <w:ind w:left="0" w:firstLine="0"/>
              <w:jc w:val="left"/>
            </w:pPr>
            <w:r>
              <w:rPr>
                <w:b/>
                <w:bCs/>
              </w:rPr>
              <w:t xml:space="preserve">Deputy</w:t>
            </w:r>
            <w:r>
              <w:rPr>
                <w:b/>
                <w:bCs/>
              </w:rPr>
              <w:t xml:space="preserve"> </w:t>
            </w:r>
            <w:r>
              <w:rPr>
                <w:b/>
                <w:bCs/>
              </w:rPr>
              <w:t xml:space="preserve">Attorney</w:t>
            </w:r>
            <w:r>
              <w:rPr>
                <w:b/>
                <w:bCs/>
              </w:rPr>
              <w:t xml:space="preserve"> </w:t>
            </w:r>
            <w:r>
              <w:rPr>
                <w:b/>
                <w:bCs/>
              </w:rPr>
              <w:t xml:space="preserve">General</w:t>
            </w:r>
          </w:p>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Nevada</w:t>
            </w:r>
            <w:r>
              <w:t xml:space="preserve"> </w:t>
            </w:r>
            <w:r>
              <w:t xml:space="preserve">Attorney</w:t>
            </w:r>
            <w:r>
              <w:t xml:space="preserve"> </w:t>
            </w:r>
            <w:r>
              <w:t xml:space="preserve">General</w:t>
            </w:r>
          </w:p>
          <w:p>
            <w:pPr>
              <w:spacing w:before="0" w:after="0" w:line="322" w:lineRule="exact"/>
              <w:ind w:left="0" w:firstLine="0"/>
              <w:jc w:val="left"/>
            </w:pPr>
            <w:r>
              <w:t xml:space="preserve">555</w:t>
            </w:r>
            <w:r>
              <w:t xml:space="preserve"> </w:t>
            </w:r>
            <w:r>
              <w:t xml:space="preserve">E.</w:t>
            </w:r>
            <w:r>
              <w:t xml:space="preserve"> </w:t>
            </w:r>
            <w:r>
              <w:t xml:space="preserve">Washington</w:t>
            </w:r>
            <w:r>
              <w:t xml:space="preserve"> </w:t>
            </w:r>
            <w:r>
              <w:t xml:space="preserve">Ave.,</w:t>
            </w:r>
            <w:r>
              <w:t xml:space="preserve"> </w:t>
            </w:r>
            <w:r>
              <w:t xml:space="preserve">Ste.</w:t>
            </w:r>
            <w:r>
              <w:t xml:space="preserve"> </w:t>
            </w:r>
            <w:r>
              <w:t xml:space="preserve">3900</w:t>
            </w:r>
          </w:p>
          <w:p>
            <w:pPr>
              <w:spacing w:before="0" w:after="0" w:line="322" w:lineRule="exact"/>
              <w:ind w:left="0" w:firstLine="0"/>
              <w:jc w:val="left"/>
            </w:pPr>
            <w:r>
              <w:t xml:space="preserve">Las</w:t>
            </w:r>
            <w:r>
              <w:t xml:space="preserve"> </w:t>
            </w:r>
            <w:r>
              <w:t xml:space="preserve">Vegas,</w:t>
            </w:r>
            <w:r>
              <w:t xml:space="preserve"> </w:t>
            </w:r>
            <w:r>
              <w:t xml:space="preserve">NV</w:t>
            </w:r>
            <w:r>
              <w:t xml:space="preserve"> </w:t>
            </w:r>
            <w:r>
              <w:t xml:space="preserve">89101</w:t>
            </w:r>
          </w:p>
          <w:p>
            <w:pPr>
              <w:spacing w:before="0" w:after="0" w:line="322" w:lineRule="exact"/>
              <w:ind w:left="0" w:firstLine="0"/>
              <w:jc w:val="left"/>
            </w:pPr>
            <w:r>
              <w:t xml:space="preserve">(702)</w:t>
            </w:r>
            <w:r>
              <w:t xml:space="preserve"> </w:t>
            </w:r>
            <w:r>
              <w:t xml:space="preserve">486</w:t>
              <w:noBreakHyphen/>
              <w:t xml:space="preserve">3594</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Respondent</w:t>
            </w:r>
            <w:r>
              <w:rPr>
                <w:i/>
                <w:iCs/>
              </w:rPr>
              <w:t xml:space="preserve"> </w:t>
            </w:r>
            <w:r>
              <w:rPr>
                <w:i/>
                <w:iCs/>
              </w:rPr>
              <w:t xml:space="preserve">Barbara</w:t>
            </w:r>
            <w:r>
              <w:rPr>
                <w:i/>
                <w:iCs/>
              </w:rPr>
              <w:t xml:space="preserve"> </w:t>
            </w:r>
            <w:r>
              <w:rPr>
                <w:i/>
                <w:iCs/>
              </w:rPr>
              <w:t xml:space="preserve">Cegavske,</w:t>
            </w:r>
            <w:r>
              <w:rPr>
                <w:i/>
                <w:iCs/>
              </w:rPr>
              <w:t xml:space="preserve"> </w:t>
            </w:r>
            <w:r>
              <w:rPr>
                <w:i/>
                <w:iCs/>
              </w:rPr>
              <w:t xml:space="preserve">in</w:t>
            </w:r>
            <w:r>
              <w:rPr>
                <w:i/>
                <w:iCs/>
              </w:rPr>
              <w:t xml:space="preserve"> </w:t>
            </w:r>
            <w:r>
              <w:rPr>
                <w:i/>
                <w:iCs/>
              </w:rPr>
              <w:t xml:space="preserve">her</w:t>
            </w:r>
            <w:r>
              <w:rPr>
                <w:i/>
                <w:iCs/>
              </w:rPr>
              <w:t xml:space="preserve"> </w:t>
            </w:r>
            <w:r>
              <w:rPr>
                <w:i/>
                <w:iCs/>
              </w:rPr>
              <w:t xml:space="preserve">official</w:t>
            </w:r>
            <w:r>
              <w:rPr>
                <w:i/>
                <w:iCs/>
              </w:rPr>
              <w:t xml:space="preserve"> </w:t>
            </w:r>
            <w:r>
              <w:rPr>
                <w:i/>
                <w:iCs/>
              </w:rPr>
              <w:t xml:space="preserve">capacity</w:t>
            </w:r>
            <w:r>
              <w:rPr>
                <w:i/>
                <w:iCs/>
              </w:rPr>
              <w:t xml:space="preserve"> </w:t>
            </w:r>
            <w:r>
              <w:rPr>
                <w:i/>
                <w:iCs/>
              </w:rPr>
              <w:t xml:space="preserve">as</w:t>
            </w:r>
            <w:r>
              <w:rPr>
                <w:i/>
                <w:iCs/>
              </w:rPr>
              <w:t xml:space="preserve"> </w:t>
            </w:r>
            <w:r>
              <w:rPr>
                <w:i/>
                <w:iCs/>
              </w:rPr>
              <w:t xml:space="preserve">Nevada</w:t>
            </w:r>
            <w:r>
              <w:rPr>
                <w:i/>
                <w:iCs/>
              </w:rPr>
              <w:t xml:space="preserve"> </w:t>
            </w:r>
            <w:r>
              <w:rPr>
                <w:i/>
                <w:iCs/>
              </w:rPr>
              <w:t xml:space="preserve">Secretary</w:t>
            </w:r>
            <w:r>
              <w:rPr>
                <w:i/>
                <w:iCs/>
              </w:rPr>
              <w:t xml:space="preserve"> </w:t>
            </w:r>
            <w:r>
              <w:rPr>
                <w:i/>
                <w:iCs/>
              </w:rPr>
              <w:t xml:space="preserve">of</w:t>
            </w:r>
            <w:r>
              <w:rPr>
                <w:i/>
                <w:iCs/>
              </w:rPr>
              <w:t xml:space="preserve"> </w:t>
            </w:r>
            <w:r>
              <w:rPr>
                <w:i/>
                <w:iCs/>
              </w:rPr>
              <w:t xml:space="preserve">State</w:t>
            </w:r>
          </w:p>
        </w:tc>
        <w:tc>
          <w:tcPr>
            <w:tcW w:w="4968" w:type="dxa"/>
            <w:tcMar>
              <w:left w:w="576"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1</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Facts</w:t>
      </w:r>
      <w:r>
        <w:t xml:space="preserve">   </w:t>
      </w:r>
      <w:r>
        <w:tab/>
      </w:r>
      <w:r>
        <w:t xml:space="preserve">3</w:t>
      </w:r>
    </w:p>
    <w:p>
      <w:pPr>
        <w:keepLines/>
        <w:tabs>
          <w:tab w:val="right" w:leader="dot" w:pos="9360"/>
        </w:tabs>
        <w:spacing w:before="252" w:after="0" w:line="322" w:lineRule="exact"/>
        <w:ind w:left="840" w:right="720" w:hanging="420"/>
      </w:pPr>
      <w:r>
        <w:t xml:space="preserve">I.</w:t>
      </w:r>
      <w:r>
        <w:t xml:space="preserve"> </w:t>
      </w:r>
      <w:r>
        <w:t xml:space="preserve">Nevada’s</w:t>
      </w:r>
      <w:r>
        <w:t xml:space="preserve"> </w:t>
      </w:r>
      <w:r>
        <w:t xml:space="preserve">Voting</w:t>
      </w:r>
      <w:r>
        <w:t xml:space="preserve"> </w:t>
      </w:r>
      <w:r>
        <w:t xml:space="preserve">Method</w:t>
      </w:r>
      <w:r>
        <w:t xml:space="preserve"> </w:t>
      </w:r>
      <w:r>
        <w:t xml:space="preserve">Laws</w:t>
      </w:r>
      <w:r>
        <w:t xml:space="preserve"> </w:t>
      </w:r>
      <w:r>
        <w:t xml:space="preserve">and</w:t>
      </w:r>
      <w:r>
        <w:t xml:space="preserve"> </w:t>
      </w:r>
      <w:r>
        <w:t xml:space="preserve">Rules</w:t>
      </w:r>
      <w:r>
        <w:t xml:space="preserve">   </w:t>
      </w:r>
      <w:r>
        <w:tab/>
      </w:r>
      <w:r>
        <w:t xml:space="preserve">3</w:t>
      </w:r>
    </w:p>
    <w:p>
      <w:pPr>
        <w:keepLines/>
        <w:tabs>
          <w:tab w:val="right" w:leader="dot" w:pos="9360"/>
        </w:tabs>
        <w:spacing w:before="252" w:after="0" w:line="322" w:lineRule="exact"/>
        <w:ind w:left="840" w:right="720" w:hanging="420"/>
      </w:pPr>
      <w:r>
        <w:t xml:space="preserve">II.</w:t>
      </w:r>
      <w:r>
        <w:t xml:space="preserve"> </w:t>
      </w:r>
      <w:r>
        <w:t xml:space="preserve">The</w:t>
      </w:r>
      <w:r>
        <w:t xml:space="preserve"> </w:t>
      </w:r>
      <w:r>
        <w:t xml:space="preserve">Help</w:t>
      </w:r>
      <w:r>
        <w:t xml:space="preserve"> </w:t>
      </w:r>
      <w:r>
        <w:t xml:space="preserve">America</w:t>
      </w:r>
      <w:r>
        <w:t xml:space="preserve"> </w:t>
      </w:r>
      <w:r>
        <w:t xml:space="preserve">Vote</w:t>
      </w:r>
      <w:r>
        <w:t xml:space="preserve"> </w:t>
      </w:r>
      <w:r>
        <w:t xml:space="preserve">Act</w:t>
      </w:r>
      <w:r>
        <w:t xml:space="preserve">   </w:t>
      </w:r>
      <w:r>
        <w:tab/>
      </w:r>
      <w:r>
        <w:t xml:space="preserve">5</w:t>
      </w:r>
    </w:p>
    <w:p>
      <w:pPr>
        <w:keepLines/>
        <w:tabs>
          <w:tab w:val="right" w:leader="dot" w:pos="9360"/>
        </w:tabs>
        <w:spacing w:before="252" w:after="0" w:line="322" w:lineRule="exact"/>
        <w:ind w:left="840" w:right="720" w:hanging="420"/>
      </w:pPr>
      <w:r>
        <w:t xml:space="preserve">III.</w:t>
      </w:r>
      <w:r>
        <w:t xml:space="preserve"> </w:t>
      </w:r>
      <w:r>
        <w:t xml:space="preserve">Nevada</w:t>
      </w:r>
      <w:r>
        <w:t xml:space="preserve"> </w:t>
      </w:r>
      <w:r>
        <w:t xml:space="preserve">Adopts</w:t>
      </w:r>
      <w:r>
        <w:t xml:space="preserve"> </w:t>
      </w:r>
      <w:r>
        <w:t xml:space="preserve">NRS</w:t>
      </w:r>
      <w:r>
        <w:t xml:space="preserve"> </w:t>
      </w:r>
      <w:r>
        <w:t xml:space="preserve">293.2696</w:t>
      </w:r>
      <w:r>
        <w:t xml:space="preserve"> </w:t>
      </w:r>
      <w:r>
        <w:t xml:space="preserve">to</w:t>
      </w:r>
      <w:r>
        <w:t xml:space="preserve"> </w:t>
      </w:r>
      <w:r>
        <w:t xml:space="preserve">Comply</w:t>
      </w:r>
      <w:r>
        <w:t xml:space="preserve"> </w:t>
      </w:r>
      <w:r>
        <w:t xml:space="preserve">with</w:t>
      </w:r>
      <w:r>
        <w:t xml:space="preserve"> </w:t>
      </w:r>
      <w:r>
        <w:t xml:space="preserve">HAVA</w:t>
      </w:r>
      <w:r>
        <w:t xml:space="preserve">   </w:t>
      </w:r>
      <w:r>
        <w:tab/>
      </w:r>
      <w:r>
        <w:t xml:space="preserve">6</w:t>
      </w:r>
    </w:p>
    <w:p>
      <w:pPr>
        <w:keepLines/>
        <w:tabs>
          <w:tab w:val="right" w:leader="dot" w:pos="9360"/>
        </w:tabs>
        <w:spacing w:before="252" w:after="0" w:line="322" w:lineRule="exact"/>
        <w:ind w:left="420" w:right="720" w:hanging="4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8</w:t>
      </w:r>
    </w:p>
    <w:p>
      <w:pPr>
        <w:keepLines/>
        <w:tabs>
          <w:tab w:val="right" w:leader="dot" w:pos="9360"/>
        </w:tabs>
        <w:spacing w:before="252" w:after="0" w:line="322" w:lineRule="exact"/>
        <w:ind w:left="420" w:right="720" w:hanging="420"/>
      </w:pPr>
      <w:r>
        <w:t xml:space="preserve">Argument</w:t>
      </w:r>
      <w:r>
        <w:t xml:space="preserve">   </w:t>
      </w:r>
      <w:r>
        <w:tab/>
      </w:r>
      <w:r>
        <w:t xml:space="preserve">9</w:t>
      </w:r>
    </w:p>
    <w:p>
      <w:pPr>
        <w:keepLines/>
        <w:tabs>
          <w:tab w:val="right" w:leader="dot" w:pos="9360"/>
        </w:tabs>
        <w:spacing w:before="252" w:after="0" w:line="322" w:lineRule="exact"/>
        <w:ind w:left="840" w:right="720" w:hanging="420"/>
      </w:pPr>
      <w:r>
        <w:t xml:space="preserve">I.</w:t>
      </w:r>
      <w:r>
        <w:t xml:space="preserve"> </w:t>
      </w:r>
      <w:r>
        <w:t xml:space="preserve">Standard</w:t>
      </w:r>
      <w:r>
        <w:t xml:space="preserve"> </w:t>
      </w:r>
      <w:r>
        <w:t xml:space="preserve">of</w:t>
      </w:r>
      <w:r>
        <w:t xml:space="preserve"> </w:t>
      </w:r>
      <w:r>
        <w:t xml:space="preserve">Review</w:t>
      </w:r>
      <w:r>
        <w:t xml:space="preserve">   </w:t>
      </w:r>
      <w:r>
        <w:tab/>
      </w:r>
      <w:r>
        <w:t xml:space="preserve">9</w:t>
      </w:r>
    </w:p>
    <w:p>
      <w:pPr>
        <w:keepLines/>
        <w:tabs>
          <w:tab w:val="right" w:leader="dot" w:pos="9360"/>
        </w:tabs>
        <w:spacing w:before="252" w:after="0" w:line="322" w:lineRule="exact"/>
        <w:ind w:left="840" w:right="720" w:hanging="420"/>
      </w:pPr>
      <w:r>
        <w:t xml:space="preserve">II.</w:t>
      </w:r>
      <w:r>
        <w:t xml:space="preserve"> </w:t>
      </w:r>
      <w:r>
        <w:t xml:space="preserve">This</w:t>
      </w:r>
      <w:r>
        <w:t xml:space="preserve"> </w:t>
      </w:r>
      <w:r>
        <w:t xml:space="preserve">Appeal</w:t>
      </w:r>
      <w:r>
        <w:t xml:space="preserve"> </w:t>
      </w:r>
      <w:r>
        <w:t xml:space="preserve">Is</w:t>
      </w:r>
      <w:r>
        <w:t xml:space="preserve"> </w:t>
      </w:r>
      <w:r>
        <w:t xml:space="preserve">Moot</w:t>
      </w:r>
      <w:r>
        <w:t xml:space="preserve"> </w:t>
      </w:r>
      <w:r>
        <w:t xml:space="preserve">because</w:t>
      </w:r>
      <w:r>
        <w:t xml:space="preserve"> </w:t>
      </w:r>
      <w:r>
        <w:t xml:space="preserve">the</w:t>
      </w:r>
      <w:r>
        <w:t xml:space="preserve"> </w:t>
      </w:r>
      <w:r>
        <w:t xml:space="preserve">Temporary</w:t>
      </w:r>
      <w:r>
        <w:t xml:space="preserve"> </w:t>
      </w:r>
      <w:r>
        <w:t xml:space="preserve">Regulation</w:t>
      </w:r>
      <w:r>
        <w:t xml:space="preserve"> </w:t>
      </w:r>
      <w:r>
        <w:t xml:space="preserve">Will</w:t>
      </w:r>
      <w:r>
        <w:t xml:space="preserve"> </w:t>
      </w:r>
      <w:r>
        <w:t xml:space="preserve">Expire</w:t>
      </w:r>
      <w:r>
        <w:t xml:space="preserve"> </w:t>
      </w:r>
      <w:r>
        <w:t xml:space="preserve">Before</w:t>
      </w:r>
      <w:r>
        <w:t xml:space="preserve"> </w:t>
      </w:r>
      <w:r>
        <w:t xml:space="preserve">it</w:t>
      </w:r>
      <w:r>
        <w:t xml:space="preserve"> </w:t>
      </w:r>
      <w:r>
        <w:t xml:space="preserve">Applies</w:t>
      </w:r>
      <w:r>
        <w:t xml:space="preserve"> </w:t>
      </w:r>
      <w:r>
        <w:t xml:space="preserve">to</w:t>
      </w:r>
      <w:r>
        <w:t xml:space="preserve"> </w:t>
      </w:r>
      <w:r>
        <w:t xml:space="preserve">any</w:t>
      </w:r>
      <w:r>
        <w:t xml:space="preserve"> </w:t>
      </w:r>
      <w:r>
        <w:t xml:space="preserve">County</w:t>
      </w:r>
      <w:r>
        <w:t xml:space="preserve">   </w:t>
      </w:r>
      <w:r>
        <w:tab/>
      </w:r>
      <w:r>
        <w:t xml:space="preserve">10</w:t>
      </w:r>
    </w:p>
    <w:p>
      <w:pPr>
        <w:keepLines/>
        <w:tabs>
          <w:tab w:val="right" w:leader="dot" w:pos="9360"/>
        </w:tabs>
        <w:spacing w:before="252" w:after="0" w:line="322" w:lineRule="exact"/>
        <w:ind w:left="840" w:right="720" w:hanging="420"/>
      </w:pPr>
      <w:r>
        <w:t xml:space="preserve">III.</w:t>
      </w:r>
      <w:r>
        <w:t xml:space="preserve"> </w:t>
      </w:r>
      <w:r>
        <w:t xml:space="preserve">The</w:t>
      </w:r>
      <w:r>
        <w:t xml:space="preserve"> </w:t>
      </w:r>
      <w:r>
        <w:t xml:space="preserve">District</w:t>
      </w:r>
      <w:r>
        <w:t xml:space="preserve"> </w:t>
      </w:r>
      <w:r>
        <w:t xml:space="preserve">Court</w:t>
      </w:r>
      <w:r>
        <w:t xml:space="preserve"> </w:t>
      </w:r>
      <w:r>
        <w:t xml:space="preserve">Correctly</w:t>
      </w:r>
      <w:r>
        <w:t xml:space="preserve"> </w:t>
      </w:r>
      <w:r>
        <w:t xml:space="preserve">Determined</w:t>
      </w:r>
      <w:r>
        <w:t xml:space="preserve"> </w:t>
      </w:r>
      <w:r>
        <w:t xml:space="preserve">that</w:t>
      </w:r>
      <w:r>
        <w:t xml:space="preserve"> </w:t>
      </w:r>
      <w:r>
        <w:t xml:space="preserve">PLAN</w:t>
      </w:r>
      <w:r>
        <w:t xml:space="preserve"> </w:t>
      </w:r>
      <w:r>
        <w:t xml:space="preserve">Was</w:t>
      </w:r>
      <w:r>
        <w:t xml:space="preserve"> </w:t>
      </w:r>
      <w:r>
        <w:t xml:space="preserve">Unlikely</w:t>
      </w:r>
      <w:r>
        <w:t xml:space="preserve"> </w:t>
      </w:r>
      <w:r>
        <w:t xml:space="preserve">to</w:t>
      </w:r>
      <w:r>
        <w:t xml:space="preserve"> </w:t>
      </w:r>
      <w:r>
        <w:t xml:space="preserve">Succeed</w:t>
      </w:r>
      <w:r>
        <w:t xml:space="preserve"> </w:t>
      </w:r>
      <w:r>
        <w:t xml:space="preserve">on</w:t>
      </w:r>
      <w:r>
        <w:t xml:space="preserve"> </w:t>
      </w:r>
      <w:r>
        <w:t xml:space="preserve">the</w:t>
      </w:r>
      <w:r>
        <w:t xml:space="preserve"> </w:t>
      </w:r>
      <w:r>
        <w:t xml:space="preserve">Merits</w:t>
      </w:r>
      <w:r>
        <w:t xml:space="preserve"> </w:t>
      </w:r>
      <w:r>
        <w:t xml:space="preserve">of</w:t>
      </w:r>
      <w:r>
        <w:t xml:space="preserve"> </w:t>
      </w:r>
      <w:r>
        <w:t xml:space="preserve">its</w:t>
      </w:r>
      <w:r>
        <w:t xml:space="preserve"> </w:t>
      </w:r>
      <w:r>
        <w:t xml:space="preserve">Case</w:t>
      </w:r>
      <w:r>
        <w:t xml:space="preserve">   </w:t>
      </w:r>
      <w:r>
        <w:tab/>
      </w:r>
      <w:r>
        <w:t xml:space="preserve">12</w:t>
      </w:r>
    </w:p>
    <w:p>
      <w:pPr>
        <w:keepLines/>
        <w:tabs>
          <w:tab w:val="right" w:leader="dot" w:pos="9360"/>
        </w:tabs>
        <w:spacing w:before="252" w:after="0" w:line="322" w:lineRule="exact"/>
        <w:ind w:left="1260" w:right="720" w:hanging="420"/>
      </w:pPr>
      <w:r>
        <w:t xml:space="preserve">A.</w:t>
      </w:r>
      <w:r>
        <w:t xml:space="preserve"> </w:t>
      </w:r>
      <w:r>
        <w:t xml:space="preserve">Nevada</w:t>
      </w:r>
      <w:r>
        <w:t xml:space="preserve"> </w:t>
      </w:r>
      <w:r>
        <w:t xml:space="preserve">Law</w:t>
      </w:r>
      <w:r>
        <w:t xml:space="preserve"> </w:t>
      </w:r>
      <w:r>
        <w:t xml:space="preserve">Does</w:t>
      </w:r>
      <w:r>
        <w:t xml:space="preserve"> </w:t>
      </w:r>
      <w:r>
        <w:t xml:space="preserve">Not</w:t>
      </w:r>
      <w:r>
        <w:t xml:space="preserve"> </w:t>
      </w:r>
      <w:r>
        <w:t xml:space="preserve">Prohibit</w:t>
      </w:r>
      <w:r>
        <w:t xml:space="preserve"> </w:t>
      </w:r>
      <w:r>
        <w:t xml:space="preserve">the</w:t>
      </w:r>
      <w:r>
        <w:t xml:space="preserve"> </w:t>
      </w:r>
      <w:r>
        <w:t xml:space="preserve">Hand</w:t>
      </w:r>
      <w:r>
        <w:t xml:space="preserve"> </w:t>
      </w:r>
      <w:r>
        <w:t xml:space="preserve">Counting</w:t>
      </w:r>
      <w:r>
        <w:t xml:space="preserve"> </w:t>
      </w:r>
      <w:r>
        <w:t xml:space="preserve">of</w:t>
      </w:r>
      <w:r>
        <w:t xml:space="preserve"> </w:t>
      </w:r>
      <w:r>
        <w:t xml:space="preserve">Ballots</w:t>
      </w:r>
      <w:r>
        <w:t xml:space="preserve">   </w:t>
      </w:r>
      <w:r>
        <w:tab/>
      </w:r>
      <w:r>
        <w:t xml:space="preserve">12</w:t>
      </w:r>
    </w:p>
    <w:p>
      <w:pPr>
        <w:keepLines/>
        <w:tabs>
          <w:tab w:val="right" w:leader="dot" w:pos="9360"/>
        </w:tabs>
        <w:spacing w:before="252" w:after="0" w:line="322" w:lineRule="exact"/>
        <w:ind w:left="1260" w:right="720" w:hanging="420"/>
      </w:pPr>
      <w:r>
        <w:t xml:space="preserve">B.</w:t>
      </w:r>
      <w:r>
        <w:t xml:space="preserve"> </w:t>
      </w:r>
      <w:r>
        <w:t xml:space="preserve">The</w:t>
      </w:r>
      <w:r>
        <w:t xml:space="preserve"> </w:t>
      </w:r>
      <w:r>
        <w:t xml:space="preserve">Regulation</w:t>
      </w:r>
      <w:r>
        <w:t xml:space="preserve"> </w:t>
      </w:r>
      <w:r>
        <w:t xml:space="preserve">Does</w:t>
      </w:r>
      <w:r>
        <w:t xml:space="preserve"> </w:t>
      </w:r>
      <w:r>
        <w:t xml:space="preserve">Not</w:t>
      </w:r>
      <w:r>
        <w:t xml:space="preserve"> </w:t>
      </w:r>
      <w:r>
        <w:t xml:space="preserve">Create</w:t>
      </w:r>
      <w:r>
        <w:t xml:space="preserve"> </w:t>
      </w:r>
      <w:r>
        <w:t xml:space="preserve">a</w:t>
      </w:r>
      <w:r>
        <w:t xml:space="preserve"> </w:t>
      </w:r>
      <w:r>
        <w:t xml:space="preserve">Non-Uniform</w:t>
      </w:r>
      <w:r>
        <w:t xml:space="preserve"> </w:t>
      </w:r>
      <w:r>
        <w:t xml:space="preserve">Standard</w:t>
      </w:r>
      <w:r>
        <w:t xml:space="preserve"> </w:t>
      </w:r>
      <w:r>
        <w:t xml:space="preserve">for</w:t>
      </w:r>
      <w:r>
        <w:t xml:space="preserve"> </w:t>
      </w:r>
      <w:r>
        <w:t xml:space="preserve">What</w:t>
      </w:r>
      <w:r>
        <w:t xml:space="preserve"> </w:t>
      </w:r>
      <w:r>
        <w:t xml:space="preserve">Qualifies</w:t>
      </w:r>
      <w:r>
        <w:t xml:space="preserve"> </w:t>
      </w:r>
      <w:r>
        <w:t xml:space="preserve">as</w:t>
      </w:r>
      <w:r>
        <w:t xml:space="preserve"> </w:t>
      </w:r>
      <w:r>
        <w:t xml:space="preserve">a</w:t>
      </w:r>
      <w:r>
        <w:t xml:space="preserve"> </w:t>
      </w:r>
      <w:r>
        <w:t xml:space="preserve">Vote</w:t>
      </w:r>
      <w:r>
        <w:t xml:space="preserve">   </w:t>
      </w:r>
      <w:r>
        <w:tab/>
      </w:r>
      <w:r>
        <w:t xml:space="preserve">15</w:t>
      </w:r>
    </w:p>
    <w:p>
      <w:pPr>
        <w:keepLines/>
        <w:tabs>
          <w:tab w:val="right" w:leader="dot" w:pos="9360"/>
        </w:tabs>
        <w:spacing w:before="252" w:after="0" w:line="322" w:lineRule="exact"/>
        <w:ind w:left="1260" w:right="720" w:hanging="420"/>
      </w:pPr>
      <w:r>
        <w:t xml:space="preserve">C.</w:t>
      </w:r>
      <w:r>
        <w:t xml:space="preserve"> </w:t>
      </w:r>
      <w:r>
        <w:t xml:space="preserve">The</w:t>
      </w:r>
      <w:r>
        <w:t xml:space="preserve"> </w:t>
      </w:r>
      <w:r>
        <w:t xml:space="preserve">Regulation</w:t>
      </w:r>
      <w:r>
        <w:t xml:space="preserve"> </w:t>
      </w:r>
      <w:r>
        <w:t xml:space="preserve">Does</w:t>
      </w:r>
      <w:r>
        <w:t xml:space="preserve"> </w:t>
      </w:r>
      <w:r>
        <w:t xml:space="preserve">Not</w:t>
      </w:r>
      <w:r>
        <w:t xml:space="preserve"> </w:t>
      </w:r>
      <w:r>
        <w:t xml:space="preserve">Violate</w:t>
      </w:r>
      <w:r>
        <w:t xml:space="preserve"> </w:t>
      </w:r>
      <w:r>
        <w:t xml:space="preserve">the</w:t>
      </w:r>
      <w:r>
        <w:t xml:space="preserve"> </w:t>
      </w:r>
      <w:r>
        <w:t xml:space="preserve">Equal</w:t>
      </w:r>
      <w:r>
        <w:t xml:space="preserve"> </w:t>
      </w:r>
      <w:r>
        <w:t xml:space="preserve">Protection</w:t>
      </w:r>
      <w:r>
        <w:t xml:space="preserve"> </w:t>
      </w:r>
      <w:r>
        <w:t xml:space="preserve">Clause</w:t>
      </w:r>
      <w:r>
        <w:t xml:space="preserve">   </w:t>
      </w:r>
      <w:r>
        <w:tab/>
      </w:r>
      <w:r>
        <w:t xml:space="preserve">17</w:t>
      </w:r>
    </w:p>
    <w:p>
      <w:pPr>
        <w:keepLines/>
        <w:tabs>
          <w:tab w:val="right" w:leader="dot" w:pos="9360"/>
        </w:tabs>
        <w:spacing w:before="252" w:after="0" w:line="322" w:lineRule="exact"/>
        <w:ind w:left="840" w:right="720" w:hanging="420"/>
      </w:pPr>
      <w:r>
        <w:t xml:space="preserve">IV.</w:t>
      </w:r>
      <w:r>
        <w:t xml:space="preserve"> </w:t>
      </w:r>
      <w:r>
        <w:t xml:space="preserve">The</w:t>
      </w:r>
      <w:r>
        <w:t xml:space="preserve"> </w:t>
      </w:r>
      <w:r>
        <w:t xml:space="preserve">District</w:t>
      </w:r>
      <w:r>
        <w:t xml:space="preserve"> </w:t>
      </w:r>
      <w:r>
        <w:t xml:space="preserve">Court</w:t>
      </w:r>
      <w:r>
        <w:t xml:space="preserve"> </w:t>
      </w:r>
      <w:r>
        <w:t xml:space="preserve">Correctly</w:t>
      </w:r>
      <w:r>
        <w:t xml:space="preserve"> </w:t>
      </w:r>
      <w:r>
        <w:t xml:space="preserve">Determined</w:t>
      </w:r>
      <w:r>
        <w:t xml:space="preserve"> </w:t>
      </w:r>
      <w:r>
        <w:t xml:space="preserve">that</w:t>
      </w:r>
      <w:r>
        <w:t xml:space="preserve"> </w:t>
      </w:r>
      <w:r>
        <w:t xml:space="preserve">Appellant</w:t>
      </w:r>
      <w:r>
        <w:t xml:space="preserve"> </w:t>
      </w:r>
      <w:r>
        <w:t xml:space="preserve">Was</w:t>
      </w:r>
      <w:r>
        <w:t xml:space="preserve"> </w:t>
      </w:r>
      <w:r>
        <w:t xml:space="preserve">Unlikely</w:t>
      </w:r>
      <w:r>
        <w:t xml:space="preserve"> </w:t>
      </w:r>
      <w:r>
        <w:t xml:space="preserve">to</w:t>
      </w:r>
      <w:r>
        <w:t xml:space="preserve"> </w:t>
      </w:r>
      <w:r>
        <w:t xml:space="preserve">Suffer</w:t>
      </w:r>
      <w:r>
        <w:t xml:space="preserve"> </w:t>
      </w:r>
      <w:r>
        <w:t xml:space="preserve">Irreparable</w:t>
      </w:r>
      <w:r>
        <w:t xml:space="preserve"> </w:t>
      </w:r>
      <w:r>
        <w:t xml:space="preserve">Harm</w:t>
      </w:r>
      <w:r>
        <w:t xml:space="preserve">   </w:t>
      </w:r>
      <w:r>
        <w:tab/>
      </w:r>
      <w:r>
        <w:t xml:space="preserve">19</w:t>
      </w:r>
    </w:p>
    <w:p>
      <w:pPr>
        <w:keepLines/>
        <w:tabs>
          <w:tab w:val="right" w:leader="dot" w:pos="9360"/>
        </w:tabs>
        <w:spacing w:before="252" w:after="0" w:line="322" w:lineRule="exact"/>
        <w:ind w:left="840" w:right="720" w:hanging="420"/>
      </w:pPr>
      <w:r>
        <w:t xml:space="preserve">V.</w:t>
      </w:r>
      <w:r>
        <w:t xml:space="preserve"> </w:t>
      </w:r>
      <w:r>
        <w:t xml:space="preserve">The</w:t>
      </w:r>
      <w:r>
        <w:t xml:space="preserve"> </w:t>
      </w:r>
      <w:r>
        <w:t xml:space="preserve">District</w:t>
      </w:r>
      <w:r>
        <w:t xml:space="preserve"> </w:t>
      </w:r>
      <w:r>
        <w:t xml:space="preserve">Court</w:t>
      </w:r>
      <w:r>
        <w:t xml:space="preserve"> </w:t>
      </w:r>
      <w:r>
        <w:t xml:space="preserve">Correctly</w:t>
      </w:r>
      <w:r>
        <w:t xml:space="preserve"> </w:t>
      </w:r>
      <w:r>
        <w:t xml:space="preserve">Determined</w:t>
      </w:r>
      <w:r>
        <w:t xml:space="preserve"> </w:t>
      </w:r>
      <w:r>
        <w:t xml:space="preserve">that</w:t>
      </w:r>
      <w:r>
        <w:t xml:space="preserve"> </w:t>
      </w:r>
      <w:r>
        <w:t xml:space="preserve">the</w:t>
      </w:r>
      <w:r>
        <w:t xml:space="preserve"> </w:t>
      </w:r>
      <w:r>
        <w:t xml:space="preserve">Balance</w:t>
      </w:r>
      <w:r>
        <w:t xml:space="preserve"> </w:t>
      </w:r>
      <w:r>
        <w:t xml:space="preserve">of</w:t>
      </w:r>
      <w:r>
        <w:t xml:space="preserve"> </w:t>
      </w:r>
      <w:r>
        <w:t xml:space="preserve">Equities</w:t>
      </w:r>
      <w:r>
        <w:t xml:space="preserve"> </w:t>
      </w:r>
      <w:r>
        <w:t xml:space="preserve">and</w:t>
      </w:r>
      <w:r>
        <w:t xml:space="preserve"> </w:t>
      </w:r>
      <w:r>
        <w:t xml:space="preserve">Public</w:t>
      </w:r>
      <w:r>
        <w:t xml:space="preserve"> </w:t>
      </w:r>
      <w:r>
        <w:t xml:space="preserve">Interest</w:t>
      </w:r>
      <w:r>
        <w:t xml:space="preserve"> </w:t>
      </w:r>
      <w:r>
        <w:t xml:space="preserve">Favored</w:t>
      </w:r>
      <w:r>
        <w:t xml:space="preserve"> </w:t>
      </w:r>
      <w:r>
        <w:t xml:space="preserve">Denial</w:t>
      </w:r>
      <w:r>
        <w:t xml:space="preserve"> </w:t>
      </w:r>
      <w:r>
        <w:t xml:space="preserve">of</w:t>
      </w:r>
      <w:r>
        <w:t xml:space="preserve"> </w:t>
      </w:r>
      <w:r>
        <w:t xml:space="preserve">the</w:t>
      </w:r>
      <w:r>
        <w:t xml:space="preserve"> </w:t>
      </w:r>
      <w:r>
        <w:t xml:space="preserve">Injunction</w:t>
      </w:r>
      <w:r>
        <w:t xml:space="preserve">   </w:t>
      </w:r>
      <w:r>
        <w:tab/>
      </w:r>
      <w:r>
        <w:t xml:space="preserve">20</w:t>
      </w:r>
    </w:p>
    <w:p>
      <w:pPr>
        <w:keepLines/>
        <w:tabs>
          <w:tab w:val="right" w:leader="dot" w:pos="9360"/>
        </w:tabs>
        <w:spacing w:before="252" w:after="0" w:line="322" w:lineRule="exact"/>
        <w:ind w:left="420" w:right="720" w:hanging="420"/>
      </w:pPr>
      <w:r>
        <w:t xml:space="preserve">Conclusion</w:t>
      </w:r>
      <w:r>
        <w:t xml:space="preserve">   </w:t>
      </w:r>
      <w:r>
        <w:tab/>
      </w:r>
      <w:r>
        <w:t xml:space="preserve">21</w:t>
      </w:r>
    </w:p>
    <w:p>
      <w:pPr>
        <w:keepLines/>
        <w:tabs>
          <w:tab w:val="right" w:leader="dot" w:pos="9360"/>
        </w:tabs>
        <w:spacing w:before="252" w:after="0" w:line="322" w:lineRule="exact"/>
        <w:ind w:left="420" w:right="720" w:hanging="420"/>
      </w:pPr>
      <w:r>
        <w:t xml:space="preserve">Certificate</w:t>
      </w:r>
      <w:r>
        <w:t xml:space="preserve"> </w:t>
      </w:r>
      <w:r>
        <w:t xml:space="preserve">of</w:t>
      </w:r>
      <w:r>
        <w:t xml:space="preserve"> </w:t>
      </w:r>
      <w:r>
        <w:t xml:space="preserve">Compliance</w:t>
      </w:r>
      <w:r>
        <w:t xml:space="preserve">   </w:t>
      </w:r>
      <w:r>
        <w:tab/>
      </w:r>
      <w:r>
        <w:t xml:space="preserve">22</w:t>
      </w:r>
    </w:p>
    <w:p>
      <w:pPr>
        <w:keepLines/>
        <w:tabs>
          <w:tab w:val="right" w:leader="dot" w:pos="9360"/>
        </w:tabs>
        <w:spacing w:before="252" w:after="0" w:line="322" w:lineRule="exact"/>
        <w:ind w:left="420" w:right="720" w:hanging="420"/>
      </w:pPr>
      <w:r>
        <w:t xml:space="preserve">Certificate</w:t>
      </w:r>
      <w:r>
        <w:t xml:space="preserve"> </w:t>
      </w:r>
      <w:r>
        <w:t xml:space="preserve">of</w:t>
      </w:r>
      <w:r>
        <w:t xml:space="preserve"> </w:t>
      </w:r>
      <w:r>
        <w:t xml:space="preserve">Service</w:t>
      </w:r>
      <w:r>
        <w:t xml:space="preserve">   </w:t>
      </w:r>
      <w:r>
        <w:tab/>
      </w:r>
      <w:r>
        <w:t xml:space="preserve">24</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American</w:t>
      </w:r>
      <w:r>
        <w:rPr>
          <w:i/>
          <w:iCs/>
        </w:rPr>
        <w:t xml:space="preserve"> </w:t>
      </w:r>
      <w:r>
        <w:rPr>
          <w:i/>
          <w:iCs/>
        </w:rPr>
        <w:t xml:space="preserve">Civil</w:t>
      </w:r>
      <w:r>
        <w:rPr>
          <w:i/>
          <w:iCs/>
        </w:rPr>
        <w:t xml:space="preserve"> </w:t>
      </w:r>
      <w:r>
        <w:rPr>
          <w:i/>
          <w:iCs/>
        </w:rPr>
        <w:t xml:space="preserve">Liberties</w:t>
      </w:r>
      <w:r>
        <w:rPr>
          <w:i/>
          <w:iCs/>
        </w:rPr>
        <w:t xml:space="preserve"> </w:t>
      </w:r>
      <w:r>
        <w:rPr>
          <w:i/>
          <w:iCs/>
        </w:rPr>
        <w:t xml:space="preserve">Union</w:t>
      </w:r>
      <w:r>
        <w:rPr>
          <w:i/>
          <w:iCs/>
        </w:rPr>
        <w:t xml:space="preserve"> </w:t>
      </w:r>
      <w:r>
        <w:rPr>
          <w:i/>
          <w:iCs/>
        </w:rPr>
        <w:t xml:space="preserve">of</w:t>
      </w:r>
      <w:r>
        <w:rPr>
          <w:i/>
          <w:iCs/>
        </w:rPr>
        <w:t xml:space="preserve"> </w:t>
      </w:r>
      <w:r>
        <w:rPr>
          <w:i/>
          <w:iCs/>
        </w:rPr>
        <w:t xml:space="preserve">Nevada</w:t>
      </w:r>
      <w:r>
        <w:rPr>
          <w:i/>
          <w:iCs/>
        </w:rPr>
        <w:t xml:space="preserve"> </w:t>
      </w:r>
      <w:r>
        <w:rPr>
          <w:i/>
          <w:iCs/>
        </w:rPr>
        <w:t xml:space="preserve">et</w:t>
      </w:r>
      <w:r>
        <w:rPr>
          <w:i/>
          <w:iCs/>
        </w:rPr>
        <w:t xml:space="preserve"> </w:t>
      </w:r>
      <w:r>
        <w:rPr>
          <w:i/>
          <w:iCs/>
        </w:rPr>
        <w:t xml:space="preserve">al.</w:t>
      </w:r>
      <w:r>
        <w:rPr>
          <w:i/>
          <w:iCs/>
        </w:rPr>
        <w:t xml:space="preserve"> </w:t>
      </w:r>
      <w:r>
        <w:rPr>
          <w:i/>
          <w:iCs/>
        </w:rPr>
        <w:t xml:space="preserve">v.</w:t>
      </w:r>
      <w:r>
        <w:rPr>
          <w:i/>
          <w:iCs/>
        </w:rPr>
        <w:t xml:space="preserve"> </w:t>
      </w:r>
      <w:r>
        <w:rPr>
          <w:i/>
          <w:iCs/>
        </w:rPr>
        <w:t xml:space="preserve">Nye</w:t>
      </w:r>
      <w:r>
        <w:rPr>
          <w:i/>
          <w:iCs/>
        </w:rPr>
        <w:t xml:space="preserve"> </w:t>
      </w:r>
      <w:r>
        <w:rPr>
          <w:i/>
          <w:iCs/>
        </w:rPr>
        <w:t xml:space="preserve">County</w:t>
      </w:r>
      <w:r>
        <w:rPr>
          <w:i/>
          <w:iCs/>
        </w:rPr>
        <w:t xml:space="preserve"> </w:t>
      </w:r>
      <w:r>
        <w:rPr>
          <w:i/>
          <w:iCs/>
        </w:rPr>
        <w:t xml:space="preserve">et</w:t>
      </w:r>
      <w:r>
        <w:rPr>
          <w:i/>
          <w:iCs/>
        </w:rPr>
        <w:t xml:space="preserve"> </w:t>
      </w:r>
      <w:r>
        <w:rPr>
          <w:i/>
          <w:iCs/>
        </w:rPr>
        <w:t xml:space="preserve">al.</w:t>
      </w:r>
      <w:r>
        <w:t xml:space="preserve">,</w:t>
      </w:r>
      <w:r>
        <w:t xml:space="preserve"> </w:t>
      </w:r>
      <w:r>
        <w:t xml:space="preserve">Case</w:t>
      </w:r>
      <w:r>
        <w:t xml:space="preserve"> </w:t>
      </w:r>
      <w:r>
        <w:t xml:space="preserve">No.</w:t>
      </w:r>
      <w:r>
        <w:t xml:space="preserve"> </w:t>
      </w:r>
      <w:r>
        <w:t xml:space="preserve">CV22</w:t>
        <w:noBreakHyphen/>
        <w:t xml:space="preserve">0503</w:t>
      </w:r>
      <w:r>
        <w:t xml:space="preserve"> </w:t>
      </w:r>
      <w:r>
        <w:t xml:space="preserve">(Nev.</w:t>
      </w:r>
      <w:r>
        <w:t xml:space="preserve"> </w:t>
      </w:r>
      <w:r>
        <w:t xml:space="preserve">Dist.</w:t>
      </w:r>
      <w:r>
        <w:t xml:space="preserve"> </w:t>
      </w:r>
      <w:r>
        <w:t xml:space="preserve">Ct.</w:t>
      </w:r>
      <w:r>
        <w:t xml:space="preserve"> </w:t>
      </w:r>
      <w:r>
        <w:t xml:space="preserve">Oct.</w:t>
      </w:r>
      <w:r>
        <w:t xml:space="preserve"> </w:t>
      </w:r>
      <w:r>
        <w:t xml:space="preserve">4,</w:t>
      </w:r>
      <w:r>
        <w:t xml:space="preserve"> </w:t>
      </w:r>
      <w:r>
        <w:t xml:space="preserve">2022)</w:t>
      </w:r>
      <w:r>
        <w:t xml:space="preserve">   </w:t>
      </w:r>
      <w:r>
        <w:tab/>
      </w:r>
      <w:r>
        <w:t xml:space="preserve">19</w:t>
      </w:r>
    </w:p>
    <w:p>
      <w:pPr>
        <w:keepLines/>
        <w:tabs>
          <w:tab w:val="right" w:leader="dot" w:pos="9360"/>
        </w:tabs>
        <w:spacing w:before="252" w:after="0" w:line="322" w:lineRule="exact"/>
        <w:ind w:left="420" w:right="1120" w:hanging="420"/>
      </w:pPr>
      <w:r>
        <w:rPr>
          <w:i/>
          <w:iCs/>
        </w:rPr>
        <w:t xml:space="preserve">Attorney</w:t>
      </w:r>
      <w:r>
        <w:rPr>
          <w:i/>
          <w:iCs/>
        </w:rPr>
        <w:t xml:space="preserve"> </w:t>
      </w:r>
      <w:r>
        <w:rPr>
          <w:i/>
          <w:iCs/>
        </w:rPr>
        <w:t xml:space="preserve">General</w:t>
      </w:r>
      <w:r>
        <w:rPr>
          <w:i/>
          <w:iCs/>
        </w:rPr>
        <w:t xml:space="preserve"> </w:t>
      </w:r>
      <w:r>
        <w:rPr>
          <w:i/>
          <w:iCs/>
        </w:rPr>
        <w:t xml:space="preserve">v.</w:t>
      </w:r>
      <w:r>
        <w:rPr>
          <w:i/>
          <w:iCs/>
        </w:rPr>
        <w:t xml:space="preserve"> </w:t>
      </w:r>
      <w:r>
        <w:rPr>
          <w:i/>
          <w:iCs/>
        </w:rPr>
        <w:t xml:space="preserve">NOS</w:t>
      </w:r>
      <w:r>
        <w:rPr>
          <w:i/>
          <w:iCs/>
        </w:rPr>
        <w:t xml:space="preserve"> </w:t>
      </w:r>
      <w:r>
        <w:rPr>
          <w:i/>
          <w:iCs/>
        </w:rPr>
        <w:t xml:space="preserve">Commc’ns</w:t>
      </w:r>
      <w:r>
        <w:t xml:space="preserve">,</w:t>
      </w:r>
      <w:r>
        <w:t xml:space="preserve"> </w:t>
      </w:r>
      <w:r>
        <w:t xml:space="preserve">120</w:t>
      </w:r>
      <w:r>
        <w:t xml:space="preserve"> </w:t>
      </w:r>
      <w:r>
        <w:t xml:space="preserve">Nev.</w:t>
      </w:r>
      <w:r>
        <w:t xml:space="preserve"> </w:t>
      </w:r>
      <w:r>
        <w:t xml:space="preserve">65,</w:t>
      </w:r>
      <w:r>
        <w:t xml:space="preserve"> </w:t>
      </w:r>
      <w:r>
        <w:t xml:space="preserve">84</w:t>
      </w:r>
      <w:r>
        <w:t xml:space="preserve"> </w:t>
      </w:r>
      <w:r>
        <w:t xml:space="preserve">P.3d</w:t>
      </w:r>
      <w:r>
        <w:t xml:space="preserve"> </w:t>
      </w:r>
      <w:r>
        <w:t xml:space="preserve">1052</w:t>
      </w:r>
      <w:r>
        <w:t xml:space="preserve"> </w:t>
      </w:r>
      <w:r>
        <w:t xml:space="preserve">(2004)</w:t>
      </w:r>
      <w:r>
        <w:t xml:space="preserve">   </w:t>
      </w:r>
      <w:r>
        <w:tab/>
      </w:r>
      <w:r>
        <w:t xml:space="preserve">--</w:t>
      </w:r>
    </w:p>
    <w:p>
      <w:pPr>
        <w:keepLines/>
        <w:tabs>
          <w:tab w:val="right" w:leader="dot" w:pos="9360"/>
        </w:tabs>
        <w:spacing w:before="252" w:after="0" w:line="322" w:lineRule="exact"/>
        <w:ind w:left="420" w:right="1120" w:hanging="420"/>
      </w:pPr>
      <w:r>
        <w:rPr>
          <w:i/>
          <w:iCs/>
        </w:rPr>
        <w:t xml:space="preserve">Bush</w:t>
      </w:r>
      <w:r>
        <w:rPr>
          <w:i/>
          <w:iCs/>
        </w:rPr>
        <w:t xml:space="preserve"> </w:t>
      </w:r>
      <w:r>
        <w:rPr>
          <w:i/>
          <w:iCs/>
        </w:rPr>
        <w:t xml:space="preserve">v.</w:t>
      </w:r>
      <w:r>
        <w:rPr>
          <w:i/>
          <w:iCs/>
        </w:rPr>
        <w:t xml:space="preserve"> </w:t>
      </w:r>
      <w:r>
        <w:rPr>
          <w:i/>
          <w:iCs/>
        </w:rPr>
        <w:t xml:space="preserve">Gore</w:t>
      </w:r>
      <w:r>
        <w:t xml:space="preserve">,</w:t>
      </w:r>
      <w:r>
        <w:t xml:space="preserve"> </w:t>
      </w:r>
      <w:r>
        <w:t xml:space="preserve">531</w:t>
      </w:r>
      <w:r>
        <w:t xml:space="preserve"> </w:t>
      </w:r>
      <w:r>
        <w:t xml:space="preserve">U.S.</w:t>
      </w:r>
      <w:r>
        <w:t xml:space="preserve"> </w:t>
      </w:r>
      <w:r>
        <w:t xml:space="preserve">98</w:t>
      </w:r>
      <w:r>
        <w:t xml:space="preserve"> </w:t>
      </w:r>
      <w:r>
        <w:t xml:space="preserve">(2000)</w:t>
      </w:r>
      <w:r>
        <w:t xml:space="preserve">   </w:t>
      </w:r>
      <w:r>
        <w:tab/>
      </w:r>
      <w:r>
        <w:t xml:space="preserve">15, 16</w:t>
      </w:r>
    </w:p>
    <w:p>
      <w:pPr>
        <w:keepLines/>
        <w:tabs>
          <w:tab w:val="right" w:leader="dot" w:pos="9360"/>
        </w:tabs>
        <w:spacing w:before="252" w:after="0" w:line="322" w:lineRule="exact"/>
        <w:ind w:left="420" w:right="1120" w:hanging="420"/>
      </w:pPr>
      <w:r>
        <w:rPr>
          <w:i/>
          <w:iCs/>
        </w:rPr>
        <w:t xml:space="preserve">Clark</w:t>
      </w:r>
      <w:r>
        <w:rPr>
          <w:i/>
          <w:iCs/>
        </w:rPr>
        <w:t xml:space="preserve"> </w:t>
      </w:r>
      <w:r>
        <w:rPr>
          <w:i/>
          <w:iCs/>
        </w:rPr>
        <w:t xml:space="preserve">Cty.</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Buchanan</w:t>
      </w:r>
      <w:r>
        <w:t xml:space="preserve">,</w:t>
      </w:r>
      <w:r>
        <w:t xml:space="preserve"> </w:t>
      </w:r>
      <w:r>
        <w:t xml:space="preserve">112</w:t>
      </w:r>
      <w:r>
        <w:t xml:space="preserve"> </w:t>
      </w:r>
      <w:r>
        <w:t xml:space="preserve">Nev.</w:t>
      </w:r>
      <w:r>
        <w:t xml:space="preserve"> </w:t>
      </w:r>
      <w:r>
        <w:t xml:space="preserve">1146,</w:t>
      </w:r>
      <w:r>
        <w:t xml:space="preserve"> </w:t>
      </w:r>
      <w:r>
        <w:t xml:space="preserve">924</w:t>
      </w:r>
      <w:r>
        <w:t xml:space="preserve"> </w:t>
      </w:r>
      <w:r>
        <w:t xml:space="preserve">P.2d</w:t>
      </w:r>
      <w:r>
        <w:t xml:space="preserve"> </w:t>
      </w:r>
      <w:r>
        <w:t xml:space="preserve">716</w:t>
      </w:r>
      <w:r>
        <w:t xml:space="preserve"> </w:t>
      </w:r>
      <w:r>
        <w:t xml:space="preserve">(1996)</w:t>
      </w:r>
      <w:r>
        <w:t xml:space="preserve">   </w:t>
      </w:r>
      <w:r>
        <w:tab/>
      </w:r>
      <w:r>
        <w:t xml:space="preserve">9</w:t>
      </w:r>
    </w:p>
    <w:p>
      <w:pPr>
        <w:keepLines/>
        <w:tabs>
          <w:tab w:val="right" w:leader="dot" w:pos="9360"/>
        </w:tabs>
        <w:spacing w:before="252" w:after="0" w:line="322" w:lineRule="exact"/>
        <w:ind w:left="420" w:right="1120" w:hanging="420"/>
      </w:pPr>
      <w:r>
        <w:rPr>
          <w:i/>
          <w:iCs/>
        </w:rPr>
        <w:t xml:space="preserve">Dep’t</w:t>
      </w:r>
      <w:r>
        <w:rPr>
          <w:i/>
          <w:iCs/>
        </w:rPr>
        <w:t xml:space="preserve"> </w:t>
      </w:r>
      <w:r>
        <w:rPr>
          <w:i/>
          <w:iCs/>
        </w:rPr>
        <w:t xml:space="preserve">of</w:t>
      </w:r>
      <w:r>
        <w:rPr>
          <w:i/>
          <w:iCs/>
        </w:rPr>
        <w:t xml:space="preserve"> </w:t>
      </w:r>
      <w:r>
        <w:rPr>
          <w:i/>
          <w:iCs/>
        </w:rPr>
        <w:t xml:space="preserve">Conservation</w:t>
      </w:r>
      <w:r>
        <w:rPr>
          <w:i/>
          <w:iCs/>
        </w:rPr>
        <w:t xml:space="preserve"> </w:t>
      </w:r>
      <w:r>
        <w:rPr>
          <w:i/>
          <w:iCs/>
        </w:rPr>
        <w:t xml:space="preserve">&amp;</w:t>
      </w:r>
      <w:r>
        <w:rPr>
          <w:i/>
          <w:iCs/>
        </w:rPr>
        <w:t xml:space="preserve"> </w:t>
      </w:r>
      <w:r>
        <w:rPr>
          <w:i/>
          <w:iCs/>
        </w:rPr>
        <w:t xml:space="preserve">Nat.</w:t>
      </w:r>
      <w:r>
        <w:rPr>
          <w:i/>
          <w:iCs/>
        </w:rPr>
        <w:t xml:space="preserve"> </w:t>
      </w:r>
      <w:r>
        <w:rPr>
          <w:i/>
          <w:iCs/>
        </w:rPr>
        <w:t xml:space="preserve">Res.,</w:t>
      </w:r>
      <w:r>
        <w:rPr>
          <w:i/>
          <w:iCs/>
        </w:rPr>
        <w:t xml:space="preserve"> </w:t>
      </w:r>
      <w:r>
        <w:rPr>
          <w:i/>
          <w:iCs/>
        </w:rPr>
        <w:t xml:space="preserve">Div.</w:t>
      </w:r>
      <w:r>
        <w:rPr>
          <w:i/>
          <w:iCs/>
        </w:rPr>
        <w:t xml:space="preserve"> </w:t>
      </w:r>
      <w:r>
        <w:rPr>
          <w:i/>
          <w:iCs/>
        </w:rPr>
        <w:t xml:space="preserve">of</w:t>
      </w:r>
      <w:r>
        <w:rPr>
          <w:i/>
          <w:iCs/>
        </w:rPr>
        <w:t xml:space="preserve"> </w:t>
      </w:r>
      <w:r>
        <w:rPr>
          <w:i/>
          <w:iCs/>
        </w:rPr>
        <w:t xml:space="preserve">Water</w:t>
      </w:r>
      <w:r>
        <w:rPr>
          <w:i/>
          <w:iCs/>
        </w:rPr>
        <w:t xml:space="preserve"> </w:t>
      </w:r>
      <w:r>
        <w:rPr>
          <w:i/>
          <w:iCs/>
        </w:rPr>
        <w:t xml:space="preserve">Res.</w:t>
      </w:r>
      <w:r>
        <w:rPr>
          <w:i/>
          <w:iCs/>
        </w:rPr>
        <w:t xml:space="preserve"> </w:t>
      </w:r>
      <w:r>
        <w:rPr>
          <w:i/>
          <w:iCs/>
        </w:rPr>
        <w:t xml:space="preserve">v.</w:t>
      </w:r>
      <w:r>
        <w:rPr>
          <w:i/>
          <w:iCs/>
        </w:rPr>
        <w:t xml:space="preserve"> </w:t>
      </w:r>
      <w:r>
        <w:rPr>
          <w:i/>
          <w:iCs/>
        </w:rPr>
        <w:t xml:space="preserve">Foley</w:t>
      </w:r>
      <w:r>
        <w:t xml:space="preserve">,</w:t>
      </w:r>
      <w:r>
        <w:t xml:space="preserve"> </w:t>
      </w:r>
      <w:r>
        <w:t xml:space="preserve">121</w:t>
      </w:r>
      <w:r>
        <w:t xml:space="preserve"> </w:t>
      </w:r>
      <w:r>
        <w:t xml:space="preserve">Nev.</w:t>
      </w:r>
      <w:r>
        <w:t xml:space="preserve"> </w:t>
      </w:r>
      <w:r>
        <w:t xml:space="preserve">77,</w:t>
      </w:r>
      <w:r>
        <w:t xml:space="preserve"> </w:t>
      </w:r>
      <w:r>
        <w:t xml:space="preserve">109</w:t>
      </w:r>
      <w:r>
        <w:t xml:space="preserve"> </w:t>
      </w:r>
      <w:r>
        <w:t xml:space="preserve">P.3d</w:t>
      </w:r>
      <w:r>
        <w:t xml:space="preserve"> </w:t>
      </w:r>
      <w:r>
        <w:t xml:space="preserve">760</w:t>
      </w:r>
      <w:r>
        <w:t xml:space="preserve"> </w:t>
      </w:r>
      <w:r>
        <w:t xml:space="preserve">(2005)</w:t>
      </w:r>
      <w:r>
        <w:t xml:space="preserve">   </w:t>
      </w:r>
      <w:r>
        <w:tab/>
      </w:r>
      <w:r>
        <w:t xml:space="preserve">9</w:t>
      </w:r>
    </w:p>
    <w:p>
      <w:pPr>
        <w:keepLines/>
        <w:tabs>
          <w:tab w:val="right" w:leader="dot" w:pos="9360"/>
        </w:tabs>
        <w:spacing w:before="252" w:after="0" w:line="322" w:lineRule="exact"/>
        <w:ind w:left="420" w:right="1120" w:hanging="420"/>
      </w:pPr>
      <w:r>
        <w:rPr>
          <w:i/>
          <w:iCs/>
        </w:rPr>
        <w:t xml:space="preserve">FDA</w:t>
      </w:r>
      <w:r>
        <w:rPr>
          <w:i/>
          <w:iCs/>
        </w:rPr>
        <w:t xml:space="preserve"> </w:t>
      </w:r>
      <w:r>
        <w:rPr>
          <w:i/>
          <w:iCs/>
        </w:rPr>
        <w:t xml:space="preserve">v.</w:t>
      </w:r>
      <w:r>
        <w:rPr>
          <w:i/>
          <w:iCs/>
        </w:rPr>
        <w:t xml:space="preserve"> </w:t>
      </w:r>
      <w:r>
        <w:rPr>
          <w:i/>
          <w:iCs/>
        </w:rPr>
        <w:t xml:space="preserve">Brown</w:t>
      </w:r>
      <w:r>
        <w:rPr>
          <w:i/>
          <w:iCs/>
        </w:rPr>
        <w:t xml:space="preserve"> </w:t>
      </w:r>
      <w:r>
        <w:rPr>
          <w:i/>
          <w:iCs/>
        </w:rPr>
        <w:t xml:space="preserve">&amp;</w:t>
      </w:r>
      <w:r>
        <w:rPr>
          <w:i/>
          <w:iCs/>
        </w:rPr>
        <w:t xml:space="preserve"> </w:t>
      </w:r>
      <w:r>
        <w:rPr>
          <w:i/>
          <w:iCs/>
        </w:rPr>
        <w:t xml:space="preserve">Williamson</w:t>
      </w:r>
      <w:r>
        <w:rPr>
          <w:i/>
          <w:iCs/>
        </w:rPr>
        <w:t xml:space="preserve"> </w:t>
      </w:r>
      <w:r>
        <w:rPr>
          <w:i/>
          <w:iCs/>
        </w:rPr>
        <w:t xml:space="preserve">Tobacco</w:t>
      </w:r>
      <w:r>
        <w:rPr>
          <w:i/>
          <w:iCs/>
        </w:rPr>
        <w:t xml:space="preserve"> </w:t>
      </w:r>
      <w:r>
        <w:rPr>
          <w:i/>
          <w:iCs/>
        </w:rPr>
        <w:t xml:space="preserve">Corp.</w:t>
      </w:r>
      <w:r>
        <w:t xml:space="preserve">,</w:t>
      </w:r>
      <w:r>
        <w:t xml:space="preserve"> </w:t>
      </w:r>
      <w:r>
        <w:t xml:space="preserve">529</w:t>
      </w:r>
      <w:r>
        <w:t xml:space="preserve"> </w:t>
      </w:r>
      <w:r>
        <w:t xml:space="preserve">U.S.</w:t>
      </w:r>
      <w:r>
        <w:t xml:space="preserve"> </w:t>
      </w:r>
      <w:r>
        <w:t xml:space="preserve">120</w:t>
      </w:r>
      <w:r>
        <w:t xml:space="preserve"> </w:t>
      </w:r>
      <w:r>
        <w:t xml:space="preserve">(2000)</w:t>
      </w:r>
      <w:r>
        <w:t xml:space="preserve">   </w:t>
      </w:r>
      <w:r>
        <w:tab/>
      </w:r>
      <w:r>
        <w:t xml:space="preserve">13</w:t>
      </w:r>
    </w:p>
    <w:p>
      <w:pPr>
        <w:keepLines/>
        <w:tabs>
          <w:tab w:val="right" w:leader="dot" w:pos="9360"/>
        </w:tabs>
        <w:spacing w:before="252" w:after="0" w:line="322" w:lineRule="exact"/>
        <w:ind w:left="420" w:right="1120" w:hanging="420"/>
      </w:pPr>
      <w:r>
        <w:rPr>
          <w:i/>
          <w:iCs/>
        </w:rPr>
        <w:t xml:space="preserve">Kraus</w:t>
      </w:r>
      <w:r>
        <w:rPr>
          <w:i/>
          <w:iCs/>
        </w:rPr>
        <w:t xml:space="preserve"> </w:t>
      </w:r>
      <w:r>
        <w:rPr>
          <w:i/>
          <w:iCs/>
        </w:rPr>
        <w:t xml:space="preserve">v.</w:t>
      </w:r>
      <w:r>
        <w:rPr>
          <w:i/>
          <w:iCs/>
        </w:rPr>
        <w:t xml:space="preserve"> </w:t>
      </w:r>
      <w:r>
        <w:rPr>
          <w:i/>
          <w:iCs/>
        </w:rPr>
        <w:t xml:space="preserve">Cegavske</w:t>
      </w:r>
      <w:r>
        <w:t xml:space="preserve">,</w:t>
      </w:r>
      <w:r>
        <w:t xml:space="preserve"> </w:t>
      </w:r>
      <w:r>
        <w:t xml:space="preserve">No.</w:t>
      </w:r>
      <w:r>
        <w:t xml:space="preserve"> </w:t>
      </w:r>
      <w:r>
        <w:t xml:space="preserve">20</w:t>
      </w:r>
      <w:r>
        <w:t xml:space="preserve"> </w:t>
      </w:r>
      <w:r>
        <w:t xml:space="preserve">OC</w:t>
      </w:r>
      <w:r>
        <w:t xml:space="preserve"> </w:t>
      </w:r>
      <w:r>
        <w:t xml:space="preserve">00142</w:t>
      </w:r>
      <w:r>
        <w:t xml:space="preserve"> </w:t>
      </w:r>
      <w:r>
        <w:t xml:space="preserve">1B,</w:t>
      </w:r>
      <w:r>
        <w:t xml:space="preserve"> </w:t>
      </w:r>
      <w:r>
        <w:t xml:space="preserve">2020</w:t>
      </w:r>
      <w:r>
        <w:t xml:space="preserve"> </w:t>
      </w:r>
      <w:r>
        <w:t xml:space="preserve">WL</w:t>
      </w:r>
      <w:r>
        <w:t xml:space="preserve"> </w:t>
      </w:r>
      <w:r>
        <w:t xml:space="preserve">8340238</w:t>
      </w:r>
      <w:r>
        <w:t xml:space="preserve"> </w:t>
      </w:r>
      <w:r>
        <w:t xml:space="preserve">(Nev.</w:t>
      </w:r>
      <w:r>
        <w:t xml:space="preserve"> </w:t>
      </w:r>
      <w:r>
        <w:t xml:space="preserve">Dist.</w:t>
      </w:r>
      <w:r>
        <w:t xml:space="preserve"> </w:t>
      </w:r>
      <w:r>
        <w:t xml:space="preserve">Ct.</w:t>
      </w:r>
      <w:r>
        <w:t xml:space="preserve"> </w:t>
      </w:r>
      <w:r>
        <w:t xml:space="preserve">Oct.</w:t>
      </w:r>
      <w:r>
        <w:t xml:space="preserve"> </w:t>
      </w:r>
      <w:r>
        <w:t xml:space="preserve">29,</w:t>
      </w:r>
      <w:r>
        <w:t xml:space="preserve"> </w:t>
      </w:r>
      <w:r>
        <w:t xml:space="preserve">2020)</w:t>
      </w:r>
      <w:r>
        <w:t xml:space="preserve">   </w:t>
      </w:r>
      <w:r>
        <w:tab/>
      </w:r>
      <w:r>
        <w:t xml:space="preserve">18</w:t>
      </w:r>
    </w:p>
    <w:p>
      <w:pPr>
        <w:keepLines/>
        <w:tabs>
          <w:tab w:val="right" w:leader="dot" w:pos="9360"/>
        </w:tabs>
        <w:spacing w:before="252" w:after="0" w:line="322" w:lineRule="exact"/>
        <w:ind w:left="420" w:right="1120" w:hanging="420"/>
      </w:pPr>
      <w:r>
        <w:rPr>
          <w:i/>
          <w:iCs/>
        </w:rPr>
        <w:t xml:space="preserve">Leonard</w:t>
      </w:r>
      <w:r>
        <w:rPr>
          <w:i/>
          <w:iCs/>
        </w:rPr>
        <w:t xml:space="preserve"> </w:t>
      </w:r>
      <w:r>
        <w:rPr>
          <w:i/>
          <w:iCs/>
        </w:rPr>
        <w:t xml:space="preserve">v.</w:t>
      </w:r>
      <w:r>
        <w:rPr>
          <w:i/>
          <w:iCs/>
        </w:rPr>
        <w:t xml:space="preserve"> </w:t>
      </w:r>
      <w:r>
        <w:rPr>
          <w:i/>
          <w:iCs/>
        </w:rPr>
        <w:t xml:space="preserve">Stoebling</w:t>
      </w:r>
      <w:r>
        <w:t xml:space="preserve">,</w:t>
      </w:r>
      <w:r>
        <w:t xml:space="preserve"> </w:t>
      </w:r>
      <w:r>
        <w:t xml:space="preserve">102</w:t>
      </w:r>
      <w:r>
        <w:t xml:space="preserve"> </w:t>
      </w:r>
      <w:r>
        <w:t xml:space="preserve">Nev.</w:t>
      </w:r>
      <w:r>
        <w:t xml:space="preserve"> </w:t>
      </w:r>
      <w:r>
        <w:t xml:space="preserve">543,</w:t>
      </w:r>
      <w:r>
        <w:t xml:space="preserve"> </w:t>
      </w:r>
      <w:r>
        <w:t xml:space="preserve">728</w:t>
      </w:r>
      <w:r>
        <w:t xml:space="preserve"> </w:t>
      </w:r>
      <w:r>
        <w:t xml:space="preserve">P.2d</w:t>
      </w:r>
      <w:r>
        <w:t xml:space="preserve"> </w:t>
      </w:r>
      <w:r>
        <w:t xml:space="preserve">1358</w:t>
      </w:r>
      <w:r>
        <w:t xml:space="preserve"> </w:t>
      </w:r>
      <w:r>
        <w:t xml:space="preserve">(1986)</w:t>
      </w:r>
      <w:r>
        <w:t xml:space="preserve">   </w:t>
      </w:r>
      <w:r>
        <w:tab/>
      </w:r>
      <w:r>
        <w:t xml:space="preserve">10</w:t>
      </w:r>
    </w:p>
    <w:p>
      <w:pPr>
        <w:keepLines/>
        <w:tabs>
          <w:tab w:val="right" w:leader="dot" w:pos="9360"/>
        </w:tabs>
        <w:spacing w:before="252" w:after="0" w:line="322" w:lineRule="exact"/>
        <w:ind w:left="420" w:right="1120" w:hanging="420"/>
      </w:pPr>
      <w:r>
        <w:rPr>
          <w:i/>
          <w:iCs/>
        </w:rPr>
        <w:t xml:space="preserve">Nat’l</w:t>
      </w:r>
      <w:r>
        <w:rPr>
          <w:i/>
          <w:iCs/>
        </w:rPr>
        <w:t xml:space="preserve"> </w:t>
      </w:r>
      <w:r>
        <w:rPr>
          <w:i/>
          <w:iCs/>
        </w:rPr>
        <w:t xml:space="preserve">Collegiate</w:t>
      </w:r>
      <w:r>
        <w:rPr>
          <w:i/>
          <w:iCs/>
        </w:rPr>
        <w:t xml:space="preserve"> </w:t>
      </w:r>
      <w:r>
        <w:rPr>
          <w:i/>
          <w:iCs/>
        </w:rPr>
        <w:t xml:space="preserve">Athletic</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Nevada,</w:t>
      </w:r>
      <w:r>
        <w:rPr>
          <w:i/>
          <w:iCs/>
        </w:rPr>
        <w:t xml:space="preserve"> </w:t>
      </w:r>
      <w:r>
        <w:rPr>
          <w:i/>
          <w:iCs/>
        </w:rPr>
        <w:t xml:space="preserve">Reno</w:t>
      </w:r>
      <w:r>
        <w:t xml:space="preserve">,</w:t>
      </w:r>
      <w:r>
        <w:t xml:space="preserve"> </w:t>
      </w:r>
      <w:r>
        <w:t xml:space="preserve">97</w:t>
      </w:r>
      <w:r>
        <w:t xml:space="preserve"> </w:t>
      </w:r>
      <w:r>
        <w:t xml:space="preserve">Nev.</w:t>
      </w:r>
      <w:r>
        <w:t xml:space="preserve"> </w:t>
      </w:r>
      <w:r>
        <w:t xml:space="preserve">56,</w:t>
      </w:r>
      <w:r>
        <w:t xml:space="preserve"> </w:t>
      </w:r>
      <w:r>
        <w:t xml:space="preserve">624</w:t>
      </w:r>
      <w:r>
        <w:t xml:space="preserve"> </w:t>
      </w:r>
      <w:r>
        <w:t xml:space="preserve">P.2d</w:t>
      </w:r>
      <w:r>
        <w:t xml:space="preserve"> </w:t>
      </w:r>
      <w:r>
        <w:t xml:space="preserve">10</w:t>
      </w:r>
      <w:r>
        <w:t xml:space="preserve"> </w:t>
      </w:r>
      <w:r>
        <w:t xml:space="preserve">(1981)</w:t>
      </w:r>
      <w:r>
        <w:t xml:space="preserve">   </w:t>
      </w:r>
      <w:r>
        <w:tab/>
      </w:r>
      <w:r>
        <w:t xml:space="preserve">12</w:t>
      </w:r>
    </w:p>
    <w:p>
      <w:pPr>
        <w:keepLines/>
        <w:tabs>
          <w:tab w:val="right" w:leader="dot" w:pos="9360"/>
        </w:tabs>
        <w:spacing w:before="252" w:after="0" w:line="322" w:lineRule="exact"/>
        <w:ind w:left="420" w:right="1120" w:hanging="420"/>
      </w:pPr>
      <w:r>
        <w:rPr>
          <w:i/>
          <w:iCs/>
        </w:rPr>
        <w:t xml:space="preserve">Nevada</w:t>
      </w:r>
      <w:r>
        <w:rPr>
          <w:i/>
          <w:iCs/>
        </w:rPr>
        <w:t xml:space="preserve"> </w:t>
      </w:r>
      <w:r>
        <w:rPr>
          <w:i/>
          <w:iCs/>
        </w:rPr>
        <w:t xml:space="preserve">Pol’y</w:t>
      </w:r>
      <w:r>
        <w:rPr>
          <w:i/>
          <w:iCs/>
        </w:rPr>
        <w:t xml:space="preserve"> </w:t>
      </w:r>
      <w:r>
        <w:rPr>
          <w:i/>
          <w:iCs/>
        </w:rPr>
        <w:t xml:space="preserve">Rsch.</w:t>
      </w:r>
      <w:r>
        <w:rPr>
          <w:i/>
          <w:iCs/>
        </w:rPr>
        <w:t xml:space="preserve"> </w:t>
      </w:r>
      <w:r>
        <w:rPr>
          <w:i/>
          <w:iCs/>
        </w:rPr>
        <w:t xml:space="preserve">Inst.,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Cannizzaro</w:t>
      </w:r>
      <w:r>
        <w:t xml:space="preserve">,</w:t>
      </w:r>
      <w:r>
        <w:t xml:space="preserve"> </w:t>
      </w:r>
      <w:r>
        <w:t xml:space="preserve">138</w:t>
      </w:r>
      <w:r>
        <w:t xml:space="preserve"> </w:t>
      </w:r>
      <w:r>
        <w:t xml:space="preserve">Nev.</w:t>
      </w:r>
      <w:r>
        <w:t xml:space="preserve"> </w:t>
      </w:r>
      <w:r>
        <w:t xml:space="preserve">Adv.</w:t>
      </w:r>
      <w:r>
        <w:t xml:space="preserve"> </w:t>
      </w:r>
      <w:r>
        <w:t xml:space="preserve">Op.</w:t>
      </w:r>
      <w:r>
        <w:t xml:space="preserve"> </w:t>
      </w:r>
      <w:r>
        <w:t xml:space="preserve">28,</w:t>
      </w:r>
      <w:r>
        <w:t xml:space="preserve"> </w:t>
      </w:r>
      <w:r>
        <w:t xml:space="preserve">507</w:t>
      </w:r>
      <w:r>
        <w:t xml:space="preserve"> </w:t>
      </w:r>
      <w:r>
        <w:t xml:space="preserve">P.3d</w:t>
      </w:r>
      <w:r>
        <w:t xml:space="preserve"> </w:t>
      </w:r>
      <w:r>
        <w:t xml:space="preserve">1203</w:t>
      </w:r>
      <w:r>
        <w:t xml:space="preserve"> </w:t>
      </w:r>
      <w:r>
        <w:t xml:space="preserve">(2022)</w:t>
      </w:r>
      <w:r>
        <w:t xml:space="preserve">   </w:t>
      </w:r>
      <w:r>
        <w:tab/>
      </w:r>
      <w:r>
        <w:t xml:space="preserve">11</w:t>
      </w:r>
    </w:p>
    <w:p>
      <w:pPr>
        <w:keepLines/>
        <w:tabs>
          <w:tab w:val="right" w:leader="dot" w:pos="9360"/>
        </w:tabs>
        <w:spacing w:before="252" w:after="0" w:line="322" w:lineRule="exact"/>
        <w:ind w:left="420" w:right="1120" w:hanging="420"/>
      </w:pPr>
      <w:r>
        <w:rPr>
          <w:i/>
          <w:iCs/>
        </w:rPr>
        <w:t xml:space="preserve">Nken</w:t>
      </w:r>
      <w:r>
        <w:rPr>
          <w:i/>
          <w:iCs/>
        </w:rPr>
        <w:t xml:space="preserve"> </w:t>
      </w:r>
      <w:r>
        <w:rPr>
          <w:i/>
          <w:iCs/>
        </w:rPr>
        <w:t xml:space="preserve">v.</w:t>
      </w:r>
      <w:r>
        <w:rPr>
          <w:i/>
          <w:iCs/>
        </w:rPr>
        <w:t xml:space="preserve"> </w:t>
      </w:r>
      <w:r>
        <w:rPr>
          <w:i/>
          <w:iCs/>
        </w:rPr>
        <w:t xml:space="preserve">Holder</w:t>
      </w:r>
      <w:r>
        <w:t xml:space="preserve">,</w:t>
      </w:r>
      <w:r>
        <w:t xml:space="preserve"> </w:t>
      </w:r>
      <w:r>
        <w:t xml:space="preserve">556</w:t>
      </w:r>
      <w:r>
        <w:t xml:space="preserve"> </w:t>
      </w:r>
      <w:r>
        <w:t xml:space="preserve">U.S.</w:t>
      </w:r>
      <w:r>
        <w:t xml:space="preserve"> </w:t>
      </w:r>
      <w:r>
        <w:t xml:space="preserve">418</w:t>
      </w:r>
      <w:r>
        <w:t xml:space="preserve"> </w:t>
      </w:r>
      <w:r>
        <w:t xml:space="preserve">(2009)</w:t>
      </w:r>
      <w:r>
        <w:t xml:space="preserve">   </w:t>
      </w:r>
      <w:r>
        <w:tab/>
      </w:r>
      <w:r>
        <w:t xml:space="preserve">10</w:t>
      </w:r>
    </w:p>
    <w:p>
      <w:pPr>
        <w:keepLines/>
        <w:tabs>
          <w:tab w:val="right" w:leader="dot" w:pos="9360"/>
        </w:tabs>
        <w:spacing w:before="252" w:after="0" w:line="322" w:lineRule="exact"/>
        <w:ind w:left="420" w:right="1120" w:hanging="420"/>
      </w:pPr>
      <w:r>
        <w:rPr>
          <w:i/>
          <w:iCs/>
        </w:rPr>
        <w:t xml:space="preserve">Personhood</w:t>
      </w:r>
      <w:r>
        <w:rPr>
          <w:i/>
          <w:iCs/>
        </w:rPr>
        <w:t xml:space="preserve"> </w:t>
      </w:r>
      <w:r>
        <w:rPr>
          <w:i/>
          <w:iCs/>
        </w:rPr>
        <w:t xml:space="preserve">Nevada</w:t>
      </w:r>
      <w:r>
        <w:rPr>
          <w:i/>
          <w:iCs/>
        </w:rPr>
        <w:t xml:space="preserve"> </w:t>
      </w:r>
      <w:r>
        <w:rPr>
          <w:i/>
          <w:iCs/>
        </w:rPr>
        <w:t xml:space="preserve">v.</w:t>
      </w:r>
      <w:r>
        <w:rPr>
          <w:i/>
          <w:iCs/>
        </w:rPr>
        <w:t xml:space="preserve"> </w:t>
      </w:r>
      <w:r>
        <w:rPr>
          <w:i/>
          <w:iCs/>
        </w:rPr>
        <w:t xml:space="preserve">Bristol</w:t>
      </w:r>
      <w:r>
        <w:t xml:space="preserve">,</w:t>
      </w:r>
      <w:r>
        <w:t xml:space="preserve"> </w:t>
      </w:r>
      <w:r>
        <w:t xml:space="preserve">126</w:t>
      </w:r>
      <w:r>
        <w:t xml:space="preserve"> </w:t>
      </w:r>
      <w:r>
        <w:t xml:space="preserve">Nev.</w:t>
      </w:r>
      <w:r>
        <w:t xml:space="preserve"> </w:t>
      </w:r>
      <w:r>
        <w:t xml:space="preserve">599,</w:t>
      </w:r>
      <w:r>
        <w:t xml:space="preserve"> </w:t>
      </w:r>
      <w:r>
        <w:t xml:space="preserve">245</w:t>
      </w:r>
      <w:r>
        <w:t xml:space="preserve"> </w:t>
      </w:r>
      <w:r>
        <w:t xml:space="preserve">P.3d</w:t>
      </w:r>
      <w:r>
        <w:t xml:space="preserve"> </w:t>
      </w:r>
      <w:r>
        <w:t xml:space="preserve">572</w:t>
      </w:r>
      <w:r>
        <w:t xml:space="preserve"> </w:t>
      </w:r>
      <w:r>
        <w:t xml:space="preserve">(2010)</w:t>
      </w:r>
      <w:r>
        <w:t xml:space="preserve">   </w:t>
      </w:r>
      <w:r>
        <w:tab/>
      </w:r>
      <w:r>
        <w:t xml:space="preserve">11</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Mexico</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League</w:t>
      </w:r>
      <w:r>
        <w:rPr>
          <w:i/>
          <w:iCs/>
        </w:rPr>
        <w:t xml:space="preserve"> </w:t>
      </w:r>
      <w:r>
        <w:rPr>
          <w:i/>
          <w:iCs/>
        </w:rPr>
        <w:t xml:space="preserve">of</w:t>
      </w:r>
      <w:r>
        <w:rPr>
          <w:i/>
          <w:iCs/>
        </w:rPr>
        <w:t xml:space="preserve"> </w:t>
      </w:r>
      <w:r>
        <w:rPr>
          <w:i/>
          <w:iCs/>
        </w:rPr>
        <w:t xml:space="preserve">Woman</w:t>
      </w:r>
      <w:r>
        <w:rPr>
          <w:i/>
          <w:iCs/>
        </w:rPr>
        <w:t xml:space="preserve"> </w:t>
      </w:r>
      <w:r>
        <w:rPr>
          <w:i/>
          <w:iCs/>
        </w:rPr>
        <w:t xml:space="preserve">Voters</w:t>
      </w:r>
      <w:r>
        <w:rPr>
          <w:i/>
          <w:iCs/>
        </w:rPr>
        <w:t xml:space="preserve"> </w:t>
      </w:r>
      <w:r>
        <w:rPr>
          <w:i/>
          <w:iCs/>
        </w:rPr>
        <w:t xml:space="preserve">v.</w:t>
      </w:r>
      <w:r>
        <w:rPr>
          <w:i/>
          <w:iCs/>
        </w:rPr>
        <w:t xml:space="preserve"> </w:t>
      </w:r>
      <w:r>
        <w:rPr>
          <w:i/>
          <w:iCs/>
        </w:rPr>
        <w:t xml:space="preserve">Herrera</w:t>
      </w:r>
      <w:r>
        <w:t xml:space="preserve">,</w:t>
      </w:r>
      <w:r>
        <w:t xml:space="preserve"> </w:t>
      </w:r>
      <w:r>
        <w:t xml:space="preserve">145</w:t>
      </w:r>
      <w:r>
        <w:t xml:space="preserve"> </w:t>
      </w:r>
      <w:r>
        <w:t xml:space="preserve">N.M.</w:t>
      </w:r>
      <w:r>
        <w:t xml:space="preserve"> </w:t>
      </w:r>
      <w:r>
        <w:t xml:space="preserve">563,</w:t>
      </w:r>
      <w:r>
        <w:t xml:space="preserve"> </w:t>
      </w:r>
      <w:r>
        <w:t xml:space="preserve">203</w:t>
      </w:r>
      <w:r>
        <w:t xml:space="preserve"> </w:t>
      </w:r>
      <w:r>
        <w:t xml:space="preserve">P.3d</w:t>
      </w:r>
      <w:r>
        <w:t xml:space="preserve"> </w:t>
      </w:r>
      <w:r>
        <w:t xml:space="preserve">94</w:t>
      </w:r>
      <w:r>
        <w:t xml:space="preserve"> </w:t>
      </w:r>
      <w:r>
        <w:t xml:space="preserve">(2009)</w:t>
      </w:r>
      <w:r>
        <w:t xml:space="preserve">   </w:t>
      </w:r>
      <w:r>
        <w:tab/>
      </w:r>
      <w:r>
        <w:t xml:space="preserve">16</w:t>
      </w:r>
    </w:p>
    <w:p>
      <w:pPr>
        <w:keepLines/>
        <w:tabs>
          <w:tab w:val="right" w:leader="dot" w:pos="9360"/>
        </w:tabs>
        <w:spacing w:before="252" w:after="0" w:line="322" w:lineRule="exact"/>
        <w:ind w:left="420" w:right="1120" w:hanging="420"/>
      </w:pPr>
      <w:r>
        <w:rPr>
          <w:i/>
          <w:iCs/>
        </w:rPr>
        <w:t xml:space="preserve">Univ.</w:t>
      </w:r>
      <w:r>
        <w:rPr>
          <w:i/>
          <w:iCs/>
        </w:rPr>
        <w:t xml:space="preserve"> </w:t>
      </w:r>
      <w:r>
        <w:rPr>
          <w:i/>
          <w:iCs/>
        </w:rPr>
        <w:t xml:space="preserve">&amp;</w:t>
      </w:r>
      <w:r>
        <w:rPr>
          <w:i/>
          <w:iCs/>
        </w:rPr>
        <w:t xml:space="preserve"> </w:t>
      </w:r>
      <w:r>
        <w:rPr>
          <w:i/>
          <w:iCs/>
        </w:rPr>
        <w:t xml:space="preserve">Cmty.</w:t>
      </w:r>
      <w:r>
        <w:rPr>
          <w:i/>
          <w:iCs/>
        </w:rPr>
        <w:t xml:space="preserve"> </w:t>
      </w:r>
      <w:r>
        <w:rPr>
          <w:i/>
          <w:iCs/>
        </w:rPr>
        <w:t xml:space="preserve">Coll.</w:t>
      </w:r>
      <w:r>
        <w:rPr>
          <w:i/>
          <w:iCs/>
        </w:rPr>
        <w:t xml:space="preserve"> </w:t>
      </w:r>
      <w:r>
        <w:rPr>
          <w:i/>
          <w:iCs/>
        </w:rPr>
        <w:t xml:space="preserve">Sys.</w:t>
      </w:r>
      <w:r>
        <w:rPr>
          <w:i/>
          <w:iCs/>
        </w:rPr>
        <w:t xml:space="preserve"> </w:t>
      </w:r>
      <w:r>
        <w:rPr>
          <w:i/>
          <w:iCs/>
        </w:rPr>
        <w:t xml:space="preserve">v.</w:t>
      </w:r>
      <w:r>
        <w:rPr>
          <w:i/>
          <w:iCs/>
        </w:rPr>
        <w:t xml:space="preserve"> </w:t>
      </w:r>
      <w:r>
        <w:rPr>
          <w:i/>
          <w:iCs/>
        </w:rPr>
        <w:t xml:space="preserve">Nevadans</w:t>
      </w:r>
      <w:r>
        <w:rPr>
          <w:i/>
          <w:iCs/>
        </w:rPr>
        <w:t xml:space="preserve"> </w:t>
      </w:r>
      <w:r>
        <w:rPr>
          <w:i/>
          <w:iCs/>
        </w:rPr>
        <w:t xml:space="preserve">for</w:t>
      </w:r>
      <w:r>
        <w:rPr>
          <w:i/>
          <w:iCs/>
        </w:rPr>
        <w:t xml:space="preserve"> </w:t>
      </w:r>
      <w:r>
        <w:rPr>
          <w:i/>
          <w:iCs/>
        </w:rPr>
        <w:t xml:space="preserve">Sound</w:t>
      </w:r>
      <w:r>
        <w:rPr>
          <w:i/>
          <w:iCs/>
        </w:rPr>
        <w:t xml:space="preserve"> </w:t>
      </w:r>
      <w:r>
        <w:rPr>
          <w:i/>
          <w:iCs/>
        </w:rPr>
        <w:t xml:space="preserve">Gov’t</w:t>
      </w:r>
      <w:r>
        <w:t xml:space="preserve">,</w:t>
      </w:r>
      <w:r>
        <w:t xml:space="preserve"> </w:t>
      </w:r>
      <w:r>
        <w:t xml:space="preserve">120</w:t>
      </w:r>
      <w:r>
        <w:t xml:space="preserve"> </w:t>
      </w:r>
      <w:r>
        <w:t xml:space="preserve">Nev.</w:t>
      </w:r>
      <w:r>
        <w:t xml:space="preserve"> </w:t>
      </w:r>
      <w:r>
        <w:t xml:space="preserve">712,</w:t>
      </w:r>
      <w:r>
        <w:t xml:space="preserve"> </w:t>
      </w:r>
      <w:r>
        <w:t xml:space="preserve">100</w:t>
      </w:r>
      <w:r>
        <w:t xml:space="preserve"> </w:t>
      </w:r>
      <w:r>
        <w:t xml:space="preserve">P.3d</w:t>
      </w:r>
      <w:r>
        <w:t xml:space="preserve"> </w:t>
      </w:r>
      <w:r>
        <w:t xml:space="preserve">179</w:t>
      </w:r>
      <w:r>
        <w:t xml:space="preserve"> </w:t>
      </w:r>
      <w:r>
        <w:t xml:space="preserve">(2004)</w:t>
      </w:r>
      <w:r>
        <w:t xml:space="preserve">   </w:t>
      </w:r>
      <w:r>
        <w:tab/>
      </w:r>
      <w:r>
        <w:t xml:space="preserve">10</w:t>
      </w:r>
    </w:p>
    <w:p>
      <w:pPr>
        <w:keepLines/>
        <w:tabs>
          <w:tab w:val="right" w:leader="dot" w:pos="9360"/>
        </w:tabs>
        <w:spacing w:before="252" w:after="0" w:line="322" w:lineRule="exact"/>
        <w:ind w:left="420" w:right="1120" w:hanging="420"/>
      </w:pPr>
      <w:r>
        <w:rPr>
          <w:i/>
          <w:iCs/>
        </w:rPr>
        <w:t xml:space="preserve">Winter</w:t>
      </w:r>
      <w:r>
        <w:rPr>
          <w:i/>
          <w:iCs/>
        </w:rPr>
        <w:t xml:space="preserve"> </w:t>
      </w:r>
      <w:r>
        <w:rPr>
          <w:i/>
          <w:iCs/>
        </w:rPr>
        <w:t xml:space="preserve">v.</w:t>
      </w:r>
      <w:r>
        <w:rPr>
          <w:i/>
          <w:iCs/>
        </w:rPr>
        <w:t xml:space="preserve"> </w:t>
      </w:r>
      <w:r>
        <w:rPr>
          <w:i/>
          <w:iCs/>
        </w:rPr>
        <w:t xml:space="preserve">Nat.</w:t>
      </w:r>
      <w:r>
        <w:rPr>
          <w:i/>
          <w:iCs/>
        </w:rPr>
        <w:t xml:space="preserve"> </w:t>
      </w:r>
      <w:r>
        <w:rPr>
          <w:i/>
          <w:iCs/>
        </w:rPr>
        <w:t xml:space="preserve">Res.</w:t>
      </w:r>
      <w:r>
        <w:rPr>
          <w:i/>
          <w:iCs/>
        </w:rPr>
        <w:t xml:space="preserve"> </w:t>
      </w:r>
      <w:r>
        <w:rPr>
          <w:i/>
          <w:iCs/>
        </w:rPr>
        <w:t xml:space="preserve">Def.</w:t>
      </w:r>
      <w:r>
        <w:rPr>
          <w:i/>
          <w:iCs/>
        </w:rPr>
        <w:t xml:space="preserve"> </w:t>
      </w:r>
      <w:r>
        <w:rPr>
          <w:i/>
          <w:iCs/>
        </w:rPr>
        <w:t xml:space="preserve">Council,</w:t>
      </w:r>
      <w:r>
        <w:rPr>
          <w:i/>
          <w:iCs/>
        </w:rPr>
        <w:t xml:space="preserve"> </w:t>
      </w:r>
      <w:r>
        <w:rPr>
          <w:i/>
          <w:iCs/>
        </w:rPr>
        <w:t xml:space="preserve">Inc.</w:t>
      </w:r>
      <w:r>
        <w:t xml:space="preserve">,</w:t>
      </w:r>
      <w:r>
        <w:t xml:space="preserve"> </w:t>
      </w:r>
      <w:r>
        <w:t xml:space="preserve">555</w:t>
      </w:r>
      <w:r>
        <w:t xml:space="preserve"> </w:t>
      </w:r>
      <w:r>
        <w:t xml:space="preserve">U.S.</w:t>
      </w:r>
      <w:r>
        <w:t xml:space="preserve"> </w:t>
      </w:r>
      <w:r>
        <w:t xml:space="preserve">7</w:t>
      </w:r>
      <w:r>
        <w:t xml:space="preserve"> </w:t>
      </w:r>
      <w:r>
        <w:t xml:space="preserve">(2008)</w:t>
      </w:r>
      <w:r>
        <w:t xml:space="preserve">   </w:t>
      </w:r>
      <w:r>
        <w:tab/>
      </w:r>
      <w:r>
        <w:t xml:space="preserve">9</w:t>
      </w:r>
    </w:p>
    <w:p>
      <w:pPr>
        <w:keepNext/>
        <w:keepLines/>
        <w:spacing w:before="336" w:after="56" w:line="322"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Regulations</w:t>
      </w:r>
    </w:p>
    <w:p>
      <w:pPr>
        <w:keepLines/>
        <w:tabs>
          <w:tab w:val="right" w:leader="dot" w:pos="9360"/>
        </w:tabs>
        <w:spacing w:before="252" w:after="0" w:line="322" w:lineRule="exact"/>
        <w:ind w:left="420" w:right="1120" w:hanging="420"/>
      </w:pPr>
      <w:r>
        <w:t xml:space="preserve">52</w:t>
      </w:r>
      <w:r>
        <w:t xml:space="preserve"> </w:t>
      </w:r>
      <w:r>
        <w:t xml:space="preserve">U.S.C.</w:t>
      </w:r>
      <w:r>
        <w:t xml:space="preserve"> </w:t>
      </w:r>
      <w:r>
        <w:t xml:space="preserve">§</w:t>
      </w:r>
      <w:r>
        <w:t xml:space="preserve"> </w:t>
      </w:r>
      <w:r>
        <w:t xml:space="preserve">20901</w:t>
      </w:r>
      <w:r>
        <w:t xml:space="preserve">   </w:t>
      </w:r>
      <w:r>
        <w:tab/>
      </w:r>
      <w:r>
        <w:t xml:space="preserve">5</w:t>
      </w:r>
    </w:p>
    <w:p>
      <w:pPr>
        <w:keepLines/>
        <w:tabs>
          <w:tab w:val="right" w:leader="dot" w:pos="9360"/>
        </w:tabs>
        <w:spacing w:before="252" w:after="0" w:line="322" w:lineRule="exact"/>
        <w:ind w:left="420" w:right="1120" w:hanging="420"/>
      </w:pPr>
      <w:r>
        <w:t xml:space="preserve">52</w:t>
      </w:r>
      <w:r>
        <w:t xml:space="preserve"> </w:t>
      </w:r>
      <w:r>
        <w:t xml:space="preserve">U.S.C.</w:t>
      </w:r>
      <w:r>
        <w:t xml:space="preserve"> </w:t>
      </w:r>
      <w:r>
        <w:t xml:space="preserve">§</w:t>
      </w:r>
      <w:r>
        <w:t xml:space="preserve"> </w:t>
      </w:r>
      <w:r>
        <w:t xml:space="preserve">21004(a)</w:t>
      </w:r>
      <w:r>
        <w:t xml:space="preserve">   </w:t>
      </w:r>
      <w:r>
        <w:tab/>
      </w:r>
      <w:r>
        <w:t xml:space="preserve">6</w:t>
      </w:r>
    </w:p>
    <w:p>
      <w:pPr>
        <w:keepLines/>
        <w:tabs>
          <w:tab w:val="right" w:leader="dot" w:pos="9360"/>
        </w:tabs>
        <w:spacing w:before="252" w:after="0" w:line="322" w:lineRule="exact"/>
        <w:ind w:left="420" w:right="1120" w:hanging="420"/>
      </w:pPr>
      <w:r>
        <w:t xml:space="preserve">52</w:t>
      </w:r>
      <w:r>
        <w:t xml:space="preserve"> </w:t>
      </w:r>
      <w:r>
        <w:t xml:space="preserve">U.S.C.</w:t>
      </w:r>
      <w:r>
        <w:t xml:space="preserve"> </w:t>
      </w:r>
      <w:r>
        <w:t xml:space="preserve">§</w:t>
      </w:r>
      <w:r>
        <w:t xml:space="preserve"> </w:t>
      </w:r>
      <w:r>
        <w:t xml:space="preserve">21081(a)</w:t>
      </w:r>
      <w:r>
        <w:t xml:space="preserve">   </w:t>
      </w:r>
      <w:r>
        <w:tab/>
      </w:r>
      <w:r>
        <w:t xml:space="preserve">5, 6, 7, 16</w:t>
      </w:r>
    </w:p>
    <w:p>
      <w:pPr>
        <w:keepLines/>
        <w:tabs>
          <w:tab w:val="right" w:leader="dot" w:pos="9360"/>
        </w:tabs>
        <w:spacing w:before="252" w:after="0" w:line="322" w:lineRule="exact"/>
        <w:ind w:left="420" w:right="1120" w:hanging="420"/>
      </w:pPr>
      <w:r>
        <w:t xml:space="preserve">52</w:t>
      </w:r>
      <w:r>
        <w:t xml:space="preserve"> </w:t>
      </w:r>
      <w:r>
        <w:t xml:space="preserve">U.S.C.</w:t>
      </w:r>
      <w:r>
        <w:t xml:space="preserve"> </w:t>
      </w:r>
      <w:r>
        <w:t xml:space="preserve">§</w:t>
      </w:r>
      <w:r>
        <w:t xml:space="preserve"> </w:t>
      </w:r>
      <w:r>
        <w:t xml:space="preserve">21081(b)</w:t>
      </w:r>
      <w:r>
        <w:t xml:space="preserve">   </w:t>
      </w:r>
      <w:r>
        <w:tab/>
      </w:r>
      <w:r>
        <w:t xml:space="preserve">7, 13, 14</w:t>
      </w:r>
    </w:p>
    <w:p>
      <w:pPr>
        <w:keepLines/>
        <w:tabs>
          <w:tab w:val="right" w:leader="dot" w:pos="9360"/>
        </w:tabs>
        <w:spacing w:before="252" w:after="0" w:line="322" w:lineRule="exact"/>
        <w:ind w:left="420" w:right="1120" w:hanging="420"/>
      </w:pPr>
      <w:r>
        <w:t xml:space="preserve">52</w:t>
      </w:r>
      <w:r>
        <w:t xml:space="preserve"> </w:t>
      </w:r>
      <w:r>
        <w:t xml:space="preserve">U.S.C.</w:t>
      </w:r>
      <w:r>
        <w:t xml:space="preserve"> </w:t>
      </w:r>
      <w:r>
        <w:t xml:space="preserve">§</w:t>
      </w:r>
      <w:r>
        <w:t xml:space="preserve"> </w:t>
      </w:r>
      <w:r>
        <w:t xml:space="preserve">21081(c)</w:t>
      </w:r>
      <w:r>
        <w:t xml:space="preserve">   </w:t>
      </w:r>
      <w:r>
        <w:tab/>
      </w:r>
      <w:r>
        <w:t xml:space="preserve">6</w:t>
      </w:r>
    </w:p>
    <w:p>
      <w:pPr>
        <w:keepLines/>
        <w:tabs>
          <w:tab w:val="right" w:leader="dot" w:pos="9360"/>
        </w:tabs>
        <w:spacing w:before="252" w:after="0" w:line="322" w:lineRule="exact"/>
        <w:ind w:left="420" w:right="1120" w:hanging="420"/>
      </w:pPr>
      <w:r>
        <w:t xml:space="preserve">Help</w:t>
      </w:r>
      <w:r>
        <w:t xml:space="preserve"> </w:t>
      </w:r>
      <w:r>
        <w:t xml:space="preserve">America</w:t>
      </w:r>
      <w:r>
        <w:t xml:space="preserve"> </w:t>
      </w:r>
      <w:r>
        <w:t xml:space="preserve">Vote</w:t>
      </w:r>
      <w:r>
        <w:t xml:space="preserve"> </w:t>
      </w:r>
      <w:r>
        <w:t xml:space="preserve">Act</w:t>
      </w:r>
      <w:r>
        <w:t xml:space="preserve"> </w:t>
      </w:r>
      <w:r>
        <w:t xml:space="preserve">of</w:t>
      </w:r>
      <w:r>
        <w:t xml:space="preserve"> </w:t>
      </w:r>
      <w:r>
        <w:t xml:space="preserve">2002,</w:t>
      </w:r>
      <w:r>
        <w:t xml:space="preserve"> </w:t>
      </w:r>
      <w:r>
        <w:t xml:space="preserve">Pub.</w:t>
      </w:r>
      <w:r>
        <w:t xml:space="preserve"> </w:t>
      </w:r>
      <w:r>
        <w:t xml:space="preserve">L.</w:t>
      </w:r>
      <w:r>
        <w:t xml:space="preserve"> </w:t>
      </w:r>
      <w:r>
        <w:t xml:space="preserve">107–252,</w:t>
      </w:r>
      <w:r>
        <w:t xml:space="preserve"> </w:t>
      </w:r>
      <w:r>
        <w:t xml:space="preserve">116</w:t>
      </w:r>
      <w:r>
        <w:t xml:space="preserve"> </w:t>
      </w:r>
      <w:r>
        <w:t xml:space="preserve">Stat.</w:t>
      </w:r>
      <w:r>
        <w:t xml:space="preserve"> </w:t>
      </w:r>
      <w:r>
        <w:t xml:space="preserve">1706</w:t>
      </w:r>
      <w:r>
        <w:t xml:space="preserve">   </w:t>
      </w:r>
      <w:r>
        <w:tab/>
      </w:r>
      <w:r>
        <w:t xml:space="preserve">5, 14</w:t>
      </w:r>
    </w:p>
    <w:p>
      <w:pPr>
        <w:keepLines/>
        <w:tabs>
          <w:tab w:val="right" w:leader="dot" w:pos="9360"/>
        </w:tabs>
        <w:spacing w:before="252" w:after="0" w:line="322" w:lineRule="exact"/>
        <w:ind w:left="420" w:right="1120" w:hanging="420"/>
      </w:pPr>
      <w:r>
        <w:t xml:space="preserve">NRS</w:t>
      </w:r>
      <w:r>
        <w:t xml:space="preserve"> </w:t>
      </w:r>
      <w:r>
        <w:t xml:space="preserve">33.010(1)</w:t>
      </w:r>
      <w:r>
        <w:t xml:space="preserve">   </w:t>
      </w:r>
      <w:r>
        <w:tab/>
      </w:r>
      <w:r>
        <w:t xml:space="preserve">9</w:t>
      </w:r>
    </w:p>
    <w:p>
      <w:pPr>
        <w:keepLines/>
        <w:tabs>
          <w:tab w:val="right" w:leader="dot" w:pos="9360"/>
        </w:tabs>
        <w:spacing w:before="252" w:after="0" w:line="322" w:lineRule="exact"/>
        <w:ind w:left="420" w:right="1120" w:hanging="420"/>
      </w:pPr>
      <w:r>
        <w:t xml:space="preserve">NRS</w:t>
      </w:r>
      <w:r>
        <w:t xml:space="preserve"> </w:t>
      </w:r>
      <w:r>
        <w:t xml:space="preserve">233B.063(3)</w:t>
      </w:r>
      <w:r>
        <w:t xml:space="preserve">   </w:t>
      </w:r>
      <w:r>
        <w:tab/>
      </w:r>
      <w:r>
        <w:t xml:space="preserve">2, 10</w:t>
      </w:r>
    </w:p>
    <w:p>
      <w:pPr>
        <w:keepLines/>
        <w:tabs>
          <w:tab w:val="right" w:leader="dot" w:pos="9360"/>
        </w:tabs>
        <w:spacing w:before="252" w:after="0" w:line="322" w:lineRule="exact"/>
        <w:ind w:left="420" w:right="1120" w:hanging="420"/>
      </w:pPr>
      <w:r>
        <w:t xml:space="preserve">NRS</w:t>
      </w:r>
      <w:r>
        <w:t xml:space="preserve"> </w:t>
      </w:r>
      <w:r>
        <w:t xml:space="preserve">293.12755</w:t>
      </w:r>
      <w:r>
        <w:t xml:space="preserve">   </w:t>
      </w:r>
      <w:r>
        <w:tab/>
      </w:r>
      <w:r>
        <w:t xml:space="preserve">11</w:t>
      </w:r>
    </w:p>
    <w:p>
      <w:pPr>
        <w:keepLines/>
        <w:tabs>
          <w:tab w:val="right" w:leader="dot" w:pos="9360"/>
        </w:tabs>
        <w:spacing w:before="252" w:after="0" w:line="322" w:lineRule="exact"/>
        <w:ind w:left="420" w:right="1120" w:hanging="420"/>
      </w:pPr>
      <w:r>
        <w:t xml:space="preserve">NRS</w:t>
      </w:r>
      <w:r>
        <w:t xml:space="preserve"> </w:t>
      </w:r>
      <w:r>
        <w:t xml:space="preserve">293.175(1)</w:t>
      </w:r>
      <w:r>
        <w:t xml:space="preserve">   </w:t>
      </w:r>
      <w:r>
        <w:tab/>
      </w:r>
      <w:r>
        <w:t xml:space="preserve">11</w:t>
      </w:r>
    </w:p>
    <w:p>
      <w:pPr>
        <w:keepLines/>
        <w:tabs>
          <w:tab w:val="right" w:leader="dot" w:pos="9360"/>
        </w:tabs>
        <w:spacing w:before="252" w:after="0" w:line="322" w:lineRule="exact"/>
        <w:ind w:left="420" w:right="1120" w:hanging="420"/>
      </w:pPr>
      <w:r>
        <w:t xml:space="preserve">NRS</w:t>
      </w:r>
      <w:r>
        <w:t xml:space="preserve"> </w:t>
      </w:r>
      <w:r>
        <w:t xml:space="preserve">293.2546(10)</w:t>
      </w:r>
      <w:r>
        <w:t xml:space="preserve">   </w:t>
      </w:r>
      <w:r>
        <w:tab/>
      </w:r>
      <w:r>
        <w:t xml:space="preserve">15, 17</w:t>
      </w:r>
    </w:p>
    <w:p>
      <w:pPr>
        <w:keepLines/>
        <w:tabs>
          <w:tab w:val="right" w:leader="dot" w:pos="9360"/>
        </w:tabs>
        <w:spacing w:before="252" w:after="0" w:line="322" w:lineRule="exact"/>
        <w:ind w:left="420" w:right="1960" w:hanging="420"/>
      </w:pPr>
      <w:r>
        <w:t xml:space="preserve">NRS</w:t>
      </w:r>
      <w:r>
        <w:t xml:space="preserve"> </w:t>
      </w:r>
      <w:r>
        <w:t xml:space="preserve">293.2696</w:t>
      </w:r>
      <w:r>
        <w:t xml:space="preserve">   </w:t>
      </w:r>
      <w:r>
        <w:tab/>
      </w:r>
      <w:r>
        <w:t xml:space="preserve">5, 6, 7, 13, 14, 15</w:t>
      </w:r>
    </w:p>
    <w:p>
      <w:pPr>
        <w:keepLines/>
        <w:tabs>
          <w:tab w:val="right" w:leader="dot" w:pos="9360"/>
        </w:tabs>
        <w:spacing w:before="252" w:after="0" w:line="322" w:lineRule="exact"/>
        <w:ind w:left="420" w:right="1120" w:hanging="420"/>
      </w:pPr>
      <w:r>
        <w:t xml:space="preserve">NRS</w:t>
      </w:r>
      <w:r>
        <w:t xml:space="preserve"> </w:t>
      </w:r>
      <w:r>
        <w:t xml:space="preserve">293.3677(2)</w:t>
      </w:r>
      <w:r>
        <w:t xml:space="preserve">   </w:t>
      </w:r>
      <w:r>
        <w:tab/>
      </w:r>
      <w:r>
        <w:t xml:space="preserve">17</w:t>
      </w:r>
    </w:p>
    <w:p>
      <w:pPr>
        <w:keepLines/>
        <w:tabs>
          <w:tab w:val="right" w:leader="dot" w:pos="9360"/>
        </w:tabs>
        <w:spacing w:before="252" w:after="0" w:line="322" w:lineRule="exact"/>
        <w:ind w:left="420" w:right="1120" w:hanging="420"/>
      </w:pPr>
      <w:r>
        <w:t xml:space="preserve">NRS</w:t>
      </w:r>
      <w:r>
        <w:t xml:space="preserve"> </w:t>
      </w:r>
      <w:r>
        <w:t xml:space="preserve">293B.033</w:t>
      </w:r>
      <w:r>
        <w:t xml:space="preserve">   </w:t>
      </w:r>
      <w:r>
        <w:tab/>
      </w:r>
      <w:r>
        <w:t xml:space="preserve">3</w:t>
      </w:r>
    </w:p>
    <w:p>
      <w:pPr>
        <w:keepLines/>
        <w:tabs>
          <w:tab w:val="right" w:leader="dot" w:pos="9360"/>
        </w:tabs>
        <w:spacing w:before="252" w:after="0" w:line="322" w:lineRule="exact"/>
        <w:ind w:left="420" w:right="1260" w:hanging="420"/>
      </w:pPr>
      <w:r>
        <w:t xml:space="preserve">NRS</w:t>
      </w:r>
      <w:r>
        <w:t xml:space="preserve"> </w:t>
      </w:r>
      <w:r>
        <w:t xml:space="preserve">293B.050</w:t>
      </w:r>
      <w:r>
        <w:t xml:space="preserve">   </w:t>
      </w:r>
      <w:r>
        <w:tab/>
      </w:r>
      <w:r>
        <w:t xml:space="preserve">3, 7, 12, 15</w:t>
      </w:r>
    </w:p>
    <w:p>
      <w:pPr>
        <w:keepLines/>
        <w:tabs>
          <w:tab w:val="right" w:leader="dot" w:pos="9360"/>
        </w:tabs>
        <w:spacing w:before="252" w:after="0" w:line="322" w:lineRule="exact"/>
        <w:ind w:left="420" w:right="1120" w:hanging="420"/>
      </w:pPr>
      <w:r>
        <w:t xml:space="preserve">NRS</w:t>
      </w:r>
      <w:r>
        <w:t xml:space="preserve"> </w:t>
      </w:r>
      <w:r>
        <w:t xml:space="preserve">293B.063</w:t>
      </w:r>
      <w:r>
        <w:t xml:space="preserve">   </w:t>
      </w:r>
      <w:r>
        <w:tab/>
      </w:r>
      <w:r>
        <w:t xml:space="preserve">14</w:t>
      </w:r>
    </w:p>
    <w:p>
      <w:pPr>
        <w:keepNext/>
        <w:keepLines/>
        <w:spacing w:before="336"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52" w:after="0" w:line="322" w:lineRule="exact"/>
        <w:ind w:left="420" w:right="1120" w:hanging="420"/>
      </w:pPr>
      <w:r>
        <w:t xml:space="preserve">Election</w:t>
      </w:r>
      <w:r>
        <w:t xml:space="preserve"> </w:t>
      </w:r>
      <w:r>
        <w:t xml:space="preserve">Assistance</w:t>
      </w:r>
      <w:r>
        <w:t xml:space="preserve"> </w:t>
      </w:r>
      <w:r>
        <w:t xml:space="preserve">Commission,</w:t>
      </w:r>
      <w:r>
        <w:t xml:space="preserve"> </w:t>
      </w:r>
      <w:r>
        <w:t xml:space="preserve">Voluntary</w:t>
      </w:r>
      <w:r>
        <w:t xml:space="preserve"> </w:t>
      </w:r>
      <w:r>
        <w:t xml:space="preserve">Voting</w:t>
      </w:r>
      <w:r>
        <w:t xml:space="preserve"> </w:t>
      </w:r>
      <w:r>
        <w:t xml:space="preserve">System</w:t>
      </w:r>
      <w:r>
        <w:t xml:space="preserve"> </w:t>
      </w:r>
      <w:r>
        <w:t xml:space="preserve">Guidelines</w:t>
      </w:r>
      <w:r>
        <w:t xml:space="preserve">   </w:t>
      </w:r>
      <w:r>
        <w:tab/>
      </w:r>
      <w:r>
        <w:t xml:space="preserve">8</w:t>
      </w:r>
    </w:p>
    <w:p>
      <w:pPr>
        <w:keepLines/>
        <w:tabs>
          <w:tab w:val="right" w:leader="dot" w:pos="9360"/>
        </w:tabs>
        <w:spacing w:before="252" w:after="0" w:line="322" w:lineRule="exact"/>
        <w:ind w:left="420" w:right="1120" w:hanging="420"/>
      </w:pPr>
      <w:r>
        <w:t xml:space="preserve">Federal</w:t>
      </w:r>
      <w:r>
        <w:t xml:space="preserve"> </w:t>
      </w:r>
      <w:r>
        <w:t xml:space="preserve">Election</w:t>
      </w:r>
      <w:r>
        <w:t xml:space="preserve"> </w:t>
      </w:r>
      <w:r>
        <w:t xml:space="preserve">Commission,</w:t>
      </w:r>
      <w:r>
        <w:t xml:space="preserve"> </w:t>
      </w:r>
      <w:r>
        <w:t xml:space="preserve">Voting</w:t>
      </w:r>
      <w:r>
        <w:t xml:space="preserve"> </w:t>
      </w:r>
      <w:r>
        <w:t xml:space="preserve">System</w:t>
      </w:r>
      <w:r>
        <w:t xml:space="preserve"> </w:t>
      </w:r>
      <w:r>
        <w:t xml:space="preserve">Standards</w:t>
      </w:r>
      <w:r>
        <w:t xml:space="preserve"> </w:t>
      </w:r>
      <w:r>
        <w:t xml:space="preserve">Volume</w:t>
      </w:r>
      <w:r>
        <w:t xml:space="preserve"> </w:t>
      </w:r>
      <w:r>
        <w:t xml:space="preserve">I</w:t>
      </w:r>
      <w:r>
        <w:t xml:space="preserve"> </w:t>
      </w:r>
      <w:r>
        <w:t xml:space="preserve">–</w:t>
      </w:r>
      <w:r>
        <w:t xml:space="preserve"> </w:t>
      </w:r>
      <w:r>
        <w:t xml:space="preserve">Performance</w:t>
      </w:r>
      <w:r>
        <w:t xml:space="preserve"> </w:t>
      </w:r>
      <w:r>
        <w:t xml:space="preserve">Standards</w:t>
      </w:r>
      <w:r>
        <w:t xml:space="preserve"> </w:t>
      </w:r>
      <w:r>
        <w:t xml:space="preserve">(April</w:t>
      </w:r>
      <w:r>
        <w:t xml:space="preserve"> </w:t>
      </w:r>
      <w:r>
        <w:t xml:space="preserve">2002)</w:t>
      </w:r>
      <w:r>
        <w:t xml:space="preserve">   </w:t>
      </w:r>
      <w:r>
        <w:tab/>
      </w:r>
      <w:r>
        <w:t xml:space="preserve">7</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1. Is this case moot, where no county has or ever will submit a required plan under a temporary regulation to substitute the hand counting of ballots to replace machine tabulation for calculating its election results?</w:t>
      </w:r>
    </w:p>
    <w:p>
      <w:pPr>
        <w:pStyle w:val="BodyText"/>
      </w:pPr>
      <w:r>
        <w:t xml:space="preserve">2. Did the District Court abuse its discretion by denying Appellant Progressive Leadership Alliance of Nevada (</w:t>
      </w:r>
      <w:r>
        <w:t xml:space="preserve">“PLAN”</w:t>
      </w:r>
      <w:r>
        <w:t xml:space="preserve">) a preliminary injunction against a temporary regulation governing the hand counting of ballots where there is no evidence that the 2003 Nevada Legislature banned the hand counting of ballots and there is no evidence that PLAN would suffer any hardships or harms?</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Note"/>
      </w:pPr>
      <w:r>
        <w:t xml:space="preserve">On August 26, 2022, the Secretary of State adopted a temporary regulation establishing requirements for conducting a hand count of ballots as the primary method of determining the vote.</w:t>
      </w:r>
      <w:r>
        <w:rPr>
          <w:rStyle w:val="FootnoteReference"/>
        </w:rPr>
        <w:footnoteReference w:id="9"/>
      </w:r>
      <w:r>
        <w:t xml:space="preserve"> </w:t>
      </w:r>
      <w:r>
        <w:t xml:space="preserve">Counties that intended to use hand counting as the primary method of counting votes were required to comply with the Regulation, including its requirement to submit a plan for the hand count no later than 30 days before the election.</w:t>
      </w:r>
      <w:r>
        <w:rPr>
          <w:rStyle w:val="FootnoteReference"/>
        </w:rPr>
        <w:footnoteReference w:id="10"/>
      </w:r>
      <w:r>
        <w:t xml:space="preserve"> </w:t>
      </w:r>
      <w:r>
        <w:t xml:space="preserve">The deadline to submit such a plan for the upcoming November 8, 2022 election was October 9, 2022, but no county submitted such a plan. As a temporary regulation, the Regulation will expire on November 1, 2023, prior to the next general election.</w:t>
      </w:r>
      <w:r>
        <w:rPr>
          <w:rStyle w:val="FootnoteReference"/>
        </w:rPr>
        <w:footnoteReference w:id="11"/>
      </w:r>
      <w:r>
        <w:t xml:space="preserve"> </w:t>
      </w:r>
      <w:r>
        <w:t xml:space="preserve">As set forth in further detail below, the Secretary submits that PLAN’s case is moot and should be immediately dismissed.</w:t>
      </w:r>
    </w:p>
    <w:p>
      <w:pPr>
        <w:pStyle w:val="BodyTextNote"/>
      </w:pPr>
      <w:r>
        <w:t xml:space="preserve">PLAN sued the Secretary of State challenging the Regulation and moved for a preliminary injunction prohibiting the Secretary of State from authorizing or permitting counties to engage in hand counting. The District Court correctly denied the preliminary injunction based on, among other things, a finding that hand counting is permitted in Nevada.</w:t>
      </w:r>
      <w:r>
        <w:rPr>
          <w:rStyle w:val="FootnoteReference"/>
        </w:rPr>
        <w:footnoteReference w:id="12"/>
      </w:r>
      <w:r>
        <w:rPr>
          <w:rStyle w:val="FootnoteReference"/>
        </w:rPr>
        <w:footnoteReference w:id="13"/>
      </w:r>
    </w:p>
    <w:p>
      <w:pPr>
        <w:pStyle w:val="BodyText"/>
      </w:pPr>
      <w:r>
        <w:t xml:space="preserve">The Regulation established safeguards to ensure the accuracy of the vote in the event a county used hand counting to determine the vote. Based on existing law, the District Court correctly found that PLAN had no likelihood of success on the merits of its argument that the Regulation authorizes hand counting where it is otherwise not allowed. Moreover, PLAN cannot establish irreparable harm because no county has submitted a plan for a hand count. Under such circumstances, the District Court’s order denying a preliminary injunction should be affirmed.</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336" w:after="224" w:line="322" w:lineRule="exact"/>
        <w:ind w:left="720" w:hanging="720"/>
        <w:jc w:val="left"/>
      </w:pPr>
      <w:r>
        <w:rPr>
          <w:b/>
          <w:bCs/>
        </w:rPr>
        <w:t xml:space="preserve">I.</w:t>
      </w:r>
      <w:r>
        <w:rPr>
          <w:b/>
          <w:bCs/>
        </w:rPr>
        <w:t xml:space="preserve"> </w:t>
      </w:r>
      <w:r>
        <w:rPr>
          <w:b/>
          <w:bCs/>
        </w:rPr>
        <w:t xml:space="preserve">Nevada’s</w:t>
      </w:r>
      <w:r>
        <w:rPr>
          <w:b/>
          <w:bCs/>
        </w:rPr>
        <w:t xml:space="preserve"> </w:t>
      </w:r>
      <w:r>
        <w:rPr>
          <w:b/>
          <w:bCs/>
        </w:rPr>
        <w:t xml:space="preserve">Voting</w:t>
      </w:r>
      <w:r>
        <w:rPr>
          <w:b/>
          <w:bCs/>
        </w:rPr>
        <w:t xml:space="preserve"> </w:t>
      </w:r>
      <w:r>
        <w:rPr>
          <w:b/>
          <w:bCs/>
        </w:rPr>
        <w:t xml:space="preserve">Method</w:t>
      </w:r>
      <w:r>
        <w:rPr>
          <w:b/>
          <w:bCs/>
        </w:rPr>
        <w:t xml:space="preserve"> </w:t>
      </w:r>
      <w:r>
        <w:rPr>
          <w:b/>
          <w:bCs/>
        </w:rPr>
        <w:t xml:space="preserve">Laws</w:t>
      </w:r>
      <w:r>
        <w:rPr>
          <w:b/>
          <w:bCs/>
        </w:rPr>
        <w:t xml:space="preserve"> </w:t>
      </w:r>
      <w:r>
        <w:rPr>
          <w:b/>
          <w:bCs/>
        </w:rPr>
        <w:t xml:space="preserve">and</w:t>
      </w:r>
      <w:r>
        <w:rPr>
          <w:b/>
          <w:bCs/>
        </w:rPr>
        <w:t xml:space="preserve"> </w:t>
      </w:r>
      <w:r>
        <w:rPr>
          <w:b/>
          <w:bCs/>
        </w:rPr>
        <w:t xml:space="preserve">Rules</w:t>
      </w:r>
    </w:p>
    <w:p>
      <w:pPr>
        <w:pStyle w:val="BodyText"/>
      </w:pPr>
      <w:r>
        <w:t xml:space="preserve">Nevada statute does not prohibit hand counting of ballots.</w:t>
      </w:r>
    </w:p>
    <w:p>
      <w:pPr>
        <w:pStyle w:val="BodyTextNote"/>
      </w:pPr>
      <w:r>
        <w:t xml:space="preserve">Voting is permitted by</w:t>
      </w:r>
      <w:r>
        <w:t xml:space="preserve"> </w:t>
      </w:r>
      <w:r>
        <w:t xml:space="preserve">“mechanical voting system,”</w:t>
      </w:r>
      <w:r>
        <w:rPr>
          <w:rStyle w:val="FootnoteReference"/>
        </w:rPr>
        <w:footnoteReference w:id="14"/>
      </w:r>
      <w:r>
        <w:t xml:space="preserve"> </w:t>
      </w:r>
      <w:r>
        <w:t xml:space="preserve">which is</w:t>
      </w:r>
      <w:r>
        <w:t xml:space="preserve"> </w:t>
      </w:r>
      <w:r>
        <w:t xml:space="preserve">“a system of voting whereby a voter may cast a vote”</w:t>
      </w:r>
      <w:r>
        <w:t xml:space="preserve"> </w:t>
      </w:r>
      <w:r>
        <w:t xml:space="preserve">(1)</w:t>
      </w:r>
      <w:r>
        <w:t xml:space="preserve"> </w:t>
      </w:r>
      <w:r>
        <w:t xml:space="preserve">“[o]n a device which mechanically or electronically compiles a total of the number of votes cast for each candidate and for or against each measure voted on”</w:t>
      </w:r>
      <w:r>
        <w:t xml:space="preserve"> </w:t>
      </w:r>
      <w:r>
        <w:t xml:space="preserve">or (2)</w:t>
      </w:r>
      <w:r>
        <w:t xml:space="preserve"> </w:t>
      </w:r>
      <w:r>
        <w:t xml:space="preserve">“[b]y marking a paper ballot which is subsequently counted on an electronic tabulator, counting device or computer.”</w:t>
      </w:r>
      <w:r>
        <w:rPr>
          <w:rStyle w:val="FootnoteReference"/>
        </w:rPr>
        <w:footnoteReference w:id="15"/>
      </w:r>
      <w:r>
        <w:t xml:space="preserve"> </w:t>
      </w:r>
      <w:r>
        <w:t xml:space="preserve">However, use of a mechanical voting system is optional, not mandatory. Since 1985, Nevada statute has provided that</w:t>
      </w:r>
      <w:r>
        <w:t xml:space="preserve"> </w:t>
      </w:r>
      <w:r>
        <w:t xml:space="preserve">“[a]t all statewide, county, city and district elections of any kind held in this State, ballots or votes may be cast, registered, recorded and counted by means of a mechanical voting system.”</w:t>
      </w:r>
      <w:r>
        <w:rPr>
          <w:rStyle w:val="FootnoteReference"/>
        </w:rPr>
        <w:footnoteReference w:id="16"/>
      </w:r>
      <w:r>
        <w:t xml:space="preserve"> </w:t>
      </w:r>
      <w:r>
        <w:t xml:space="preserve">Nothing previously prohibited hand counting.</w:t>
      </w:r>
    </w:p>
    <w:p>
      <w:pPr>
        <w:pStyle w:val="BodyTextNote"/>
      </w:pPr>
      <w:r>
        <w:t xml:space="preserve">Currently, each Nevada county uses mechanical voting systems as the method to determine election results.</w:t>
      </w:r>
      <w:r>
        <w:rPr>
          <w:rStyle w:val="FootnoteReference"/>
        </w:rPr>
        <w:footnoteReference w:id="17"/>
      </w:r>
      <w:r>
        <w:t xml:space="preserve"> </w:t>
      </w:r>
      <w:r>
        <w:t xml:space="preserve">Vote tabulation by mechanical voting machine varies with the method of voting. Following signature verification, mail ballots are machine tabulated.</w:t>
      </w:r>
      <w:r>
        <w:rPr>
          <w:rStyle w:val="FootnoteReference"/>
        </w:rPr>
        <w:footnoteReference w:id="18"/>
      </w:r>
      <w:r>
        <w:t xml:space="preserve"> </w:t>
      </w:r>
      <w:r>
        <w:t xml:space="preserve">For in-person voting, voters vote on an electronic voting machine, with the vote data physically transferred from the electronic voting machine onto a tabulation computer.</w:t>
      </w:r>
      <w:r>
        <w:rPr>
          <w:rStyle w:val="FootnoteReference"/>
        </w:rPr>
        <w:footnoteReference w:id="19"/>
      </w:r>
    </w:p>
    <w:p>
      <w:pPr>
        <w:pStyle w:val="BodyTextNote"/>
      </w:pPr>
      <w:r>
        <w:t xml:space="preserve">However, certain counties have expressed interest in hand counts.</w:t>
      </w:r>
      <w:r>
        <w:rPr>
          <w:rStyle w:val="FootnoteReference"/>
        </w:rPr>
        <w:footnoteReference w:id="20"/>
      </w:r>
      <w:r>
        <w:t xml:space="preserve"> </w:t>
      </w:r>
      <w:r>
        <w:t xml:space="preserve">To promote best practices and uniformity for hand counting of ballots, the Secretary, as Nevada’s Chief Elections Officer, determined it was in the State’s interest to promulgate a temporary regulation relating to hand counts as the method of determining the election results.</w:t>
      </w:r>
      <w:r>
        <w:rPr>
          <w:rStyle w:val="FootnoteReference"/>
        </w:rPr>
        <w:footnoteReference w:id="21"/>
      </w:r>
    </w:p>
    <w:p>
      <w:pPr>
        <w:pStyle w:val="BodyTextNote"/>
      </w:pPr>
      <w:r>
        <w:t xml:space="preserve">The Regulation establishes requirements</w:t>
      </w:r>
      <w:r>
        <w:t xml:space="preserve"> </w:t>
      </w:r>
      <w:r>
        <w:t xml:space="preserve">“where the primary method of counting the votes”</w:t>
      </w:r>
      <w:r>
        <w:t xml:space="preserve"> </w:t>
      </w:r>
      <w:r>
        <w:t xml:space="preserve">is a hand count.</w:t>
      </w:r>
      <w:r>
        <w:rPr>
          <w:rStyle w:val="FootnoteReference"/>
        </w:rPr>
        <w:footnoteReference w:id="22"/>
      </w:r>
      <w:r>
        <w:t xml:space="preserve"> </w:t>
      </w:r>
      <w:r>
        <w:t xml:space="preserve">These include minimum standards, such as at least two tallies, the composition of tally teams, shift limitations for the tally teams, and tally standards.</w:t>
      </w:r>
      <w:r>
        <w:rPr>
          <w:rStyle w:val="FootnoteReference"/>
        </w:rPr>
        <w:footnoteReference w:id="23"/>
      </w:r>
      <w:r>
        <w:t xml:space="preserve"> </w:t>
      </w:r>
      <w:r>
        <w:t xml:space="preserve">The Regulation also requires county clerks that will use hand counts as the primary method of counting the vote to submit a plan for conducting the hand count</w:t>
      </w:r>
      <w:r>
        <w:t xml:space="preserve"> </w:t>
      </w:r>
      <w:r>
        <w:t xml:space="preserve">“not later than 30 days before the date of the election.”</w:t>
      </w:r>
      <w:r>
        <w:rPr>
          <w:rStyle w:val="FootnoteReference"/>
        </w:rPr>
        <w:footnoteReference w:id="24"/>
      </w:r>
      <w:r>
        <w:t xml:space="preserve"> </w:t>
      </w:r>
      <w:r>
        <w:t xml:space="preserve">Absent such a plan to comply with the Regulation, no Nevada county can use hand counting as the method for determining the election results.</w:t>
      </w:r>
      <w:r>
        <w:rPr>
          <w:rStyle w:val="FootnoteReference"/>
        </w:rPr>
        <w:footnoteReference w:id="25"/>
      </w:r>
      <w:r>
        <w:t xml:space="preserve"> </w:t>
      </w:r>
      <w:r>
        <w:t xml:space="preserve">The deadline to file a plan for conducting a hand count was October 9, 2022.</w:t>
      </w:r>
    </w:p>
    <w:p>
      <w:pPr>
        <w:pStyle w:val="BodyText"/>
      </w:pPr>
      <w:r>
        <w:t xml:space="preserve">No county submitted a hand-count plan by the October 9, 2022 deadline, and PLAN offers no evidence to the contrary. With no such plan submitted, all Nevada counties will continue using mechanical voting systems to tabulate votes, as done most recently for the 2022 primary.</w:t>
      </w:r>
    </w:p>
    <w:p>
      <w:pPr>
        <w:keepNext/>
        <w:keepLines/>
        <w:spacing w:before="336"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Help</w:t>
      </w:r>
      <w:r>
        <w:rPr>
          <w:b/>
          <w:bCs/>
        </w:rPr>
        <w:t xml:space="preserve"> </w:t>
      </w:r>
      <w:r>
        <w:rPr>
          <w:b/>
          <w:bCs/>
        </w:rPr>
        <w:t xml:space="preserve">America</w:t>
      </w:r>
      <w:r>
        <w:rPr>
          <w:b/>
          <w:bCs/>
        </w:rPr>
        <w:t xml:space="preserve"> </w:t>
      </w:r>
      <w:r>
        <w:rPr>
          <w:b/>
          <w:bCs/>
        </w:rPr>
        <w:t xml:space="preserve">Vote</w:t>
      </w:r>
      <w:r>
        <w:rPr>
          <w:b/>
          <w:bCs/>
        </w:rPr>
        <w:t xml:space="preserve"> </w:t>
      </w:r>
      <w:r>
        <w:rPr>
          <w:b/>
          <w:bCs/>
        </w:rPr>
        <w:t xml:space="preserve">Act</w:t>
      </w:r>
    </w:p>
    <w:p>
      <w:pPr>
        <w:pStyle w:val="BodyTextNote"/>
      </w:pPr>
      <w:r>
        <w:t xml:space="preserve">The 2003 Nevada Legislature adopted NRS 293.2696</w:t>
      </w:r>
      <w:r>
        <w:t xml:space="preserve"> </w:t>
      </w:r>
      <w:r>
        <w:t xml:space="preserve">to comply with the Help America Vote Act of 2002 (</w:t>
      </w:r>
      <w:r>
        <w:t xml:space="preserve">“HAVA”</w:t>
      </w:r>
      <w:r>
        <w:t xml:space="preserve">).</w:t>
      </w:r>
      <w:r>
        <w:rPr>
          <w:rStyle w:val="FootnoteReference"/>
        </w:rPr>
        <w:footnoteReference w:id="26"/>
      </w:r>
      <w:r>
        <w:t xml:space="preserve"> </w:t>
      </w:r>
      <w:r>
        <w:t xml:space="preserve">In response to the 2000 Election, particularly the controversy as to how Florida counted certain punch card votes, Congress enacted HAVA, which mandated that voting systems for federal elections allow a voter to (1) verify the votes selected before the ballot is cast and counted; (2) provide the opportunity to change the votes or correct any error; and (3) provide the opportunity to correct any overvote for a particular office.</w:t>
      </w:r>
      <w:r>
        <w:rPr>
          <w:rStyle w:val="FootnoteReference"/>
        </w:rPr>
        <w:footnoteReference w:id="27"/>
      </w:r>
    </w:p>
    <w:p>
      <w:pPr>
        <w:pStyle w:val="BodyTextNote"/>
      </w:pPr>
      <w:r>
        <w:t xml:space="preserve">However, HAVA did not prohibit paper ballot voting systems, which includes hand counting. HAVA specifically acknowledges that a</w:t>
      </w:r>
      <w:r>
        <w:t xml:space="preserve"> </w:t>
      </w:r>
      <w:r>
        <w:t xml:space="preserve">“paper ballot voting system”</w:t>
      </w:r>
      <w:r>
        <w:t xml:space="preserve"> </w:t>
      </w:r>
      <w:r>
        <w:t xml:space="preserve">could comply with its requirements for providing voters the opportunity to correct any overvote.</w:t>
      </w:r>
      <w:r>
        <w:rPr>
          <w:rStyle w:val="FootnoteReference"/>
        </w:rPr>
        <w:footnoteReference w:id="28"/>
      </w:r>
      <w:r>
        <w:t xml:space="preserve"> </w:t>
      </w:r>
      <w:r>
        <w:t xml:space="preserve">To the extent unclear, HAVA specifically mandated the protection of paper ballot voting systems:</w:t>
      </w:r>
    </w:p>
    <w:p>
      <w:pPr>
        <w:pStyle w:val="XdQuoteFirst"/>
      </w:pPr>
      <w:r>
        <w:t xml:space="preserve">(2) Protection of paper ballot voting systems</w:t>
      </w:r>
    </w:p>
    <w:p>
      <w:pPr>
        <w:pStyle w:val="XdQuoteLast"/>
      </w:pPr>
      <w:r>
        <w:t xml:space="preserve">For purposes of subsection (a)⁠(1)⁠(A)⁠(i), the term</w:t>
      </w:r>
      <w:r>
        <w:t xml:space="preserve"> </w:t>
      </w:r>
      <w:r>
        <w:t xml:space="preserve">“verify”</w:t>
      </w:r>
      <w:r>
        <w:t xml:space="preserve"> </w:t>
      </w:r>
      <w:r>
        <w:t xml:space="preserve">may not be defined in a manner that makes it impossible for a paper ballot voting system to meet the requirements of such subsection or to be modified to meet such requirements.</w:t>
      </w:r>
      <w:r>
        <w:rPr>
          <w:rStyle w:val="FootnoteReference"/>
        </w:rPr>
        <w:footnoteReference w:id="29"/>
      </w:r>
    </w:p>
    <w:p>
      <w:pPr>
        <w:pStyle w:val="BodyTextNote"/>
      </w:pPr>
      <w:r>
        <w:t xml:space="preserve">To receive federal funding to implement HAVA, Nevada had to submit a plan to</w:t>
      </w:r>
      <w:r>
        <w:t xml:space="preserve"> </w:t>
      </w:r>
      <w:r>
        <w:t xml:space="preserve">“adopt voting system guidelines and processes which are consistent with the requirements of [52 U.S.C. § 21081].”</w:t>
      </w:r>
      <w:r>
        <w:rPr>
          <w:rStyle w:val="FootnoteReference"/>
        </w:rPr>
        <w:footnoteReference w:id="30"/>
      </w:r>
    </w:p>
    <w:p>
      <w:pPr>
        <w:keepNext/>
        <w:keepLines/>
        <w:spacing w:before="336" w:after="224" w:line="322" w:lineRule="exact"/>
        <w:ind w:left="720" w:hanging="720"/>
        <w:jc w:val="left"/>
      </w:pPr>
      <w:r>
        <w:rPr>
          <w:b/>
          <w:bCs/>
        </w:rPr>
        <w:t xml:space="preserve">III.</w:t>
      </w:r>
      <w:r>
        <w:rPr>
          <w:b/>
          <w:bCs/>
        </w:rPr>
        <w:t xml:space="preserve"> </w:t>
      </w:r>
      <w:r>
        <w:rPr>
          <w:b/>
          <w:bCs/>
        </w:rPr>
        <w:t xml:space="preserve">Nevada</w:t>
      </w:r>
      <w:r>
        <w:rPr>
          <w:b/>
          <w:bCs/>
        </w:rPr>
        <w:t xml:space="preserve"> </w:t>
      </w:r>
      <w:r>
        <w:rPr>
          <w:b/>
          <w:bCs/>
        </w:rPr>
        <w:t xml:space="preserve">Adopts</w:t>
      </w:r>
      <w:r>
        <w:rPr>
          <w:b/>
          <w:bCs/>
        </w:rPr>
        <w:t xml:space="preserve"> </w:t>
      </w:r>
      <w:r>
        <w:rPr>
          <w:b/>
          <w:bCs/>
        </w:rPr>
        <w:t xml:space="preserve">NRS</w:t>
      </w:r>
      <w:r>
        <w:rPr>
          <w:b/>
          <w:bCs/>
        </w:rPr>
        <w:t xml:space="preserve"> </w:t>
      </w:r>
      <w:r>
        <w:rPr>
          <w:b/>
          <w:bCs/>
        </w:rPr>
        <w:t xml:space="preserve">293.2696</w:t>
      </w:r>
      <w:r>
        <w:rPr>
          <w:b/>
          <w:bCs/>
        </w:rPr>
        <w:t xml:space="preserve"> </w:t>
      </w:r>
      <w:r>
        <w:rPr>
          <w:b/>
          <w:bCs/>
        </w:rPr>
        <w:t xml:space="preserve">to</w:t>
      </w:r>
      <w:r>
        <w:rPr>
          <w:b/>
          <w:bCs/>
        </w:rPr>
        <w:t xml:space="preserve"> </w:t>
      </w:r>
      <w:r>
        <w:rPr>
          <w:b/>
          <w:bCs/>
        </w:rPr>
        <w:t xml:space="preserve">Comply</w:t>
      </w:r>
      <w:r>
        <w:rPr>
          <w:b/>
          <w:bCs/>
        </w:rPr>
        <w:t xml:space="preserve"> </w:t>
      </w:r>
      <w:r>
        <w:rPr>
          <w:b/>
          <w:bCs/>
        </w:rPr>
        <w:t xml:space="preserve">with</w:t>
      </w:r>
      <w:r>
        <w:rPr>
          <w:b/>
          <w:bCs/>
        </w:rPr>
        <w:t xml:space="preserve"> </w:t>
      </w:r>
      <w:r>
        <w:rPr>
          <w:b/>
          <w:bCs/>
        </w:rPr>
        <w:t xml:space="preserve">HAVA</w:t>
      </w:r>
    </w:p>
    <w:p>
      <w:pPr>
        <w:pStyle w:val="BodyTextNote"/>
      </w:pPr>
      <w:r>
        <w:t xml:space="preserve">It was in this federal context that the 2003 Nevada Legislature adopted NRS 293.2696.</w:t>
      </w:r>
      <w:r>
        <w:t xml:space="preserve"> </w:t>
      </w:r>
      <w:r>
        <w:t xml:space="preserve">There, the Nevada Legislature adopted HAVA’s requirement that voting systems comply with the error rate standards established by the Federal Election Commission, which standards later were set by the Election Assistance Commission.</w:t>
      </w:r>
      <w:r>
        <w:rPr>
          <w:rStyle w:val="FootnoteReference"/>
        </w:rPr>
        <w:footnoteReference w:id="31"/>
      </w:r>
      <w:r>
        <w:t xml:space="preserve"> </w:t>
      </w:r>
      <w:r>
        <w:t xml:space="preserve">The Legislature did not evidence any intention to prohibit hand counting of ballots by passing NRS 293.2696.</w:t>
      </w:r>
      <w:r>
        <w:t xml:space="preserve"> </w:t>
      </w:r>
      <w:r>
        <w:t xml:space="preserve">There is no discussion of NRS 293.2696</w:t>
      </w:r>
      <w:r>
        <w:t xml:space="preserve"> </w:t>
      </w:r>
      <w:r>
        <w:t xml:space="preserve">having such an impact. The Legislature did not amend other statutes, such as the discretionary language of NRS 293B.050</w:t>
      </w:r>
      <w:r>
        <w:t xml:space="preserve"> </w:t>
      </w:r>
      <w:r>
        <w:t xml:space="preserve">allowing for mechanical voting systems, to make them mandatory. This silence is consistent with HAVA’s protection of</w:t>
      </w:r>
      <w:r>
        <w:t xml:space="preserve"> </w:t>
      </w:r>
      <w:r>
        <w:t xml:space="preserve">“paper ballot voting systems.”</w:t>
      </w:r>
    </w:p>
    <w:p>
      <w:pPr>
        <w:pStyle w:val="BodyTextNote"/>
      </w:pPr>
      <w:r>
        <w:t xml:space="preserve">HAVA’s subsequent implementation further confirms that NRS 293.2696</w:t>
      </w:r>
      <w:r>
        <w:t xml:space="preserve"> </w:t>
      </w:r>
      <w:r>
        <w:t xml:space="preserve">does not apply to the hand counting of paper ballots. HAVA defines a voting system as</w:t>
      </w:r>
      <w:r>
        <w:t xml:space="preserve"> </w:t>
      </w:r>
      <w:r>
        <w:t xml:space="preserve">“the total combination of mechanical, electromechanical, or electronic equipment”</w:t>
      </w:r>
      <w:r>
        <w:t xml:space="preserve"> </w:t>
      </w:r>
      <w:r>
        <w:t xml:space="preserve">and</w:t>
      </w:r>
      <w:r>
        <w:t xml:space="preserve"> </w:t>
      </w:r>
      <w:r>
        <w:t xml:space="preserve">“the practices and associated documentation”</w:t>
      </w:r>
      <w:r>
        <w:t xml:space="preserve"> </w:t>
      </w:r>
      <w:r>
        <w:t xml:space="preserve">used for certain defined purposes.</w:t>
      </w:r>
      <w:r>
        <w:rPr>
          <w:rStyle w:val="FootnoteReference"/>
        </w:rPr>
        <w:footnoteReference w:id="32"/>
      </w:r>
      <w:r>
        <w:t xml:space="preserve"> </w:t>
      </w:r>
      <w:r>
        <w:t xml:space="preserve">Similarly, the Voting System Standards in effect at the time of HAVA and NRS 293.2696’s</w:t>
      </w:r>
      <w:r>
        <w:t xml:space="preserve"> </w:t>
      </w:r>
      <w:r>
        <w:t xml:space="preserve">enactment defines</w:t>
      </w:r>
      <w:r>
        <w:t xml:space="preserve"> </w:t>
      </w:r>
      <w:r>
        <w:t xml:space="preserve">“voting system”</w:t>
      </w:r>
      <w:r>
        <w:t xml:space="preserve"> </w:t>
      </w:r>
      <w:r>
        <w:t xml:space="preserve">as</w:t>
      </w:r>
      <w:r>
        <w:t xml:space="preserve"> </w:t>
      </w:r>
      <w:r>
        <w:t xml:space="preserve">“a combination of mechanical electromechanical, or electronic equipment. It includes the software required to program, control, and support the equipment that is used to define ballots; to cast and count votes; to report and/​or display election results; and to maintain and produce all audit trail information.”</w:t>
      </w:r>
      <w:r>
        <w:rPr>
          <w:rStyle w:val="FootnoteReference"/>
        </w:rPr>
        <w:footnoteReference w:id="33"/>
      </w:r>
      <w:r>
        <w:t xml:space="preserve"> </w:t>
      </w:r>
      <w:r>
        <w:t xml:space="preserve">The updated version of the standards defines</w:t>
      </w:r>
      <w:r>
        <w:t xml:space="preserve"> </w:t>
      </w:r>
      <w:r>
        <w:t xml:space="preserve">“voting system”</w:t>
      </w:r>
      <w:r>
        <w:t xml:space="preserve"> </w:t>
      </w:r>
      <w:r>
        <w:t xml:space="preserve">similarly.</w:t>
      </w:r>
      <w:r>
        <w:rPr>
          <w:rStyle w:val="FootnoteReference"/>
        </w:rPr>
        <w:footnoteReference w:id="34"/>
      </w:r>
      <w:r>
        <w:t xml:space="preserve"> </w:t>
      </w:r>
      <w:r>
        <w:t xml:space="preserve">Neither definition addresses paper ballot voting systems, consistent with HAVA’s specific exclusion.</w:t>
      </w:r>
    </w:p>
    <w:p>
      <w:pPr>
        <w:pStyle w:val="BodyText"/>
      </w:pPr>
      <w:r>
        <w:t xml:space="preserve">Given HAVA’s protection of paper ballot voting systems, it is understandable that the Election Assistance Commission has not provided an analysis of the accuracy of hand counting of paper ballots generally or under any specific paper ballot voting system. Instead, consistent with the purpose and structure of HAVA, the Election Assistance Commission examines the efficacy of election machinery and technology.</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PLAN’s appeal challenging the Regulation is moot because no county has triggered the application of the Regulation’s provisions for the November 2022 election by submitting a required plan and the Regulation will expire before the next elections in 2024.</w:t>
      </w:r>
    </w:p>
    <w:p>
      <w:pPr>
        <w:pStyle w:val="BodyText"/>
      </w:pPr>
      <w:r>
        <w:t xml:space="preserve">Further, even if this appeal were not moot, PLAN has not demonstrated that the District Court abused its discretion when denying preliminary injunctive relief. The District Court correctly determined that PLAN failed to meet its burden of establishing a likelihood of success on the merits, irreparable harm, or that the balance of equities and public interest favored an injunction against the Regulation.</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Note"/>
      </w:pPr>
      <w:r>
        <w:t xml:space="preserve">On appeal, the district court’s determination whether to grant a preliminary injunction</w:t>
      </w:r>
      <w:r>
        <w:t xml:space="preserve"> </w:t>
      </w:r>
      <w:r>
        <w:t xml:space="preserve">“will be reversed only where the district court abused its discretion or based its decision on an erroneous legal standard or on clearly erroneous findings of fact.”</w:t>
      </w:r>
      <w:r>
        <w:rPr>
          <w:rStyle w:val="FootnoteReference"/>
        </w:rPr>
        <w:footnoteReference w:id="35"/>
      </w:r>
      <w:r>
        <w:t xml:space="preserve"> </w:t>
      </w:r>
      <w:r>
        <w:t xml:space="preserve">Injunctive relief is extraordinary relief.</w:t>
      </w:r>
      <w:r>
        <w:rPr>
          <w:rStyle w:val="FootnoteReference"/>
        </w:rPr>
        <w:footnoteReference w:id="36"/>
      </w:r>
      <w:r>
        <w:t xml:space="preserve"> </w:t>
      </w:r>
      <w:r>
        <w:t xml:space="preserve">A “preliminary injunction is an “extraordinary remedy that may only be awarded upon clear showing that the Appellant is entitled to such relief.”</w:t>
      </w:r>
      <w:r>
        <w:rPr>
          <w:rStyle w:val="FootnoteReference"/>
        </w:rPr>
        <w:footnoteReference w:id="37"/>
      </w:r>
      <w:r>
        <w:t xml:space="preserve"> </w:t>
      </w:r>
      <w:r>
        <w:t xml:space="preserve">A</w:t>
      </w:r>
      <w:r>
        <w:t xml:space="preserve"> </w:t>
      </w:r>
      <w:r>
        <w:t xml:space="preserve">“preliminary injunction is available if an applicant can show a likelihood of success on the merits and a reasonable probability the non-moving party’s conduct, if allowed to continue, will cause irreparable harm.”</w:t>
      </w:r>
      <w:r>
        <w:rPr>
          <w:rStyle w:val="FootnoteReference"/>
        </w:rPr>
        <w:footnoteReference w:id="38"/>
      </w:r>
      <w:r>
        <w:t xml:space="preserve"> </w:t>
      </w:r>
      <w:r>
        <w:t xml:space="preserve">Even where a party makes those showings, a court may decline to order injunctive relief due to the potential hardship on each party and considerations of the public interest.</w:t>
      </w:r>
      <w:r>
        <w:rPr>
          <w:rStyle w:val="FootnoteReference"/>
        </w:rPr>
        <w:footnoteReference w:id="39"/>
      </w:r>
      <w:r>
        <w:t xml:space="preserve"> </w:t>
      </w:r>
      <w:r>
        <w:t xml:space="preserve">In cases like this one, where the party opposing injunctive relief is a government entity, the potential hardship and the public interest considerations are merged.</w:t>
      </w:r>
      <w:r>
        <w:rPr>
          <w:rStyle w:val="FootnoteReference"/>
        </w:rPr>
        <w:footnoteReference w:id="40"/>
      </w:r>
      <w:r>
        <w:t xml:space="preserve"> </w:t>
      </w:r>
      <w:r>
        <w:t xml:space="preserve">Mandatory</w:t>
      </w:r>
      <w:r>
        <w:t xml:space="preserve"> </w:t>
      </w:r>
      <w:r>
        <w:t xml:space="preserve">“injunctions are used to restore the status quo, to undo wrongful conditions.”</w:t>
      </w:r>
      <w:r>
        <w:rPr>
          <w:rStyle w:val="FootnoteReference"/>
        </w:rPr>
        <w:footnoteReference w:id="41"/>
      </w:r>
      <w:r>
        <w:t xml:space="preserve"> </w:t>
      </w:r>
      <w:r>
        <w:t xml:space="preserve">Nevada courts are cautioned to</w:t>
      </w:r>
      <w:r>
        <w:t xml:space="preserve"> </w:t>
      </w:r>
      <w:r>
        <w:t xml:space="preserve">“exercise restraint and caution in providing this type of equitable relief.”</w:t>
      </w:r>
      <w:r>
        <w:rPr>
          <w:rStyle w:val="FootnoteReference"/>
        </w:rPr>
        <w:footnoteReference w:id="42"/>
      </w:r>
    </w:p>
    <w:p>
      <w:pPr>
        <w:pStyle w:val="BodyText"/>
      </w:pPr>
      <w:r>
        <w:t xml:space="preserve">Here, PLAN cannot demonstrate that the district court abused its discretion, based its decision on an erroneous legal standard, or made clearly erroneous findings of fact. This appeal must be denied.</w:t>
      </w:r>
    </w:p>
    <w:p>
      <w:pPr>
        <w:pStyle w:val="BodyText"/>
      </w:pPr>
      <w:r>
        <w:t xml:space="preserve">///</w:t>
      </w:r>
    </w:p>
    <w:p>
      <w:pPr>
        <w:pStyle w:val="BodyText"/>
      </w:pPr>
      <w:r>
        <w:t xml:space="preserve">///</w:t>
      </w:r>
    </w:p>
    <w:p>
      <w:pPr>
        <w:pStyle w:val="BodyText"/>
      </w:pPr>
      <w:r>
        <w:t xml:space="preserve">///</w:t>
      </w:r>
    </w:p>
    <w:p>
      <w:pPr>
        <w:keepNext/>
        <w:keepLines/>
        <w:spacing w:before="336" w:after="224" w:line="322" w:lineRule="exact"/>
        <w:ind w:left="720" w:hanging="720"/>
        <w:jc w:val="left"/>
      </w:pPr>
      <w:r>
        <w:rPr>
          <w:b/>
          <w:bCs/>
        </w:rPr>
        <w:t xml:space="preserve">II.</w:t>
      </w:r>
      <w:r>
        <w:rPr>
          <w:b/>
          <w:bCs/>
        </w:rPr>
        <w:t xml:space="preserve"> </w:t>
      </w:r>
      <w:r>
        <w:rPr>
          <w:b/>
          <w:bCs/>
        </w:rPr>
        <w:t xml:space="preserve">This</w:t>
      </w:r>
      <w:r>
        <w:rPr>
          <w:b/>
          <w:bCs/>
        </w:rPr>
        <w:t xml:space="preserve"> </w:t>
      </w:r>
      <w:r>
        <w:rPr>
          <w:b/>
          <w:bCs/>
        </w:rPr>
        <w:t xml:space="preserve">Appeal</w:t>
      </w:r>
      <w:r>
        <w:rPr>
          <w:b/>
          <w:bCs/>
        </w:rPr>
        <w:t xml:space="preserve"> </w:t>
      </w:r>
      <w:r>
        <w:rPr>
          <w:b/>
          <w:bCs/>
        </w:rPr>
        <w:t xml:space="preserve">Is</w:t>
      </w:r>
      <w:r>
        <w:rPr>
          <w:b/>
          <w:bCs/>
        </w:rPr>
        <w:t xml:space="preserve"> </w:t>
      </w:r>
      <w:r>
        <w:rPr>
          <w:b/>
          <w:bCs/>
        </w:rPr>
        <w:t xml:space="preserve">Moot</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Temporary</w:t>
      </w:r>
      <w:r>
        <w:rPr>
          <w:b/>
          <w:bCs/>
        </w:rPr>
        <w:t xml:space="preserve"> </w:t>
      </w:r>
      <w:r>
        <w:rPr>
          <w:b/>
          <w:bCs/>
        </w:rPr>
        <w:t xml:space="preserve">Regulation</w:t>
      </w:r>
      <w:r>
        <w:rPr>
          <w:b/>
          <w:bCs/>
        </w:rPr>
        <w:t xml:space="preserve"> </w:t>
      </w:r>
      <w:r>
        <w:rPr>
          <w:b/>
          <w:bCs/>
        </w:rPr>
        <w:t xml:space="preserve">Will</w:t>
      </w:r>
      <w:r>
        <w:rPr>
          <w:b/>
          <w:bCs/>
        </w:rPr>
        <w:t xml:space="preserve"> </w:t>
      </w:r>
      <w:r>
        <w:rPr>
          <w:b/>
          <w:bCs/>
        </w:rPr>
        <w:t xml:space="preserve">Expire</w:t>
      </w:r>
      <w:r>
        <w:rPr>
          <w:b/>
          <w:bCs/>
        </w:rPr>
        <w:t xml:space="preserve"> </w:t>
      </w:r>
      <w:r>
        <w:rPr>
          <w:b/>
          <w:bCs/>
        </w:rPr>
        <w:t xml:space="preserve">Before</w:t>
      </w:r>
      <w:r>
        <w:rPr>
          <w:b/>
          <w:bCs/>
        </w:rPr>
        <w:t xml:space="preserve"> </w:t>
      </w:r>
      <w:r>
        <w:rPr>
          <w:b/>
          <w:bCs/>
        </w:rPr>
        <w:t xml:space="preserve">it</w:t>
      </w:r>
      <w:r>
        <w:rPr>
          <w:b/>
          <w:bCs/>
        </w:rPr>
        <w:t xml:space="preserve"> </w:t>
      </w:r>
      <w:r>
        <w:rPr>
          <w:b/>
          <w:bCs/>
        </w:rPr>
        <w:t xml:space="preserve">Applies</w:t>
      </w:r>
      <w:r>
        <w:rPr>
          <w:b/>
          <w:bCs/>
        </w:rPr>
        <w:t xml:space="preserve"> </w:t>
      </w:r>
      <w:r>
        <w:rPr>
          <w:b/>
          <w:bCs/>
        </w:rPr>
        <w:t xml:space="preserve">to</w:t>
      </w:r>
      <w:r>
        <w:rPr>
          <w:b/>
          <w:bCs/>
        </w:rPr>
        <w:t xml:space="preserve"> </w:t>
      </w:r>
      <w:r>
        <w:rPr>
          <w:b/>
          <w:bCs/>
        </w:rPr>
        <w:t xml:space="preserve">any</w:t>
      </w:r>
      <w:r>
        <w:rPr>
          <w:b/>
          <w:bCs/>
        </w:rPr>
        <w:t xml:space="preserve"> </w:t>
      </w:r>
      <w:r>
        <w:rPr>
          <w:b/>
          <w:bCs/>
        </w:rPr>
        <w:t xml:space="preserve">County</w:t>
      </w:r>
    </w:p>
    <w:p>
      <w:pPr>
        <w:pStyle w:val="BodyTextNote"/>
      </w:pPr>
      <w:r>
        <w:t xml:space="preserve">Because the Regulation is temporary, it will expire on November 1, 2023.</w:t>
      </w:r>
      <w:r>
        <w:rPr>
          <w:rStyle w:val="FootnoteReference"/>
        </w:rPr>
        <w:footnoteReference w:id="43"/>
      </w:r>
      <w:r>
        <w:t xml:space="preserve"> </w:t>
      </w:r>
      <w:r>
        <w:t xml:space="preserve">The only election it therefore could potentially apply to is the upcoming November 8, 2022 general election.</w:t>
      </w:r>
      <w:r>
        <w:rPr>
          <w:rStyle w:val="FootnoteReference"/>
        </w:rPr>
        <w:footnoteReference w:id="44"/>
      </w:r>
      <w:r>
        <w:t xml:space="preserve"> </w:t>
      </w:r>
      <w:r>
        <w:t xml:space="preserve">The Regulation requires that any county that will use hand counting as the primary method of counting votes submit a plan for conducting the hand count no later than 30 days before the election.</w:t>
      </w:r>
      <w:r>
        <w:rPr>
          <w:rStyle w:val="FootnoteReference"/>
        </w:rPr>
        <w:footnoteReference w:id="45"/>
      </w:r>
      <w:r>
        <w:t xml:space="preserve"> </w:t>
      </w:r>
      <w:r>
        <w:t xml:space="preserve">The deadline for the November 2022 election was October 9, 2022. No county submitted such a plan. Consequently, the Regulation will never apply to how a Nevada county tabulates its votes.</w:t>
      </w:r>
    </w:p>
    <w:p>
      <w:pPr>
        <w:pStyle w:val="BodyTextNote"/>
      </w:pPr>
      <w:r>
        <w:t xml:space="preserve">Contrary to fact, PLAN argues that even if no county submits a hand count plan,</w:t>
      </w:r>
      <w:r>
        <w:t xml:space="preserve"> </w:t>
      </w:r>
      <w:r>
        <w:t xml:space="preserve">“the temporary regulation remains significant because it allows [counties] to engage in hand counts alongside machine tabulation.”</w:t>
      </w:r>
      <w:r>
        <w:rPr>
          <w:rStyle w:val="FootnoteReference"/>
        </w:rPr>
        <w:footnoteReference w:id="46"/>
      </w:r>
      <w:r>
        <w:t xml:space="preserve"> </w:t>
      </w:r>
      <w:r>
        <w:t xml:space="preserve">The Regulation does no such thing. Nor is PLAN able to cite anything to support this conclusory—and incorrect—assertion.</w:t>
      </w:r>
    </w:p>
    <w:p>
      <w:pPr>
        <w:pStyle w:val="BodyTextNote"/>
      </w:pPr>
      <w:r>
        <w:t xml:space="preserve">This Court reviews de novo whether a party has standing.</w:t>
      </w:r>
      <w:r>
        <w:rPr>
          <w:rStyle w:val="FootnoteReference"/>
        </w:rPr>
        <w:footnoteReference w:id="47"/>
      </w:r>
      <w:r>
        <w:t xml:space="preserve"> </w:t>
      </w:r>
      <w:r>
        <w:t xml:space="preserve">The Court’s duty is</w:t>
      </w:r>
      <w:r>
        <w:t xml:space="preserve"> </w:t>
      </w:r>
      <w:r>
        <w:t xml:space="preserve">“to resolve actual controversies by an enforceable judgment.”</w:t>
      </w:r>
      <w:r>
        <w:rPr>
          <w:rStyle w:val="FootnoteReference"/>
        </w:rPr>
        <w:footnoteReference w:id="48"/>
      </w:r>
      <w:r>
        <w:t xml:space="preserve"> </w:t>
      </w:r>
      <w:r>
        <w:t xml:space="preserve">If a controversy does not exist, the case is moot and should be dismissed.</w:t>
      </w:r>
      <w:r>
        <w:rPr>
          <w:rStyle w:val="FootnoteReference"/>
        </w:rPr>
        <w:footnoteReference w:id="49"/>
      </w:r>
      <w:r>
        <w:t xml:space="preserve"> </w:t>
      </w:r>
      <w:r>
        <w:t xml:space="preserve">“Cases presenting real controversies at the time of their institution may become moot by the happening of subsequent events.”</w:t>
      </w:r>
      <w:r>
        <w:rPr>
          <w:rStyle w:val="FootnoteReference"/>
        </w:rPr>
        <w:footnoteReference w:id="50"/>
      </w:r>
      <w:r>
        <w:t xml:space="preserve"> </w:t>
      </w:r>
      <w:r>
        <w:t xml:space="preserve">That is what has happened here; the passing of the October 9, 2022 deadline with counties choosing not to submit hand count plans has rendered this case permanently moot. The Court should dismiss this appeal as moot.</w:t>
      </w:r>
      <w:r>
        <w:rPr>
          <w:rStyle w:val="FootnoteReference"/>
        </w:rPr>
        <w:footnoteReference w:id="51"/>
      </w:r>
    </w:p>
    <w:p>
      <w:pPr>
        <w:keepNext/>
        <w:keepLines/>
        <w:spacing w:before="336" w:after="224" w:line="322"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Determined</w:t>
      </w:r>
      <w:r>
        <w:rPr>
          <w:b/>
          <w:bCs/>
        </w:rPr>
        <w:t xml:space="preserve"> </w:t>
      </w:r>
      <w:r>
        <w:rPr>
          <w:b/>
          <w:bCs/>
        </w:rPr>
        <w:t xml:space="preserve">that</w:t>
      </w:r>
      <w:r>
        <w:rPr>
          <w:b/>
          <w:bCs/>
        </w:rPr>
        <w:t xml:space="preserve"> </w:t>
      </w:r>
      <w:r>
        <w:rPr>
          <w:b/>
          <w:bCs/>
        </w:rPr>
        <w:t xml:space="preserve">PLAN</w:t>
      </w:r>
      <w:r>
        <w:rPr>
          <w:b/>
          <w:bCs/>
        </w:rPr>
        <w:t xml:space="preserve"> </w:t>
      </w:r>
      <w:r>
        <w:rPr>
          <w:b/>
          <w:bCs/>
        </w:rPr>
        <w:t xml:space="preserve">Was</w:t>
      </w:r>
      <w:r>
        <w:rPr>
          <w:b/>
          <w:bCs/>
        </w:rPr>
        <w:t xml:space="preserve"> </w:t>
      </w:r>
      <w:r>
        <w:rPr>
          <w:b/>
          <w:bCs/>
        </w:rPr>
        <w:t xml:space="preserve">Unlikely</w:t>
      </w:r>
      <w:r>
        <w:rPr>
          <w:b/>
          <w:bCs/>
        </w:rPr>
        <w:t xml:space="preserve"> </w:t>
      </w:r>
      <w:r>
        <w:rPr>
          <w:b/>
          <w:bCs/>
        </w:rPr>
        <w:t xml:space="preserve">to</w:t>
      </w:r>
      <w:r>
        <w:rPr>
          <w:b/>
          <w:bCs/>
        </w:rPr>
        <w:t xml:space="preserve"> </w:t>
      </w:r>
      <w:r>
        <w:rPr>
          <w:b/>
          <w:bCs/>
        </w:rPr>
        <w:t xml:space="preserve">Succeed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Case</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Nevada</w:t>
      </w:r>
      <w:r>
        <w:rPr>
          <w:b/>
          <w:bCs/>
          <w:i/>
          <w:iCs/>
        </w:rPr>
        <w:t xml:space="preserve"> </w:t>
      </w:r>
      <w:r>
        <w:rPr>
          <w:b/>
          <w:bCs/>
          <w:i/>
          <w:iCs/>
        </w:rPr>
        <w:t xml:space="preserve">Law</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Prohibit</w:t>
      </w:r>
      <w:r>
        <w:rPr>
          <w:b/>
          <w:bCs/>
          <w:i/>
          <w:iCs/>
        </w:rPr>
        <w:t xml:space="preserve"> </w:t>
      </w:r>
      <w:r>
        <w:rPr>
          <w:b/>
          <w:bCs/>
          <w:i/>
          <w:iCs/>
        </w:rPr>
        <w:t xml:space="preserve">the</w:t>
      </w:r>
      <w:r>
        <w:rPr>
          <w:b/>
          <w:bCs/>
          <w:i/>
          <w:iCs/>
        </w:rPr>
        <w:t xml:space="preserve"> </w:t>
      </w:r>
      <w:r>
        <w:rPr>
          <w:b/>
          <w:bCs/>
          <w:i/>
          <w:iCs/>
        </w:rPr>
        <w:t xml:space="preserve">Hand</w:t>
      </w:r>
      <w:r>
        <w:rPr>
          <w:b/>
          <w:bCs/>
          <w:i/>
          <w:iCs/>
        </w:rPr>
        <w:t xml:space="preserve"> </w:t>
      </w:r>
      <w:r>
        <w:rPr>
          <w:b/>
          <w:bCs/>
          <w:i/>
          <w:iCs/>
        </w:rPr>
        <w:t xml:space="preserve">Counting</w:t>
      </w:r>
      <w:r>
        <w:rPr>
          <w:b/>
          <w:bCs/>
          <w:i/>
          <w:iCs/>
        </w:rPr>
        <w:t xml:space="preserve"> </w:t>
      </w:r>
      <w:r>
        <w:rPr>
          <w:b/>
          <w:bCs/>
          <w:i/>
          <w:iCs/>
        </w:rPr>
        <w:t xml:space="preserve">of</w:t>
      </w:r>
      <w:r>
        <w:rPr>
          <w:b/>
          <w:bCs/>
          <w:i/>
          <w:iCs/>
        </w:rPr>
        <w:t xml:space="preserve"> </w:t>
      </w:r>
      <w:r>
        <w:rPr>
          <w:b/>
          <w:bCs/>
          <w:i/>
          <w:iCs/>
        </w:rPr>
        <w:t xml:space="preserve">Ballots</w:t>
      </w:r>
    </w:p>
    <w:p>
      <w:pPr>
        <w:pStyle w:val="BodyTextNote"/>
      </w:pPr>
      <w:r>
        <w:t xml:space="preserve">PLAN argues that the Regulation violates law because it authorizes hand counting where it is otherwise prohibited.</w:t>
      </w:r>
      <w:r>
        <w:rPr>
          <w:rStyle w:val="FootnoteReference"/>
        </w:rPr>
        <w:footnoteReference w:id="52"/>
      </w:r>
      <w:r>
        <w:t xml:space="preserve"> </w:t>
      </w:r>
      <w:r>
        <w:t xml:space="preserve">However, nothing in Nevada law prohibits hand counting. Since 1985, the Legislature has provided that</w:t>
      </w:r>
      <w:r>
        <w:t xml:space="preserve"> </w:t>
      </w:r>
      <w:r>
        <w:t xml:space="preserve">“ballots or votes may be cast, registered, recorded, and counted by means of a mechanical voting system.”</w:t>
      </w:r>
      <w:r>
        <w:rPr>
          <w:rStyle w:val="FootnoteReference"/>
        </w:rPr>
        <w:footnoteReference w:id="53"/>
      </w:r>
      <w:r>
        <w:t xml:space="preserve"> </w:t>
      </w:r>
      <w:r>
        <w:t xml:space="preserve">Authorization for non-mechanical voting systems predates 1985 and the Legislature has not amended Nevada statute to state that</w:t>
      </w:r>
      <w:r>
        <w:t xml:space="preserve"> </w:t>
      </w:r>
      <w:r>
        <w:t xml:space="preserve">“ballots or votes must be cast, registered, recorded, and counted by means of a mechanical voting system.”</w:t>
      </w:r>
    </w:p>
    <w:p>
      <w:pPr>
        <w:pStyle w:val="BodyTextNote"/>
      </w:pPr>
      <w:r>
        <w:t xml:space="preserve">PLAN contends that the 2003 Legislature repealed the hand counting of ballots implicitly by passing NRS 293.2696(5).</w:t>
      </w:r>
      <w:r>
        <w:rPr>
          <w:rStyle w:val="FootnoteReference"/>
        </w:rPr>
        <w:footnoteReference w:id="54"/>
      </w:r>
      <w:r>
        <w:t xml:space="preserve"> </w:t>
      </w:r>
      <w:r>
        <w:t xml:space="preserve">PLAN does so by arguing that all voting systems must</w:t>
      </w:r>
      <w:r>
        <w:t xml:space="preserve"> </w:t>
      </w:r>
      <w:r>
        <w:t xml:space="preserve">“[m]eet[] or exceed[] the standards for voting systems established by the United States Election Assistance Commission, including, without limitation, the error rate standards.”</w:t>
      </w:r>
    </w:p>
    <w:p>
      <w:pPr>
        <w:pStyle w:val="BodyTextNote"/>
      </w:pPr>
      <w:r>
        <w:t xml:space="preserve">However, NRS 293.2696</w:t>
      </w:r>
      <w:r>
        <w:t xml:space="preserve"> </w:t>
      </w:r>
      <w:r>
        <w:t xml:space="preserve">was not adopted by the 2003 Legislature in a vacuum; it was passed to comply with HAVA, which explicitly excluded</w:t>
      </w:r>
      <w:r>
        <w:t xml:space="preserve"> </w:t>
      </w:r>
      <w:r>
        <w:t xml:space="preserve">“paper ballot voting systems”</w:t>
      </w:r>
      <w:r>
        <w:t xml:space="preserve"> </w:t>
      </w:r>
      <w:r>
        <w:t xml:space="preserve">from its terms. As such, NRS 293.2696</w:t>
      </w:r>
      <w:r>
        <w:t xml:space="preserve"> </w:t>
      </w:r>
      <w:r>
        <w:t xml:space="preserve">must be interpreted within the context of HAVA.</w:t>
      </w:r>
      <w:r>
        <w:rPr>
          <w:rStyle w:val="FootnoteReference"/>
        </w:rPr>
        <w:footnoteReference w:id="55"/>
      </w:r>
      <w:r>
        <w:t xml:space="preserve"> </w:t>
      </w:r>
      <w:r>
        <w:t xml:space="preserve">There, HAVA defines a voting system as</w:t>
      </w:r>
      <w:r>
        <w:t xml:space="preserve"> </w:t>
      </w:r>
      <w:r>
        <w:t xml:space="preserve">“the total combination of mechanical, electromechanical, or electronic equipment”</w:t>
      </w:r>
      <w:r>
        <w:t xml:space="preserve"> </w:t>
      </w:r>
      <w:r>
        <w:t xml:space="preserve">and</w:t>
      </w:r>
      <w:r>
        <w:t xml:space="preserve"> </w:t>
      </w:r>
      <w:r>
        <w:t xml:space="preserve">“the practices and associated documentation”</w:t>
      </w:r>
      <w:r>
        <w:t xml:space="preserve"> </w:t>
      </w:r>
      <w:r>
        <w:t xml:space="preserve">used for certain defined purposes.</w:t>
      </w:r>
      <w:r>
        <w:rPr>
          <w:rStyle w:val="FootnoteReference"/>
        </w:rPr>
        <w:footnoteReference w:id="56"/>
      </w:r>
      <w:r>
        <w:t xml:space="preserve"> </w:t>
      </w:r>
      <w:r>
        <w:t xml:space="preserve">Federal standards similarly define voting systems standards applying only to voting systems that are mechanical, electromechanical, or electronic.</w:t>
      </w:r>
      <w:r>
        <w:rPr>
          <w:rStyle w:val="FootnoteReference"/>
        </w:rPr>
        <w:footnoteReference w:id="57"/>
      </w:r>
      <w:r>
        <w:t xml:space="preserve"> </w:t>
      </w:r>
      <w:r>
        <w:t xml:space="preserve">Federal regulators have not established error rates or standards for paper ballot election systems, consistent with the HAVA protection of those paper ballot election systems from HAVA’s reach.</w:t>
      </w:r>
    </w:p>
    <w:p>
      <w:pPr>
        <w:pStyle w:val="BodyTextNote"/>
      </w:pPr>
      <w:r>
        <w:t xml:space="preserve">PLAN argues that NRS 293.2696’s</w:t>
      </w:r>
      <w:r>
        <w:t xml:space="preserve"> </w:t>
      </w:r>
      <w:r>
        <w:t xml:space="preserve">reference to voting systems should not be read consistently with HAVA’s definition of voting systems because otherwise it would create a redundancy with NRS 293B.063.</w:t>
      </w:r>
      <w:r>
        <w:rPr>
          <w:rStyle w:val="FootnoteReference"/>
        </w:rPr>
        <w:footnoteReference w:id="58"/>
      </w:r>
      <w:r>
        <w:t xml:space="preserve"> </w:t>
      </w:r>
      <w:r>
        <w:t xml:space="preserve">Even if NRS 293.2696’s</w:t>
      </w:r>
      <w:r>
        <w:t xml:space="preserve"> </w:t>
      </w:r>
      <w:r>
        <w:t xml:space="preserve">reference to voting systems were read to include mechanical voting systems and hand counting as PLAN claims, NRS 293B.063</w:t>
      </w:r>
      <w:r>
        <w:t xml:space="preserve"> </w:t>
      </w:r>
      <w:r>
        <w:t xml:space="preserve">would still be redundant. PLAN’s redundancy argument therefore adds nothing.</w:t>
      </w:r>
    </w:p>
    <w:p>
      <w:pPr>
        <w:pStyle w:val="BodyTextNote"/>
      </w:pPr>
      <w:r>
        <w:t xml:space="preserve">PLAN also argues that hand counting qualifies as a</w:t>
      </w:r>
      <w:r>
        <w:t xml:space="preserve"> </w:t>
      </w:r>
      <w:r>
        <w:t xml:space="preserve">“voting system”</w:t>
      </w:r>
      <w:r>
        <w:t xml:space="preserve"> </w:t>
      </w:r>
      <w:r>
        <w:t xml:space="preserve">under HAVA.</w:t>
      </w:r>
      <w:r>
        <w:rPr>
          <w:rStyle w:val="FootnoteReference"/>
        </w:rPr>
        <w:footnoteReference w:id="59"/>
      </w:r>
      <w:r>
        <w:t xml:space="preserve"> </w:t>
      </w:r>
      <w:r>
        <w:t xml:space="preserve">But HAVA’s definition of a voting system requires</w:t>
      </w:r>
      <w:r>
        <w:t xml:space="preserve"> </w:t>
      </w:r>
      <w:r>
        <w:t xml:space="preserve">“mechanical, electromechanical, or electronic equipment.”</w:t>
      </w:r>
      <w:r>
        <w:rPr>
          <w:rStyle w:val="FootnoteReference"/>
        </w:rPr>
        <w:footnoteReference w:id="60"/>
      </w:r>
      <w:r>
        <w:t xml:space="preserve"> </w:t>
      </w:r>
      <w:r>
        <w:t xml:space="preserve">No such equipment need be used for hand counting ballots, and PLAN’s argument therefore fails.</w:t>
      </w:r>
    </w:p>
    <w:p>
      <w:pPr>
        <w:pStyle w:val="BodyTextNote"/>
      </w:pPr>
      <w:r>
        <w:t xml:space="preserve">Finally, PLAN claims that HAVA’s underlying purpose establishes that hand counting is not permitted. The purpose of HAVA was (1)</w:t>
      </w:r>
      <w:r>
        <w:t xml:space="preserve"> </w:t>
      </w:r>
      <w:r>
        <w:t xml:space="preserve">“[t]o establish a program to provide funds to States to replace punch card voting systems,”</w:t>
      </w:r>
      <w:r>
        <w:t xml:space="preserve"> </w:t>
      </w:r>
      <w:r>
        <w:t xml:space="preserve">(2)</w:t>
      </w:r>
      <w:r>
        <w:t xml:space="preserve"> </w:t>
      </w:r>
      <w:r>
        <w:t xml:space="preserve">“to establish the Election Assistance Commission,”</w:t>
      </w:r>
      <w:r>
        <w:t xml:space="preserve"> </w:t>
      </w:r>
      <w:r>
        <w:t xml:space="preserve">and (3)</w:t>
      </w:r>
      <w:r>
        <w:t xml:space="preserve"> </w:t>
      </w:r>
      <w:r>
        <w:t xml:space="preserve">“to establish minimum election administration standards.”</w:t>
      </w:r>
      <w:r>
        <w:rPr>
          <w:rStyle w:val="FootnoteReference"/>
        </w:rPr>
        <w:footnoteReference w:id="61"/>
      </w:r>
      <w:r>
        <w:t xml:space="preserve"> </w:t>
      </w:r>
      <w:r>
        <w:t xml:space="preserve">The purpose does not include precluding the use of hand counting. If it had, Congress could have stated so explicitly, including by defining voting systems to include methods of casting or tabulating votes other than through mechanical, electromechanical, or electronic equipment.</w:t>
      </w:r>
    </w:p>
    <w:p>
      <w:pPr>
        <w:pStyle w:val="BodyText"/>
      </w:pPr>
      <w:r>
        <w:t xml:space="preserve">The 2003 Legislature neither discussed eliminating hand counting of paper ballots when considering NRS 293.2696</w:t>
      </w:r>
      <w:r>
        <w:t xml:space="preserve"> </w:t>
      </w:r>
      <w:r>
        <w:t xml:space="preserve">nor amended NRS 293B.050</w:t>
      </w:r>
      <w:r>
        <w:t xml:space="preserve"> </w:t>
      </w:r>
      <w:r>
        <w:t xml:space="preserve">to require the use of mechanical voting systems. Because there is no prohibition on hand counting of ballots under Nevada law, the district court correctly found that PLAN is unlikely to succeed on the merits that the Secretary exceeded her authority by adopting the Regulation.</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Regulation</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Create</w:t>
      </w:r>
      <w:r>
        <w:rPr>
          <w:b/>
          <w:bCs/>
          <w:i/>
          <w:iCs/>
        </w:rPr>
        <w:t xml:space="preserve"> </w:t>
      </w:r>
      <w:r>
        <w:rPr>
          <w:b/>
          <w:bCs/>
          <w:i/>
          <w:iCs/>
        </w:rPr>
        <w:t xml:space="preserve">a</w:t>
      </w:r>
      <w:r>
        <w:rPr>
          <w:b/>
          <w:bCs/>
          <w:i/>
          <w:iCs/>
        </w:rPr>
        <w:t xml:space="preserve"> </w:t>
      </w:r>
      <w:r>
        <w:rPr>
          <w:b/>
          <w:bCs/>
          <w:i/>
          <w:iCs/>
        </w:rPr>
        <w:t xml:space="preserve">Non-Uniform</w:t>
      </w:r>
      <w:r>
        <w:rPr>
          <w:b/>
          <w:bCs/>
          <w:i/>
          <w:iCs/>
        </w:rPr>
        <w:t xml:space="preserve"> </w:t>
      </w:r>
      <w:r>
        <w:rPr>
          <w:b/>
          <w:bCs/>
          <w:i/>
          <w:iCs/>
        </w:rPr>
        <w:t xml:space="preserve">Standard</w:t>
      </w:r>
      <w:r>
        <w:rPr>
          <w:b/>
          <w:bCs/>
          <w:i/>
          <w:iCs/>
        </w:rPr>
        <w:t xml:space="preserve"> </w:t>
      </w:r>
      <w:r>
        <w:rPr>
          <w:b/>
          <w:bCs/>
          <w:i/>
          <w:iCs/>
        </w:rPr>
        <w:t xml:space="preserve">for</w:t>
      </w:r>
      <w:r>
        <w:rPr>
          <w:b/>
          <w:bCs/>
          <w:i/>
          <w:iCs/>
        </w:rPr>
        <w:t xml:space="preserve"> </w:t>
      </w:r>
      <w:r>
        <w:rPr>
          <w:b/>
          <w:bCs/>
          <w:i/>
          <w:iCs/>
        </w:rPr>
        <w:t xml:space="preserve">What</w:t>
      </w:r>
      <w:r>
        <w:rPr>
          <w:b/>
          <w:bCs/>
          <w:i/>
          <w:iCs/>
        </w:rPr>
        <w:t xml:space="preserve"> </w:t>
      </w:r>
      <w:r>
        <w:rPr>
          <w:b/>
          <w:bCs/>
          <w:i/>
          <w:iCs/>
        </w:rPr>
        <w:t xml:space="preserve">Qualifies</w:t>
      </w:r>
      <w:r>
        <w:rPr>
          <w:b/>
          <w:bCs/>
          <w:i/>
          <w:iCs/>
        </w:rPr>
        <w:t xml:space="preserve"> </w:t>
      </w:r>
      <w:r>
        <w:rPr>
          <w:b/>
          <w:bCs/>
          <w:i/>
          <w:iCs/>
        </w:rPr>
        <w:t xml:space="preserve">as</w:t>
      </w:r>
      <w:r>
        <w:rPr>
          <w:b/>
          <w:bCs/>
          <w:i/>
          <w:iCs/>
        </w:rPr>
        <w:t xml:space="preserve"> </w:t>
      </w:r>
      <w:r>
        <w:rPr>
          <w:b/>
          <w:bCs/>
          <w:i/>
          <w:iCs/>
        </w:rPr>
        <w:t xml:space="preserve">a</w:t>
      </w:r>
      <w:r>
        <w:rPr>
          <w:b/>
          <w:bCs/>
          <w:i/>
          <w:iCs/>
        </w:rPr>
        <w:t xml:space="preserve"> </w:t>
      </w:r>
      <w:r>
        <w:rPr>
          <w:b/>
          <w:bCs/>
          <w:i/>
          <w:iCs/>
        </w:rPr>
        <w:t xml:space="preserve">Vote</w:t>
      </w:r>
    </w:p>
    <w:p>
      <w:pPr>
        <w:pStyle w:val="BodyTextNote"/>
      </w:pPr>
      <w:r>
        <w:t xml:space="preserve">PLAN contends that the right to a uniform, statewide standard for counting votes</w:t>
      </w:r>
      <w:r>
        <w:rPr>
          <w:rStyle w:val="FootnoteReference"/>
        </w:rPr>
        <w:footnoteReference w:id="62"/>
      </w:r>
      <w:r>
        <w:t xml:space="preserve"> </w:t>
      </w:r>
      <w:r>
        <w:t xml:space="preserve">precludes the use of hand counting.</w:t>
      </w:r>
      <w:r>
        <w:rPr>
          <w:rStyle w:val="FootnoteReference"/>
        </w:rPr>
        <w:footnoteReference w:id="63"/>
      </w:r>
      <w:r>
        <w:t xml:space="preserve"> </w:t>
      </w:r>
      <w:r>
        <w:t xml:space="preserve">The District Court correctly determined, however, that the right applies to the determination of what qualifies as a vote and does not establish a requirement that all counties use the same method of counting votes.</w:t>
      </w:r>
      <w:r>
        <w:rPr>
          <w:rStyle w:val="FootnoteReference"/>
        </w:rPr>
        <w:footnoteReference w:id="64"/>
      </w:r>
      <w:r>
        <w:t xml:space="preserve"> </w:t>
      </w:r>
      <w:r>
        <w:t xml:space="preserve">Both the</w:t>
      </w:r>
      <w:r>
        <w:t xml:space="preserve"> </w:t>
      </w:r>
      <w:r>
        <w:rPr>
          <w:i/>
          <w:iCs/>
        </w:rPr>
        <w:t xml:space="preserve">Bush v. Gore</w:t>
      </w:r>
      <w:r>
        <w:t xml:space="preserve"> </w:t>
      </w:r>
      <w:r>
        <w:t xml:space="preserve">decision and HAVA’s language reflect that the right to a uniform, statewide standard for counting votes concerns determining voter intent.</w:t>
      </w:r>
    </w:p>
    <w:p>
      <w:pPr>
        <w:pStyle w:val="BodyTextNote"/>
      </w:pPr>
      <w:r>
        <w:t xml:space="preserve">In</w:t>
      </w:r>
      <w:r>
        <w:t xml:space="preserve"> </w:t>
      </w:r>
      <w:r>
        <w:rPr>
          <w:i/>
          <w:iCs/>
        </w:rPr>
        <w:t xml:space="preserve">Bush v. Gore</w:t>
      </w:r>
      <w:r>
        <w:t xml:space="preserve">, the Supreme Court focused on the lack of uniformity across Florida counties for determining voter intent and whether to count a vote.</w:t>
      </w:r>
      <w:r>
        <w:rPr>
          <w:rStyle w:val="FootnoteReference"/>
        </w:rPr>
        <w:footnoteReference w:id="65"/>
      </w:r>
      <w:r>
        <w:t xml:space="preserve"> </w:t>
      </w:r>
      <w:r>
        <w:t xml:space="preserve">The lack of uniform rules meant that there was an unequal evaluation of ballots because different standards could be used to determine how to interpret marks, holes, or scratches on cardboard or paper.</w:t>
      </w:r>
      <w:r>
        <w:rPr>
          <w:rStyle w:val="FootnoteReference"/>
        </w:rPr>
        <w:footnoteReference w:id="66"/>
      </w:r>
      <w:r>
        <w:t xml:space="preserve"> </w:t>
      </w:r>
      <w:r>
        <w:t xml:space="preserve">However, the Supreme Court was not addressing whether</w:t>
      </w:r>
      <w:r>
        <w:t xml:space="preserve"> </w:t>
      </w:r>
      <w:r>
        <w:t xml:space="preserve">“local entities, in the exercise of their expertise, may develop different systems for implementing elections.”</w:t>
      </w:r>
      <w:r>
        <w:rPr>
          <w:rStyle w:val="FootnoteReference"/>
        </w:rPr>
        <w:footnoteReference w:id="67"/>
      </w:r>
      <w:r>
        <w:t xml:space="preserve"> </w:t>
      </w:r>
      <w:r>
        <w:t xml:space="preserve">Consistent with this focus, HAVA requires states to</w:t>
      </w:r>
      <w:r>
        <w:t xml:space="preserve"> </w:t>
      </w:r>
      <w:r>
        <w:t xml:space="preserve">“adopt uniform and nondiscriminatory standards that define what constitutes a vote and what will be counted as a vote.”</w:t>
      </w:r>
      <w:r>
        <w:rPr>
          <w:rStyle w:val="FootnoteReference"/>
        </w:rPr>
        <w:footnoteReference w:id="68"/>
      </w:r>
      <w:r>
        <w:t xml:space="preserve"> </w:t>
      </w:r>
      <w:r>
        <w:t xml:space="preserve">This provision</w:t>
      </w:r>
      <w:r>
        <w:t xml:space="preserve"> </w:t>
      </w:r>
      <w:r>
        <w:t xml:space="preserve">“requires some basic level of consistency in the way election officials interpret whether a particular type of ballot marking is a valid expression of voter intent.”</w:t>
      </w:r>
      <w:r>
        <w:rPr>
          <w:rStyle w:val="FootnoteReference"/>
        </w:rPr>
        <w:footnoteReference w:id="69"/>
      </w:r>
    </w:p>
    <w:p>
      <w:pPr>
        <w:pStyle w:val="BodyTextNote"/>
      </w:pPr>
      <w:r>
        <w:t xml:space="preserve">Nevada’s right to a uniform, statewide standard for counting votes similarly does not require uniformity of vote counting method. Questions of how to determine whether a vote must be counted are addressed by statute and regulation, such as specifying that</w:t>
      </w:r>
      <w:r>
        <w:t xml:space="preserve"> </w:t>
      </w:r>
      <w:r>
        <w:t xml:space="preserve">“[a] vote must be counted if the designated space is darkened or there is a writing in the designated space, including, without limitation, a cross or check.”</w:t>
      </w:r>
      <w:r>
        <w:rPr>
          <w:rStyle w:val="FootnoteReference"/>
        </w:rPr>
        <w:footnoteReference w:id="70"/>
      </w:r>
    </w:p>
    <w:p>
      <w:pPr>
        <w:pStyle w:val="BodyTextNote"/>
      </w:pPr>
      <w:r>
        <w:t xml:space="preserve">PLAN argues that the fact that statute and regulation specify how to determine what qualifies as a vote means that the right to a uniform, statewide standard for counting the vote is impermissibly rendered surplus.</w:t>
      </w:r>
      <w:r>
        <w:rPr>
          <w:rStyle w:val="FootnoteReference"/>
        </w:rPr>
        <w:footnoteReference w:id="71"/>
      </w:r>
      <w:r>
        <w:t xml:space="preserve"> </w:t>
      </w:r>
      <w:r>
        <w:t xml:space="preserve">The Nevada Constitution and NRS 293.2546(10)</w:t>
      </w:r>
      <w:r>
        <w:t xml:space="preserve"> </w:t>
      </w:r>
      <w:r>
        <w:t xml:space="preserve">establish the right to a uniform, statewide standard, but do not provide the details of what standard to apply; other regulations and statutes provide the details. The established right is necessary to ensure that the implementing laws and rules can be challenged if they do not, in fact, provide a uniform standard for determining what qualifies as a vote. There is no surplusage.</w:t>
      </w:r>
    </w:p>
    <w:p>
      <w:pPr>
        <w:pStyle w:val="BodyText"/>
      </w:pPr>
      <w:r>
        <w:t xml:space="preserve">PLAN does not contend that the Regulation imposes different standards for determining whether to count a vote, such as if there is an overvote. The Regulation promotes uniformity in counting votes. It sets minimum standards for hand counts that will ensure votes are counted in a standardized manner. The Regulation does not violate Nevada’s right to a uniform, statewide standard for counting votes.</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Regulation</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Violate</w:t>
      </w:r>
      <w:r>
        <w:rPr>
          <w:b/>
          <w:bCs/>
          <w:i/>
          <w:iCs/>
        </w:rPr>
        <w:t xml:space="preserve"> </w:t>
      </w:r>
      <w:r>
        <w:rPr>
          <w:b/>
          <w:bCs/>
          <w:i/>
          <w:iCs/>
        </w:rPr>
        <w:t xml:space="preserve">the</w:t>
      </w:r>
      <w:r>
        <w:rPr>
          <w:b/>
          <w:bCs/>
          <w:i/>
          <w:iCs/>
        </w:rPr>
        <w:t xml:space="preserve"> </w:t>
      </w:r>
      <w:r>
        <w:rPr>
          <w:b/>
          <w:bCs/>
          <w:i/>
          <w:iCs/>
        </w:rPr>
        <w:t xml:space="preserve">Equal</w:t>
      </w:r>
      <w:r>
        <w:rPr>
          <w:b/>
          <w:bCs/>
          <w:i/>
          <w:iCs/>
        </w:rPr>
        <w:t xml:space="preserve"> </w:t>
      </w:r>
      <w:r>
        <w:rPr>
          <w:b/>
          <w:bCs/>
          <w:i/>
          <w:iCs/>
        </w:rPr>
        <w:t xml:space="preserve">Protection</w:t>
      </w:r>
      <w:r>
        <w:rPr>
          <w:b/>
          <w:bCs/>
          <w:i/>
          <w:iCs/>
        </w:rPr>
        <w:t xml:space="preserve"> </w:t>
      </w:r>
      <w:r>
        <w:rPr>
          <w:b/>
          <w:bCs/>
          <w:i/>
          <w:iCs/>
        </w:rPr>
        <w:t xml:space="preserve">Clause</w:t>
      </w:r>
    </w:p>
    <w:p>
      <w:pPr>
        <w:pStyle w:val="BodyTextNote"/>
      </w:pPr>
      <w:r>
        <w:t xml:space="preserve">The District Court correctly determined that PLAN’s Equal Protection Clause challenge was not likely to succeed.</w:t>
      </w:r>
      <w:r>
        <w:rPr>
          <w:rStyle w:val="FootnoteReference"/>
        </w:rPr>
        <w:footnoteReference w:id="72"/>
      </w:r>
      <w:r>
        <w:t xml:space="preserve"> </w:t>
      </w:r>
      <w:r>
        <w:t xml:space="preserve">As addressed above, PLAN’s presumption that Nevada statute prohibits hand counting of ballots is wrong. Notably, an Equal Protection challenge in Nevada has already failed where there was</w:t>
      </w:r>
      <w:r>
        <w:t xml:space="preserve"> </w:t>
      </w:r>
      <w:r>
        <w:t xml:space="preserve">“no evidence that any vote that should lawfully not be counted has been or will be counted”</w:t>
      </w:r>
      <w:r>
        <w:t xml:space="preserve"> </w:t>
      </w:r>
      <w:r>
        <w:t xml:space="preserve">and there was</w:t>
      </w:r>
      <w:r>
        <w:t xml:space="preserve"> </w:t>
      </w:r>
      <w:r>
        <w:t xml:space="preserve">“no evidence of any injury, direct or indirect, to themselves or any other person or organization as a result of the different procedures.”</w:t>
      </w:r>
      <w:r>
        <w:rPr>
          <w:rStyle w:val="FootnoteReference"/>
        </w:rPr>
        <w:footnoteReference w:id="73"/>
      </w:r>
      <w:r>
        <w:t xml:space="preserve"> </w:t>
      </w:r>
      <w:r>
        <w:t xml:space="preserve">Nothing in the record requires a different ruling as to the Regulation.</w:t>
      </w:r>
    </w:p>
    <w:p>
      <w:pPr>
        <w:pStyle w:val="BodyTextNote"/>
      </w:pPr>
      <w:r>
        <w:t xml:space="preserve">Instead, the Secretary had a significant interest in implementing the Regulation to ensure uniformity in the event a county chose hand counting of ballots for determining its election results. The Regulation seeks to address common concerns with hand counts, such as requiring the provision of a plan at least 30 days in advance of the election demonstrating how any such count would meet existing statutory deadlines for election results, ballot security, avoiding worker fatigue, and the use of multiple tallies.</w:t>
      </w:r>
      <w:r>
        <w:rPr>
          <w:rStyle w:val="FootnoteReference"/>
        </w:rPr>
        <w:footnoteReference w:id="74"/>
      </w:r>
      <w:r>
        <w:t xml:space="preserve"> </w:t>
      </w:r>
      <w:r>
        <w:t xml:space="preserve">PLAN failed to meet its burden of showing that it was likely to succeed on the merits of its claim because the Regulation would in fact disenfranchise any voters. Without the Regulation, county efforts to use hand counting may not be uniform.</w:t>
      </w:r>
    </w:p>
    <w:p>
      <w:pPr>
        <w:keepNext/>
        <w:keepLines/>
        <w:spacing w:before="336" w:after="224" w:line="322"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Determined</w:t>
      </w:r>
      <w:r>
        <w:rPr>
          <w:b/>
          <w:bCs/>
        </w:rPr>
        <w:t xml:space="preserve"> </w:t>
      </w:r>
      <w:r>
        <w:rPr>
          <w:b/>
          <w:bCs/>
        </w:rPr>
        <w:t xml:space="preserve">that</w:t>
      </w:r>
      <w:r>
        <w:rPr>
          <w:b/>
          <w:bCs/>
        </w:rPr>
        <w:t xml:space="preserve"> </w:t>
      </w:r>
      <w:r>
        <w:rPr>
          <w:b/>
          <w:bCs/>
        </w:rPr>
        <w:t xml:space="preserve">Appellant</w:t>
      </w:r>
      <w:r>
        <w:rPr>
          <w:b/>
          <w:bCs/>
        </w:rPr>
        <w:t xml:space="preserve"> </w:t>
      </w:r>
      <w:r>
        <w:rPr>
          <w:b/>
          <w:bCs/>
        </w:rPr>
        <w:t xml:space="preserve">Was</w:t>
      </w:r>
      <w:r>
        <w:rPr>
          <w:b/>
          <w:bCs/>
        </w:rPr>
        <w:t xml:space="preserve"> </w:t>
      </w:r>
      <w:r>
        <w:rPr>
          <w:b/>
          <w:bCs/>
        </w:rPr>
        <w:t xml:space="preserve">Unlikely</w:t>
      </w:r>
      <w:r>
        <w:rPr>
          <w:b/>
          <w:bCs/>
        </w:rPr>
        <w:t xml:space="preserve"> </w:t>
      </w:r>
      <w:r>
        <w:rPr>
          <w:b/>
          <w:bCs/>
        </w:rPr>
        <w:t xml:space="preserve">to</w:t>
      </w:r>
      <w:r>
        <w:rPr>
          <w:b/>
          <w:bCs/>
        </w:rPr>
        <w:t xml:space="preserve"> </w:t>
      </w:r>
      <w:r>
        <w:rPr>
          <w:b/>
          <w:bCs/>
        </w:rPr>
        <w:t xml:space="preserve">Suffer</w:t>
      </w:r>
      <w:r>
        <w:rPr>
          <w:b/>
          <w:bCs/>
        </w:rPr>
        <w:t xml:space="preserve"> </w:t>
      </w:r>
      <w:r>
        <w:rPr>
          <w:b/>
          <w:bCs/>
        </w:rPr>
        <w:t xml:space="preserve">Irreparable</w:t>
      </w:r>
      <w:r>
        <w:rPr>
          <w:b/>
          <w:bCs/>
        </w:rPr>
        <w:t xml:space="preserve"> </w:t>
      </w:r>
      <w:r>
        <w:rPr>
          <w:b/>
          <w:bCs/>
        </w:rPr>
        <w:t xml:space="preserve">Harm</w:t>
      </w:r>
    </w:p>
    <w:p>
      <w:pPr>
        <w:pStyle w:val="BodyText"/>
      </w:pPr>
      <w:r>
        <w:t xml:space="preserve">As discussed above, PLAN has offered no evidence that any county will conduct a hand count in accordance with the Regulation, such that it would suffer any harm. The Regulation will expire before it can apply to any county. In addition to mootness, this precludes any harm to PLAN.</w:t>
      </w:r>
    </w:p>
    <w:p>
      <w:pPr>
        <w:pStyle w:val="BodyTextNote"/>
      </w:pPr>
      <w:r>
        <w:t xml:space="preserve">Nevertheless, PLAN attempts to manufacture harm by arguing that the Regulation somehow authorizes counties to perform a parallel hand count process.</w:t>
      </w:r>
      <w:r>
        <w:rPr>
          <w:rStyle w:val="FootnoteReference"/>
        </w:rPr>
        <w:footnoteReference w:id="75"/>
      </w:r>
      <w:r>
        <w:t xml:space="preserve"> </w:t>
      </w:r>
      <w:r>
        <w:t xml:space="preserve">Notably, PLAN does not provide a single citation to the Regulation in support of this assertion. That is because the Regulation does no such thing. Nor would an injunction of the Regulation preclude a county from conducting a parallel hand count. PLAN’s request for an injunction is a request for legislation, not a request for judicial resolution of legal issues.</w:t>
      </w:r>
      <w:r>
        <w:rPr>
          <w:rStyle w:val="FootnoteReference"/>
        </w:rPr>
        <w:footnoteReference w:id="76"/>
      </w:r>
    </w:p>
    <w:p>
      <w:pPr>
        <w:pStyle w:val="BodyTextNote"/>
      </w:pPr>
      <w:r>
        <w:t xml:space="preserve">PLAN also argues that it would not have enough time to challenge a county’s use of hand counting as the primary method of counting votes because the Regulation only requires plans to be submitted 30 days before the election.</w:t>
      </w:r>
      <w:r>
        <w:rPr>
          <w:rStyle w:val="FootnoteReference"/>
        </w:rPr>
        <w:footnoteReference w:id="77"/>
      </w:r>
      <w:r>
        <w:t xml:space="preserve"> </w:t>
      </w:r>
      <w:r>
        <w:t xml:space="preserve">This ignores that counties would begin preparations to switch to a hand count well before submitting the plan. More crucially, however, this argument depends on the language of the Regulation, which as discussed, will expire. Denial of the injunction does not result in harm to PLAN or anyone else.</w:t>
      </w:r>
    </w:p>
    <w:p>
      <w:pPr>
        <w:keepNext/>
        <w:keepLines/>
        <w:spacing w:before="336" w:after="224" w:line="322" w:lineRule="exact"/>
        <w:ind w:left="720" w:hanging="720"/>
        <w:jc w:val="left"/>
      </w:pPr>
      <w:r>
        <w:rPr>
          <w:b/>
          <w:bCs/>
        </w:rPr>
        <w:t xml:space="preserve">V.</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Determined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Balance</w:t>
      </w:r>
      <w:r>
        <w:rPr>
          <w:b/>
          <w:bCs/>
        </w:rPr>
        <w:t xml:space="preserve"> </w:t>
      </w:r>
      <w:r>
        <w:rPr>
          <w:b/>
          <w:bCs/>
        </w:rPr>
        <w:t xml:space="preserve">of</w:t>
      </w:r>
      <w:r>
        <w:rPr>
          <w:b/>
          <w:bCs/>
        </w:rPr>
        <w:t xml:space="preserve"> </w:t>
      </w:r>
      <w:r>
        <w:rPr>
          <w:b/>
          <w:bCs/>
        </w:rPr>
        <w:t xml:space="preserve">Equities</w:t>
      </w:r>
      <w:r>
        <w:rPr>
          <w:b/>
          <w:bCs/>
        </w:rPr>
        <w:t xml:space="preserve"> </w:t>
      </w:r>
      <w:r>
        <w:rPr>
          <w:b/>
          <w:bCs/>
        </w:rPr>
        <w:t xml:space="preserve">and</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Favored</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Injunction</w:t>
      </w:r>
    </w:p>
    <w:p>
      <w:pPr>
        <w:pStyle w:val="BodyTextNote"/>
      </w:pPr>
      <w:r>
        <w:t xml:space="preserve">As described above, the district court correctly found that</w:t>
      </w:r>
      <w:r>
        <w:t xml:space="preserve"> </w:t>
      </w:r>
      <w:r>
        <w:t xml:space="preserve">“[c]ities and counties may already use hand counting.”</w:t>
      </w:r>
      <w:r>
        <w:rPr>
          <w:rStyle w:val="FootnoteReference"/>
        </w:rPr>
        <w:footnoteReference w:id="78"/>
      </w:r>
      <w:r>
        <w:t xml:space="preserve"> </w:t>
      </w:r>
      <w:r>
        <w:t xml:space="preserve">Had a county decided to conduct a hand count as the primary method of counting the vote, the Regulation would have promoted uniformity and accuracy. No county would have been able to conduct a hand count to determine its election results if it did not comply with the Regulation. Absent the Regulation, counties would have been able to choose hand counting without any of the Regulation’s safeguards. The balance of equities and the public interest do not favor PLAN.</w:t>
      </w:r>
    </w:p>
    <w:p>
      <w:pPr>
        <w:keepNext/>
        <w:keepLines/>
        <w:spacing w:before="448" w:after="336" w:line="322" w:lineRule="exact"/>
        <w:ind w:left="0" w:firstLine="0"/>
        <w:jc w:val="center"/>
      </w:pPr>
      <w:r>
        <w:rPr>
          <w:b/>
          <w:bCs/>
        </w:rPr>
        <w:t xml:space="preserve">CONCLUSION</w:t>
      </w:r>
    </w:p>
    <w:p>
      <w:pPr>
        <w:pStyle w:val="BodyText"/>
      </w:pPr>
      <w:r>
        <w:t xml:space="preserve">This case is moot and should be dismissed. Alternatively, this court should affirm the District Court’s denial of a preliminary injunction, concluding that PLAN has not met its burden to obtain such extraordinary relief.</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Dated</w:t>
            </w:r>
            <w:r>
              <w:t xml:space="preserve"> </w:t>
            </w:r>
            <w:r>
              <w:t xml:space="preserve">this</w:t>
            </w:r>
            <w:r>
              <w:t xml:space="preserve"> </w:t>
            </w:r>
            <w:r>
              <w:t xml:space="preserve">11th</w:t>
            </w:r>
            <w:r>
              <w:t xml:space="preserve"> </w:t>
            </w:r>
            <w:r>
              <w:t xml:space="preserve">day</w:t>
            </w:r>
            <w:r>
              <w:t xml:space="preserve"> </w:t>
            </w:r>
            <w:r>
              <w:t xml:space="preserve">of</w:t>
            </w:r>
            <w:r>
              <w:t xml:space="preserve"> </w:t>
            </w:r>
            <w:r>
              <w:t xml:space="preserve">October,</w:t>
            </w:r>
            <w:r>
              <w:t xml:space="preserve"> </w:t>
            </w:r>
            <w:r>
              <w:t xml:space="preserve">2022.</w:t>
            </w:r>
          </w:p>
          <w:p>
            <w:pPr>
              <w:spacing w:before="224" w:after="0" w:line="322" w:lineRule="exact"/>
              <w:ind w:left="4608" w:firstLine="0"/>
              <w:jc w:val="left"/>
            </w:pPr>
            <w:r>
              <w:rPr>
                <w:b/>
                <w:bCs/>
              </w:rPr>
              <w:t xml:space="preserve">AARON</w:t>
            </w:r>
            <w:r>
              <w:rPr>
                <w:b/>
                <w:bCs/>
              </w:rPr>
              <w:t xml:space="preserve"> </w:t>
            </w:r>
            <w:r>
              <w:rPr>
                <w:b/>
                <w:bCs/>
              </w:rPr>
              <w:t xml:space="preserve">D.</w:t>
            </w:r>
            <w:r>
              <w:rPr>
                <w:b/>
                <w:bCs/>
              </w:rPr>
              <w:t xml:space="preserve"> </w:t>
            </w:r>
            <w:r>
              <w:rPr>
                <w:b/>
                <w:bCs/>
              </w:rPr>
              <w:t xml:space="preserve">FORD</w:t>
            </w:r>
          </w:p>
          <w:p>
            <w:pPr>
              <w:spacing w:before="0" w:after="0" w:line="322" w:lineRule="exact"/>
              <w:ind w:left="4608" w:firstLine="0"/>
              <w:jc w:val="left"/>
            </w:pPr>
            <w:r>
              <w:t xml:space="preserve">Attorney</w:t>
            </w:r>
            <w:r>
              <w:t xml:space="preserve"> </w:t>
            </w:r>
            <w:r>
              <w:t xml:space="preserve">General</w:t>
            </w:r>
          </w:p>
          <w:p>
            <w:pPr>
              <w:spacing w:before="224" w:after="0" w:line="322" w:lineRule="exact"/>
              <w:ind w:left="4608" w:firstLine="0"/>
              <w:jc w:val="left"/>
            </w:pPr>
            <w:r>
              <w:rPr>
                <w:u w:val="single"/>
              </w:rPr>
              <w:t xml:space="preserve">/s/</w:t>
            </w:r>
            <w:r>
              <w:rPr>
                <w:u w:val="single"/>
              </w:rPr>
              <w:t xml:space="preserve"> </w:t>
            </w:r>
            <w:r>
              <w:rPr>
                <w:i/>
                <w:iCs/>
                <w:u w:val="single"/>
              </w:rPr>
              <w:t xml:space="preserve">Craig</w:t>
            </w:r>
            <w:r>
              <w:rPr>
                <w:i/>
                <w:iCs/>
                <w:u w:val="single"/>
              </w:rPr>
              <w:t xml:space="preserve"> </w:t>
            </w:r>
            <w:r>
              <w:rPr>
                <w:i/>
                <w:iCs/>
                <w:u w:val="single"/>
              </w:rPr>
              <w:t xml:space="preserve">A.</w:t>
            </w:r>
            <w:r>
              <w:rPr>
                <w:i/>
                <w:iCs/>
                <w:u w:val="single"/>
              </w:rPr>
              <w:t xml:space="preserve"> </w:t>
            </w:r>
            <w:r>
              <w:rPr>
                <w:i/>
                <w:iCs/>
                <w:u w:val="single"/>
              </w:rPr>
              <w:t xml:space="preserve">Newby</w:t>
            </w:r>
          </w:p>
          <w:p>
            <w:pPr>
              <w:spacing w:before="0" w:after="0" w:line="322" w:lineRule="exact"/>
              <w:ind w:left="4608" w:firstLine="0"/>
              <w:jc w:val="left"/>
            </w:pPr>
            <w:r>
              <w:t xml:space="preserve">Craig</w:t>
            </w:r>
            <w:r>
              <w:t xml:space="preserve"> </w:t>
            </w:r>
            <w:r>
              <w:t xml:space="preserve">A.</w:t>
            </w:r>
            <w:r>
              <w:t xml:space="preserve"> </w:t>
            </w:r>
            <w:r>
              <w:t xml:space="preserve">Newby</w:t>
            </w:r>
          </w:p>
          <w:p>
            <w:pPr>
              <w:spacing w:before="168" w:after="0" w:line="322" w:lineRule="exact"/>
              <w:ind w:left="4608" w:firstLine="0"/>
              <w:jc w:val="left"/>
            </w:pPr>
            <w:r>
              <w:t xml:space="preserve">(Bar</w:t>
            </w:r>
            <w:r>
              <w:t xml:space="preserve"> </w:t>
            </w:r>
            <w:r>
              <w:t xml:space="preserve">No.</w:t>
            </w:r>
            <w:r>
              <w:t xml:space="preserve"> </w:t>
            </w:r>
            <w:r>
              <w:t xml:space="preserve">8591)</w:t>
            </w:r>
          </w:p>
          <w:p>
            <w:pPr>
              <w:spacing w:before="0" w:after="0" w:line="322" w:lineRule="exact"/>
              <w:ind w:left="4608" w:firstLine="0"/>
              <w:jc w:val="left"/>
            </w:pPr>
            <w:r>
              <w:t xml:space="preserve">Deputy</w:t>
            </w:r>
            <w:r>
              <w:t xml:space="preserve"> </w:t>
            </w:r>
            <w:r>
              <w:t xml:space="preserve">Solicitor</w:t>
            </w:r>
            <w:r>
              <w:t xml:space="preserve"> </w:t>
            </w:r>
            <w:r>
              <w:t xml:space="preserve">General</w:t>
            </w:r>
          </w:p>
          <w:p>
            <w:pPr>
              <w:spacing w:before="0" w:after="0" w:line="322" w:lineRule="exact"/>
              <w:ind w:left="4608" w:firstLine="0"/>
              <w:jc w:val="left"/>
            </w:pPr>
            <w:r>
              <w:t xml:space="preserve">Laena</w:t>
            </w:r>
            <w:r>
              <w:t xml:space="preserve"> </w:t>
            </w:r>
            <w:r>
              <w:t xml:space="preserve">St-Jules</w:t>
            </w:r>
            <w:r>
              <w:t xml:space="preserve"> </w:t>
            </w:r>
            <w:r>
              <w:t xml:space="preserve">(Bar</w:t>
            </w:r>
            <w:r>
              <w:t xml:space="preserve"> </w:t>
            </w:r>
            <w:r>
              <w:t xml:space="preserve">No.</w:t>
            </w:r>
            <w:r>
              <w:t xml:space="preserve"> </w:t>
            </w:r>
            <w:r>
              <w:t xml:space="preserve">15156)</w:t>
            </w:r>
          </w:p>
          <w:p>
            <w:pPr>
              <w:spacing w:before="0" w:after="0" w:line="322" w:lineRule="exact"/>
              <w:ind w:left="4608" w:firstLine="0"/>
              <w:jc w:val="left"/>
            </w:pPr>
            <w:r>
              <w:t xml:space="preserve">Deputy</w:t>
            </w:r>
            <w:r>
              <w:t xml:space="preserve"> </w:t>
            </w:r>
            <w:r>
              <w:t xml:space="preserve">Attorney</w:t>
            </w:r>
            <w:r>
              <w:t xml:space="preserve"> </w:t>
            </w:r>
            <w:r>
              <w:t xml:space="preserve">General</w:t>
            </w:r>
          </w:p>
        </w:tc>
      </w:tr>
    </w:tbl>
    <w:p>
      <w:pPr>
        <w:pageBreakBefore/>
        <w:spacing w:before="0" w:after="0" w:line="1" w:lineRule="exact"/>
      </w:pPr>
    </w:p>
    <w:p>
      <w:pPr>
        <w:keepNext/>
        <w:keepLines/>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336" w:after="0" w:line="644" w:lineRule="exact"/>
        <w:ind w:left="0" w:firstLine="720"/>
        <w:jc w:val="left"/>
      </w:pPr>
      <w:r>
        <w:t xml:space="preserve">1.</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formatting</w:t>
      </w:r>
      <w:r>
        <w:t xml:space="preserve"> </w:t>
      </w:r>
      <w:r>
        <w:t xml:space="preserve">requirements</w:t>
      </w:r>
      <w:r>
        <w:t xml:space="preserve"> </w:t>
      </w:r>
      <w:r>
        <w:t xml:space="preserve">of</w:t>
      </w:r>
      <w:r>
        <w:t xml:space="preserve"> </w:t>
      </w:r>
      <w:r>
        <w:t xml:space="preserve">NRAP</w:t>
      </w:r>
      <w:r>
        <w:t xml:space="preserve"> </w:t>
      </w:r>
      <w:r>
        <w:t xml:space="preserve">32(a)⁠(4),</w:t>
      </w:r>
      <w:r>
        <w:t xml:space="preserve"> </w:t>
      </w:r>
      <w:r>
        <w:t xml:space="preserve">the</w:t>
      </w:r>
      <w:r>
        <w:t xml:space="preserve"> </w:t>
      </w:r>
      <w:r>
        <w:t xml:space="preserve">typeface</w:t>
      </w:r>
      <w:r>
        <w:t xml:space="preserve"> </w:t>
      </w:r>
      <w:r>
        <w:t xml:space="preserve">requirements</w:t>
      </w:r>
      <w:r>
        <w:t xml:space="preserve"> </w:t>
      </w:r>
      <w:r>
        <w:t xml:space="preserve">of</w:t>
      </w:r>
      <w:r>
        <w:t xml:space="preserve"> </w:t>
      </w:r>
      <w:r>
        <w:t xml:space="preserve">NRAP</w:t>
      </w:r>
      <w:r>
        <w:t xml:space="preserve"> </w:t>
      </w:r>
      <w:r>
        <w:t xml:space="preserve">32(a)⁠(5)</w:t>
      </w:r>
      <w:r>
        <w:t xml:space="preserve"> </w:t>
      </w:r>
      <w:r>
        <w:t xml:space="preserve">and</w:t>
      </w:r>
      <w:r>
        <w:t xml:space="preserve"> </w:t>
      </w:r>
      <w:r>
        <w:t xml:space="preserve">the</w:t>
      </w:r>
      <w:r>
        <w:t xml:space="preserve"> </w:t>
      </w:r>
      <w:r>
        <w:t xml:space="preserve">type</w:t>
      </w:r>
      <w:r>
        <w:t xml:space="preserve"> </w:t>
      </w:r>
      <w:r>
        <w:t xml:space="preserve">style</w:t>
      </w:r>
      <w:r>
        <w:t xml:space="preserve"> </w:t>
      </w:r>
      <w:r>
        <w:t xml:space="preserve">requirements</w:t>
      </w:r>
      <w:r>
        <w:t xml:space="preserve"> </w:t>
      </w:r>
      <w:r>
        <w:t xml:space="preserve">of</w:t>
      </w:r>
      <w:r>
        <w:t xml:space="preserve"> </w:t>
      </w:r>
      <w:r>
        <w:t xml:space="preserve">NRAP</w:t>
      </w:r>
      <w:r>
        <w:t xml:space="preserve"> </w:t>
      </w:r>
      <w:r>
        <w:t xml:space="preserve">32(a)⁠(6)</w:t>
      </w:r>
      <w:r>
        <w:t xml:space="preserve"> </w:t>
      </w:r>
      <w:r>
        <w:t xml:space="preserve">because:</w:t>
      </w:r>
      <w:r>
        <w:t xml:space="preserve"> </w:t>
      </w:r>
      <w:r>
        <w:t xml:space="preserve">this</w:t>
      </w:r>
      <w:r>
        <w:t xml:space="preserve"> </w:t>
      </w:r>
      <w:r>
        <w:t xml:space="preserve">brief</w:t>
      </w:r>
      <w:r>
        <w:t xml:space="preserve"> </w:t>
      </w:r>
      <w:r>
        <w:t xml:space="preserve">has</w:t>
      </w:r>
      <w:r>
        <w:t xml:space="preserve"> </w:t>
      </w:r>
      <w:r>
        <w:t xml:space="preserve">been</w:t>
      </w:r>
      <w:r>
        <w:t xml:space="preserve"> </w:t>
      </w:r>
      <w:r>
        <w:t xml:space="preserve">prepared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typeface</w:t>
      </w:r>
      <w:r>
        <w:t xml:space="preserve"> </w:t>
      </w:r>
      <w:r>
        <w:t xml:space="preserve">using</w:t>
      </w:r>
      <w:r>
        <w:t xml:space="preserve"> </w:t>
      </w:r>
      <w:r>
        <w:t xml:space="preserve">Times</w:t>
      </w:r>
      <w:r>
        <w:t xml:space="preserve"> </w:t>
      </w:r>
      <w:r>
        <w:t xml:space="preserve">New</w:t>
      </w:r>
      <w:r>
        <w:t xml:space="preserve"> </w:t>
      </w:r>
      <w:r>
        <w:t xml:space="preserve">Roman</w:t>
      </w:r>
      <w:r>
        <w:t xml:space="preserve"> </w:t>
      </w:r>
      <w:r>
        <w:t xml:space="preserve">in</w:t>
      </w:r>
      <w:r>
        <w:t xml:space="preserve"> </w:t>
      </w:r>
      <w:r>
        <w:t xml:space="preserve">14-point</w:t>
      </w:r>
      <w:r>
        <w:t xml:space="preserve"> </w:t>
      </w:r>
      <w:r>
        <w:t xml:space="preserve">type.</w:t>
      </w:r>
    </w:p>
    <w:p>
      <w:pPr>
        <w:spacing w:before="0" w:after="0" w:line="644" w:lineRule="exact"/>
        <w:ind w:left="0" w:firstLine="720"/>
        <w:jc w:val="left"/>
      </w:pPr>
      <w:r>
        <w:t xml:space="preserve">2.</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page-</w:t>
      </w:r>
      <w:r>
        <w:t xml:space="preserve"> </w:t>
      </w:r>
      <w:r>
        <w:t xml:space="preserve">or</w:t>
      </w:r>
      <w:r>
        <w:t xml:space="preserve"> </w:t>
      </w:r>
      <w:r>
        <w:t xml:space="preserve">type-volume</w:t>
      </w:r>
      <w:r>
        <w:t xml:space="preserve"> </w:t>
      </w:r>
      <w:r>
        <w:t xml:space="preserve">limitations</w:t>
      </w:r>
      <w:r>
        <w:t xml:space="preserve"> </w:t>
      </w:r>
      <w:r>
        <w:t xml:space="preserve">of</w:t>
      </w:r>
      <w:r>
        <w:t xml:space="preserve"> </w:t>
      </w:r>
      <w:r>
        <w:t xml:space="preserve">NRAP</w:t>
      </w:r>
      <w:r>
        <w:t xml:space="preserve"> </w:t>
      </w:r>
      <w:r>
        <w:t xml:space="preserve">32(a)⁠(7)</w:t>
      </w:r>
      <w:r>
        <w:t xml:space="preserve"> </w:t>
      </w:r>
      <w:r>
        <w:t xml:space="preserve">because,</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by</w:t>
      </w:r>
      <w:r>
        <w:t xml:space="preserve"> </w:t>
      </w:r>
      <w:r>
        <w:t xml:space="preserve">NRAP</w:t>
      </w:r>
      <w:r>
        <w:t xml:space="preserve"> </w:t>
      </w:r>
      <w:r>
        <w:t xml:space="preserve">32(a)⁠(7)⁠(C),</w:t>
      </w:r>
      <w:r>
        <w:t xml:space="preserve"> </w:t>
      </w:r>
      <w:r>
        <w:t xml:space="preserve">it</w:t>
      </w:r>
      <w:r>
        <w:t xml:space="preserve"> </w:t>
      </w:r>
      <w:r>
        <w:t xml:space="preserve">is</w:t>
      </w:r>
      <w:r>
        <w:t xml:space="preserve"> </w:t>
      </w:r>
      <w:r>
        <w:t xml:space="preserve">proportionally</w:t>
      </w:r>
      <w:r>
        <w:t xml:space="preserve"> </w:t>
      </w:r>
      <w:r>
        <w:t xml:space="preserve">spaced,</w:t>
      </w:r>
      <w:r>
        <w:t xml:space="preserve"> </w:t>
      </w:r>
      <w:r>
        <w:t xml:space="preserve">has</w:t>
      </w:r>
      <w:r>
        <w:t xml:space="preserve"> </w:t>
      </w:r>
      <w:r>
        <w:t xml:space="preserve">a</w:t>
      </w:r>
      <w:r>
        <w:t xml:space="preserve"> </w:t>
      </w:r>
      <w:r>
        <w:t xml:space="preserve">typeface</w:t>
      </w:r>
      <w:r>
        <w:t xml:space="preserve"> </w:t>
      </w:r>
      <w:r>
        <w:t xml:space="preserve">of</w:t>
      </w:r>
      <w:r>
        <w:t xml:space="preserve"> </w:t>
      </w:r>
      <w:r>
        <w:t xml:space="preserve">14</w:t>
      </w:r>
      <w:r>
        <w:t xml:space="preserve"> </w:t>
      </w:r>
      <w:r>
        <w:t xml:space="preserve">points</w:t>
      </w:r>
      <w:r>
        <w:t xml:space="preserve"> </w:t>
      </w:r>
      <w:r>
        <w:t xml:space="preserve">or</w:t>
      </w:r>
      <w:r>
        <w:t xml:space="preserve"> </w:t>
      </w:r>
      <w:r>
        <w:t xml:space="preserve">more,</w:t>
      </w:r>
      <w:r>
        <w:t xml:space="preserve"> </w:t>
      </w:r>
      <w:r>
        <w:t xml:space="preserve">and</w:t>
      </w:r>
      <w:r>
        <w:t xml:space="preserve"> </w:t>
      </w:r>
      <w:r>
        <w:t xml:space="preserve">contains</w:t>
      </w:r>
      <w:r>
        <w:t xml:space="preserve"> </w:t>
      </w:r>
      <w:r>
        <w:t xml:space="preserve">4258</w:t>
      </w:r>
      <w:r>
        <w:t xml:space="preserve"> </w:t>
      </w:r>
      <w:r>
        <w:t xml:space="preserve">words.</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3.</w:t>
            </w:r>
            <w:r>
              <w:t xml:space="preserve"> </w:t>
            </w:r>
            <w:r>
              <w:t xml:space="preserve">Finally,</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read</w:t>
            </w:r>
            <w:r>
              <w:t xml:space="preserve"> </w:t>
            </w:r>
            <w:r>
              <w:t xml:space="preserve">this</w:t>
            </w:r>
            <w:r>
              <w:t xml:space="preserve"> </w:t>
            </w:r>
            <w:r>
              <w:t xml:space="preserve">appellate</w:t>
            </w:r>
            <w:r>
              <w:t xml:space="preserve"> </w:t>
            </w:r>
            <w:r>
              <w:t xml:space="preserve">brief,</w:t>
            </w:r>
            <w:r>
              <w:t xml:space="preserve"> </w:t>
            </w:r>
            <w:r>
              <w:t xml:space="preserve">and</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r>
              <w:t xml:space="preserve"> </w:t>
            </w:r>
            <w:r>
              <w:t xml:space="preserve">it</w:t>
            </w:r>
            <w:r>
              <w:t xml:space="preserve"> </w:t>
            </w:r>
            <w:r>
              <w:t xml:space="preserve">is</w:t>
            </w:r>
            <w:r>
              <w:t xml:space="preserve"> </w:t>
            </w:r>
            <w:r>
              <w:t xml:space="preserve">not</w:t>
            </w:r>
            <w:r>
              <w:t xml:space="preserve"> </w:t>
            </w:r>
            <w:r>
              <w:t xml:space="preserve">frivolous</w:t>
            </w:r>
            <w:r>
              <w:t xml:space="preserve"> </w:t>
            </w:r>
            <w:r>
              <w:t xml:space="preserve">or</w:t>
            </w:r>
            <w:r>
              <w:t xml:space="preserve"> </w:t>
            </w:r>
            <w:r>
              <w:t xml:space="preserve">interposed</w:t>
            </w:r>
            <w:r>
              <w:t xml:space="preserve"> </w:t>
            </w:r>
            <w:r>
              <w:t xml:space="preserve">for</w:t>
            </w:r>
            <w:r>
              <w:t xml:space="preserve"> </w:t>
            </w:r>
            <w:r>
              <w:t xml:space="preserve">any</w:t>
            </w:r>
            <w:r>
              <w:t xml:space="preserve"> </w:t>
            </w:r>
            <w:r>
              <w:t xml:space="preserve">improper</w:t>
            </w:r>
            <w:r>
              <w:t xml:space="preserve"> </w:t>
            </w:r>
            <w:r>
              <w:t xml:space="preserve">purpose.</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all</w:t>
            </w:r>
            <w:r>
              <w:t xml:space="preserve"> </w:t>
            </w:r>
            <w:r>
              <w:t xml:space="preserve">applicable</w:t>
            </w:r>
            <w:r>
              <w:t xml:space="preserve"> </w:t>
            </w:r>
            <w:r>
              <w:t xml:space="preserve">Nevada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in</w:t>
            </w:r>
            <w:r>
              <w:t xml:space="preserve"> </w:t>
            </w:r>
            <w:r>
              <w:t xml:space="preserve">particular</w:t>
            </w:r>
            <w:r>
              <w:t xml:space="preserve"> </w:t>
            </w:r>
            <w:r>
              <w:t xml:space="preserve">NRAP</w:t>
            </w:r>
            <w:r>
              <w:t xml:space="preserve"> </w:t>
            </w:r>
            <w:r>
              <w:t xml:space="preserve">28(e)⁠(1),</w:t>
            </w:r>
            <w:r>
              <w:t xml:space="preserve"> </w:t>
            </w:r>
            <w:r>
              <w:t xml:space="preserve">which</w:t>
            </w:r>
            <w:r>
              <w:t xml:space="preserve"> </w:t>
            </w:r>
            <w:r>
              <w:t xml:space="preserve">requires</w:t>
            </w:r>
            <w:r>
              <w:t xml:space="preserve"> </w:t>
            </w:r>
            <w:r>
              <w:t xml:space="preserve">every</w:t>
            </w:r>
            <w:r>
              <w:t xml:space="preserve"> </w:t>
            </w:r>
            <w:r>
              <w:t xml:space="preserve">assertion</w:t>
            </w:r>
            <w:r>
              <w:t xml:space="preserve"> </w:t>
            </w:r>
            <w:r>
              <w:t xml:space="preserve">in</w:t>
            </w:r>
            <w:r>
              <w:t xml:space="preserve"> </w:t>
            </w:r>
            <w:r>
              <w:t xml:space="preserve">the</w:t>
            </w:r>
            <w:r>
              <w:t xml:space="preserve"> </w:t>
            </w:r>
            <w:r>
              <w:t xml:space="preserve">brief</w:t>
            </w:r>
            <w:r>
              <w:t xml:space="preserve"> </w:t>
            </w:r>
            <w:r>
              <w:t xml:space="preserve">regarding</w:t>
            </w:r>
            <w:r>
              <w:t xml:space="preserve"> </w:t>
            </w:r>
            <w:r>
              <w:t xml:space="preserve">matters</w:t>
            </w:r>
            <w:r>
              <w:t xml:space="preserve"> </w:t>
            </w:r>
            <w:r>
              <w:t xml:space="preserve">in</w:t>
            </w:r>
            <w:r>
              <w:t xml:space="preserve"> </w:t>
            </w:r>
            <w:r>
              <w:t xml:space="preserve">the</w:t>
            </w:r>
            <w:r>
              <w:t xml:space="preserve"> </w:t>
            </w:r>
            <w:r>
              <w:t xml:space="preserve">record</w:t>
            </w:r>
            <w:r>
              <w:t xml:space="preserve"> </w:t>
            </w:r>
            <w:r>
              <w:t xml:space="preserve">to</w:t>
            </w:r>
            <w:r>
              <w:t xml:space="preserve"> </w:t>
            </w:r>
            <w:r>
              <w:t xml:space="preserve">be</w:t>
            </w:r>
            <w:r>
              <w:t xml:space="preserve"> </w:t>
            </w:r>
            <w:r>
              <w:t xml:space="preserve">supported</w:t>
            </w:r>
            <w:r>
              <w:t xml:space="preserve"> </w:t>
            </w:r>
            <w:r>
              <w:t xml:space="preserve">by</w:t>
            </w:r>
            <w:r>
              <w:t xml:space="preserve"> </w:t>
            </w:r>
            <w:r>
              <w:t xml:space="preserve">a</w:t>
            </w:r>
            <w:r>
              <w:t xml:space="preserve"> </w:t>
            </w:r>
            <w:r>
              <w:t xml:space="preserve">reference</w:t>
            </w:r>
            <w:r>
              <w:t xml:space="preserve"> </w:t>
            </w:r>
            <w:r>
              <w:t xml:space="preserve">to</w:t>
            </w:r>
            <w:r>
              <w:t xml:space="preserve"> </w:t>
            </w:r>
            <w:r>
              <w:t xml:space="preserve">the</w:t>
            </w:r>
            <w:r>
              <w:t xml:space="preserve"> </w:t>
            </w:r>
            <w:r>
              <w:t xml:space="preserve">page</w:t>
            </w:r>
            <w:r>
              <w:t xml:space="preserve"> </w:t>
            </w:r>
            <w:r>
              <w:t xml:space="preserve">and</w:t>
            </w:r>
            <w:r>
              <w:t xml:space="preserve"> </w:t>
            </w:r>
            <w:r>
              <w:t xml:space="preserve">volume</w:t>
            </w:r>
            <w:r>
              <w:t xml:space="preserve"> </w:t>
            </w:r>
            <w:r>
              <w:t xml:space="preserve">number,</w:t>
            </w:r>
            <w:r>
              <w:t xml:space="preserve"> </w:t>
            </w:r>
            <w:r>
              <w:t xml:space="preserve">if</w:t>
            </w:r>
            <w:r>
              <w:t xml:space="preserve"> </w:t>
            </w:r>
            <w:r>
              <w:t xml:space="preserve">any,</w:t>
            </w:r>
            <w:r>
              <w:t xml:space="preserve"> </w:t>
            </w:r>
            <w:r>
              <w:t xml:space="preserve">of</w:t>
            </w:r>
            <w:r>
              <w:t xml:space="preserve"> </w:t>
            </w:r>
            <w:r>
              <w:t xml:space="preserve">the</w:t>
            </w:r>
            <w:r>
              <w:t xml:space="preserve"> </w:t>
            </w:r>
            <w:r>
              <w:t xml:space="preserve">transcript</w:t>
            </w:r>
            <w:r>
              <w:t xml:space="preserve"> </w:t>
            </w:r>
            <w:r>
              <w:t xml:space="preserve">or</w:t>
            </w:r>
            <w:r>
              <w:t xml:space="preserve"> </w:t>
            </w:r>
            <w:r>
              <w:t xml:space="preserve">appendix</w:t>
            </w:r>
            <w:r>
              <w:t xml:space="preserve"> </w:t>
            </w:r>
            <w:r>
              <w:t xml:space="preserve">where</w:t>
            </w:r>
            <w:r>
              <w:t xml:space="preserve"> </w:t>
            </w:r>
            <w:r>
              <w:t xml:space="preserve">the</w:t>
            </w:r>
            <w:r>
              <w:t xml:space="preserve"> </w:t>
            </w:r>
            <w:r>
              <w:t xml:space="preserve">matter</w:t>
            </w:r>
            <w:r>
              <w:t xml:space="preserve"> </w:t>
            </w:r>
            <w:r>
              <w:t xml:space="preserve">relied</w:t>
            </w:r>
            <w:r>
              <w:t xml:space="preserve"> </w:t>
            </w:r>
            <w:r>
              <w:t xml:space="preserve">on</w:t>
            </w:r>
            <w:r>
              <w:t xml:space="preserve"> </w:t>
            </w:r>
            <w:r>
              <w:t xml:space="preserve">is</w:t>
            </w:r>
            <w:r>
              <w:t xml:space="preserve"> </w:t>
            </w:r>
            <w:r>
              <w:t xml:space="preserve">to</w:t>
            </w:r>
            <w:r>
              <w:t xml:space="preserve"> </w:t>
            </w:r>
            <w:r>
              <w:t xml:space="preserve">be</w:t>
            </w:r>
            <w:r>
              <w:t xml:space="preserve"> </w:t>
            </w:r>
            <w:r>
              <w:t xml:space="preserve">found.</w:t>
            </w:r>
            <w:r>
              <w:t xml:space="preserve"> </w:t>
            </w:r>
            <w:r>
              <w:t xml:space="preserve">I</w:t>
            </w:r>
            <w:r>
              <w:t xml:space="preserve"> </w:t>
            </w:r>
            <w:r>
              <w:t xml:space="preserve">understand</w:t>
            </w:r>
            <w:r>
              <w:t xml:space="preserve"> </w:t>
            </w:r>
            <w:r>
              <w:t xml:space="preserve">that</w:t>
            </w:r>
            <w:r>
              <w:t xml:space="preserve"> </w:t>
            </w:r>
            <w:r>
              <w:t xml:space="preserve">I</w:t>
            </w:r>
            <w:r>
              <w:t xml:space="preserve"> </w:t>
            </w:r>
            <w:r>
              <w:t xml:space="preserve">may</w:t>
            </w:r>
            <w:r>
              <w:t xml:space="preserve"> </w:t>
            </w:r>
            <w:r>
              <w:t xml:space="preserve">be</w:t>
            </w:r>
            <w:r>
              <w:t xml:space="preserve"> </w:t>
            </w:r>
            <w:r>
              <w:t xml:space="preserve">subject</w:t>
            </w:r>
            <w:r>
              <w:t xml:space="preserve"> </w:t>
            </w:r>
            <w:r>
              <w:t xml:space="preserve">to</w:t>
            </w:r>
            <w:r>
              <w:t xml:space="preserve"> </w:t>
            </w:r>
            <w:r>
              <w:t xml:space="preserve">sanctions</w:t>
            </w:r>
            <w:r>
              <w:t xml:space="preserve"> </w:t>
            </w:r>
            <w:r>
              <w:t xml:space="preserve">in</w:t>
            </w:r>
            <w:r>
              <w:t xml:space="preserve"> </w:t>
            </w:r>
            <w:r>
              <w:t xml:space="preserve">the</w:t>
            </w:r>
            <w:r>
              <w:t xml:space="preserve"> </w:t>
            </w:r>
            <w:r>
              <w:t xml:space="preserve">event</w:t>
            </w:r>
            <w:r>
              <w:t xml:space="preserve"> </w:t>
            </w:r>
            <w:r>
              <w:t xml:space="preserve">that</w:t>
            </w:r>
            <w:r>
              <w:t xml:space="preserve"> </w:t>
            </w:r>
            <w:r>
              <w:t xml:space="preserve">the</w:t>
            </w:r>
            <w:r>
              <w:t xml:space="preserve"> </w:t>
            </w:r>
            <w:r>
              <w:t xml:space="preserve">accompanying</w:t>
            </w:r>
            <w:r>
              <w:t xml:space="preserve"> </w:t>
            </w:r>
            <w:r>
              <w:t xml:space="preserve">brief</w:t>
            </w:r>
            <w:r>
              <w:t xml:space="preserve"> </w:t>
            </w:r>
            <w:r>
              <w:t xml:space="preserve">is</w:t>
            </w:r>
            <w:r>
              <w:t xml:space="preserve"> </w:t>
            </w:r>
            <w:r>
              <w:t xml:space="preserve">not</w:t>
            </w:r>
            <w:r>
              <w:t xml:space="preserve"> </w:t>
            </w:r>
            <w:r>
              <w:t xml:space="preserve">in</w:t>
            </w:r>
            <w:r>
              <w:t xml:space="preserve"> </w:t>
            </w:r>
            <w:r>
              <w:t xml:space="preserve">conformity</w:t>
            </w:r>
            <w:r>
              <w:t xml:space="preserve"> </w:t>
            </w:r>
            <w:r>
              <w:t xml:space="preserve">with</w:t>
            </w:r>
            <w:r>
              <w:t xml:space="preserve"> </w:t>
            </w:r>
            <w:r>
              <w:t xml:space="preserve">the</w:t>
            </w:r>
            <w:r>
              <w:t xml:space="preserve"> </w:t>
            </w:r>
            <w:r>
              <w:t xml:space="preserve">requirements</w:t>
            </w:r>
            <w:r>
              <w:t xml:space="preserve"> </w:t>
            </w:r>
            <w:r>
              <w:t xml:space="preserve">of</w:t>
            </w:r>
            <w:r>
              <w:t xml:space="preserve"> </w:t>
            </w:r>
            <w:r>
              <w:t xml:space="preserve">the</w:t>
            </w:r>
            <w:r>
              <w:t xml:space="preserve"> </w:t>
            </w:r>
            <w:r>
              <w:t xml:space="preserve">Nevada</w:t>
            </w:r>
            <w:r>
              <w:t xml:space="preserve"> </w:t>
            </w:r>
            <w:r>
              <w:t xml:space="preserve">Rules</w:t>
            </w:r>
            <w:r>
              <w:t xml:space="preserve"> </w:t>
            </w:r>
            <w:r>
              <w:t xml:space="preserve">of</w:t>
            </w:r>
            <w:r>
              <w:t xml:space="preserve"> </w:t>
            </w:r>
            <w:r>
              <w:t xml:space="preserve">Appellate</w:t>
            </w:r>
            <w:r>
              <w:t xml:space="preserve"> </w:t>
            </w:r>
            <w:r>
              <w:t xml:space="preserve">Procedure.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Dated</w:t>
                  </w:r>
                  <w:r>
                    <w:t xml:space="preserve"> </w:t>
                  </w:r>
                  <w:r>
                    <w:t xml:space="preserve">this</w:t>
                  </w:r>
                  <w:r>
                    <w:t xml:space="preserve"> </w:t>
                  </w:r>
                  <w:r>
                    <w:t xml:space="preserve">11th</w:t>
                  </w:r>
                  <w:r>
                    <w:t xml:space="preserve"> </w:t>
                  </w:r>
                  <w:r>
                    <w:t xml:space="preserve">day</w:t>
                  </w:r>
                  <w:r>
                    <w:t xml:space="preserve"> </w:t>
                  </w:r>
                  <w:r>
                    <w:t xml:space="preserve">of</w:t>
                  </w:r>
                  <w:r>
                    <w:t xml:space="preserve"> </w:t>
                  </w:r>
                  <w:r>
                    <w:t xml:space="preserve">October,</w:t>
                  </w:r>
                  <w:r>
                    <w:t xml:space="preserve"> </w:t>
                  </w:r>
                  <w:r>
                    <w:t xml:space="preserve">2022.</w:t>
                  </w:r>
                </w:p>
                <w:p>
                  <w:pPr>
                    <w:spacing w:before="224" w:after="0" w:line="322" w:lineRule="exact"/>
                    <w:ind w:left="4608" w:firstLine="0"/>
                    <w:jc w:val="left"/>
                  </w:pPr>
                  <w:r>
                    <w:rPr>
                      <w:b/>
                      <w:bCs/>
                    </w:rPr>
                    <w:t xml:space="preserve">AARON</w:t>
                  </w:r>
                  <w:r>
                    <w:rPr>
                      <w:b/>
                      <w:bCs/>
                    </w:rPr>
                    <w:t xml:space="preserve"> </w:t>
                  </w:r>
                  <w:r>
                    <w:rPr>
                      <w:b/>
                      <w:bCs/>
                    </w:rPr>
                    <w:t xml:space="preserve">D.</w:t>
                  </w:r>
                  <w:r>
                    <w:rPr>
                      <w:b/>
                      <w:bCs/>
                    </w:rPr>
                    <w:t xml:space="preserve"> </w:t>
                  </w:r>
                  <w:r>
                    <w:rPr>
                      <w:b/>
                      <w:bCs/>
                    </w:rPr>
                    <w:t xml:space="preserve">FORD</w:t>
                  </w:r>
                </w:p>
                <w:p>
                  <w:pPr>
                    <w:spacing w:before="0" w:after="0" w:line="322" w:lineRule="exact"/>
                    <w:ind w:left="4608" w:firstLine="0"/>
                    <w:jc w:val="left"/>
                  </w:pPr>
                  <w:r>
                    <w:t xml:space="preserve">Attorney</w:t>
                  </w:r>
                  <w:r>
                    <w:t xml:space="preserve"> </w:t>
                  </w:r>
                  <w:r>
                    <w:t xml:space="preserve">General</w:t>
                  </w:r>
                </w:p>
                <w:p>
                  <w:pPr>
                    <w:spacing w:before="224" w:after="0" w:line="322" w:lineRule="exact"/>
                    <w:ind w:left="4608" w:firstLine="0"/>
                    <w:jc w:val="left"/>
                  </w:pPr>
                  <w:r>
                    <w:rPr>
                      <w:u w:val="single"/>
                    </w:rPr>
                    <w:t xml:space="preserve">/s/</w:t>
                  </w:r>
                  <w:r>
                    <w:rPr>
                      <w:u w:val="single"/>
                    </w:rPr>
                    <w:t xml:space="preserve"> </w:t>
                  </w:r>
                  <w:r>
                    <w:rPr>
                      <w:i/>
                      <w:iCs/>
                      <w:u w:val="single"/>
                    </w:rPr>
                    <w:t xml:space="preserve">Craig</w:t>
                  </w:r>
                  <w:r>
                    <w:rPr>
                      <w:i/>
                      <w:iCs/>
                      <w:u w:val="single"/>
                    </w:rPr>
                    <w:t xml:space="preserve"> </w:t>
                  </w:r>
                  <w:r>
                    <w:rPr>
                      <w:i/>
                      <w:iCs/>
                      <w:u w:val="single"/>
                    </w:rPr>
                    <w:t xml:space="preserve">A.</w:t>
                  </w:r>
                  <w:r>
                    <w:rPr>
                      <w:i/>
                      <w:iCs/>
                      <w:u w:val="single"/>
                    </w:rPr>
                    <w:t xml:space="preserve"> </w:t>
                  </w:r>
                  <w:r>
                    <w:rPr>
                      <w:i/>
                      <w:iCs/>
                      <w:u w:val="single"/>
                    </w:rPr>
                    <w:t xml:space="preserve">Newby</w:t>
                  </w:r>
                </w:p>
                <w:p>
                  <w:pPr>
                    <w:spacing w:before="0" w:after="0" w:line="322" w:lineRule="exact"/>
                    <w:ind w:left="4608" w:firstLine="0"/>
                    <w:jc w:val="left"/>
                  </w:pPr>
                  <w:r>
                    <w:t xml:space="preserve">Craig</w:t>
                  </w:r>
                  <w:r>
                    <w:t xml:space="preserve"> </w:t>
                  </w:r>
                  <w:r>
                    <w:t xml:space="preserve">A.</w:t>
                  </w:r>
                  <w:r>
                    <w:t xml:space="preserve"> </w:t>
                  </w:r>
                  <w:r>
                    <w:t xml:space="preserve">Newby</w:t>
                  </w:r>
                </w:p>
                <w:p>
                  <w:pPr>
                    <w:spacing w:before="168" w:after="0" w:line="322" w:lineRule="exact"/>
                    <w:ind w:left="4608" w:firstLine="0"/>
                    <w:jc w:val="left"/>
                  </w:pPr>
                  <w:r>
                    <w:t xml:space="preserve">(Bar</w:t>
                  </w:r>
                  <w:r>
                    <w:t xml:space="preserve"> </w:t>
                  </w:r>
                  <w:r>
                    <w:t xml:space="preserve">No.</w:t>
                  </w:r>
                  <w:r>
                    <w:t xml:space="preserve"> </w:t>
                  </w:r>
                  <w:r>
                    <w:t xml:space="preserve">8591)</w:t>
                  </w:r>
                </w:p>
                <w:p>
                  <w:pPr>
                    <w:spacing w:before="0" w:after="0" w:line="322" w:lineRule="exact"/>
                    <w:ind w:left="4608" w:firstLine="0"/>
                    <w:jc w:val="left"/>
                  </w:pPr>
                  <w:r>
                    <w:t xml:space="preserve">Deputy</w:t>
                  </w:r>
                  <w:r>
                    <w:t xml:space="preserve"> </w:t>
                  </w:r>
                  <w:r>
                    <w:t xml:space="preserve">Solicitor</w:t>
                  </w:r>
                  <w:r>
                    <w:t xml:space="preserve"> </w:t>
                  </w:r>
                  <w:r>
                    <w:t xml:space="preserve">General</w:t>
                  </w:r>
                </w:p>
                <w:p>
                  <w:pPr>
                    <w:spacing w:before="0" w:after="0" w:line="322" w:lineRule="exact"/>
                    <w:ind w:left="4608" w:firstLine="0"/>
                    <w:jc w:val="left"/>
                  </w:pPr>
                  <w:r>
                    <w:t xml:space="preserve">Laena</w:t>
                  </w:r>
                  <w:r>
                    <w:t xml:space="preserve"> </w:t>
                  </w:r>
                  <w:r>
                    <w:t xml:space="preserve">St-Jules</w:t>
                  </w:r>
                  <w:r>
                    <w:t xml:space="preserve"> </w:t>
                  </w:r>
                  <w:r>
                    <w:t xml:space="preserve">(Bar</w:t>
                  </w:r>
                  <w:r>
                    <w:t xml:space="preserve"> </w:t>
                  </w:r>
                  <w:r>
                    <w:t xml:space="preserve">No.</w:t>
                  </w:r>
                  <w:r>
                    <w:t xml:space="preserve"> </w:t>
                  </w:r>
                  <w:r>
                    <w:t xml:space="preserve">15156)</w:t>
                  </w:r>
                </w:p>
                <w:p>
                  <w:pPr>
                    <w:spacing w:before="0" w:after="0" w:line="322" w:lineRule="exact"/>
                    <w:ind w:left="4608" w:firstLine="0"/>
                    <w:jc w:val="left"/>
                  </w:pPr>
                  <w:r>
                    <w:t xml:space="preserve">Deputy</w:t>
                  </w:r>
                  <w:r>
                    <w:t xml:space="preserve"> </w:t>
                  </w:r>
                  <w:r>
                    <w:t xml:space="preserve">Attorney</w:t>
                  </w:r>
                  <w:r>
                    <w:t xml:space="preserve"> </w:t>
                  </w:r>
                  <w:r>
                    <w:t xml:space="preserve">General</w:t>
                  </w:r>
                </w:p>
              </w:tc>
            </w:tr>
          </w:tbl>
          <w:p>
            <w:pPr>
              <w:spacing w:before="0" w:after="0" w:line="1" w:lineRule="exact"/>
            </w:pPr>
          </w:p>
        </w:tc>
      </w:tr>
    </w:tbl>
    <w:p>
      <w:pPr>
        <w:pageBreakBefore/>
        <w:spacing w:before="0" w:after="0" w:line="1" w:lineRule="exact"/>
      </w:pPr>
    </w:p>
    <w:p>
      <w:pPr>
        <w:keepNext/>
        <w:keepLines/>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336"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RESPONDENT</w:t>
      </w:r>
      <w:r>
        <w:t xml:space="preserve"> </w:t>
      </w:r>
      <w:r>
        <w:t xml:space="preserve">BARBARA</w:t>
      </w:r>
      <w:r>
        <w:t xml:space="preserve"> </w:t>
      </w:r>
      <w:r>
        <w:t xml:space="preserve">CEGAVSKE’S</w:t>
      </w:r>
      <w:r>
        <w:t xml:space="preserve"> </w:t>
      </w:r>
      <w:r>
        <w:t xml:space="preserve">ANSWERING</w:t>
      </w:r>
      <w:r>
        <w:t xml:space="preserve"> </w:t>
      </w:r>
      <w:r>
        <w:t xml:space="preserve">BRIEF</w:t>
      </w:r>
      <w:r>
        <w:t xml:space="preserve"> </w:t>
      </w:r>
      <w:r>
        <w:t xml:space="preserve">in</w:t>
      </w:r>
      <w:r>
        <w:t xml:space="preserve"> </w:t>
      </w:r>
      <w:r>
        <w:t xml:space="preserve">accordance</w:t>
      </w:r>
      <w:r>
        <w:t xml:space="preserve"> </w:t>
      </w:r>
      <w:r>
        <w:t xml:space="preserve">with</w:t>
      </w:r>
      <w:r>
        <w:t xml:space="preserve"> </w:t>
      </w:r>
      <w:r>
        <w:t xml:space="preserve">this</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and</w:t>
      </w:r>
      <w:r>
        <w:t xml:space="preserve"> </w:t>
      </w:r>
      <w:r>
        <w:t xml:space="preserve">consistent</w:t>
      </w:r>
      <w:r>
        <w:t xml:space="preserve"> </w:t>
      </w:r>
      <w:r>
        <w:t xml:space="preserve">with</w:t>
      </w:r>
      <w:r>
        <w:t xml:space="preserve"> </w:t>
      </w:r>
      <w:r>
        <w:t xml:space="preserve">NEFCR</w:t>
      </w:r>
      <w:r>
        <w:t xml:space="preserve"> </w:t>
      </w:r>
      <w:r>
        <w:t xml:space="preserve">9</w:t>
      </w:r>
      <w:r>
        <w:t xml:space="preserve"> </w:t>
      </w:r>
      <w:r>
        <w:t xml:space="preserve">on</w:t>
      </w:r>
      <w:r>
        <w:t xml:space="preserve"> </w:t>
      </w:r>
      <w:r>
        <w:t xml:space="preserve">this</w:t>
      </w:r>
      <w:r>
        <w:t xml:space="preserve"> </w:t>
      </w:r>
      <w:r>
        <w:t xml:space="preserve">11th</w:t>
      </w:r>
      <w:r>
        <w:t xml:space="preserve"> </w:t>
      </w:r>
      <w:r>
        <w:t xml:space="preserve">day</w:t>
      </w:r>
      <w:r>
        <w:t xml:space="preserve"> </w:t>
      </w:r>
      <w:r>
        <w:t xml:space="preserve">of</w:t>
      </w:r>
      <w:r>
        <w:t xml:space="preserve"> </w:t>
      </w:r>
      <w:r>
        <w:t xml:space="preserve">October,</w:t>
      </w:r>
      <w:r>
        <w:t xml:space="preserve"> </w:t>
      </w:r>
      <w:r>
        <w:t xml:space="preserve">2022.</w:t>
      </w:r>
    </w:p>
    <w:p>
      <w:pPr>
        <w:spacing w:before="0" w:after="0" w:line="644" w:lineRule="exact"/>
        <w:ind w:left="0" w:firstLine="720"/>
        <w:jc w:val="left"/>
      </w:pPr>
      <w:r>
        <w:t xml:space="preserve">Participants</w:t>
      </w:r>
      <w:r>
        <w:t xml:space="preserve"> </w:t>
      </w:r>
      <w:r>
        <w:t xml:space="preserve">in</w:t>
      </w:r>
      <w:r>
        <w:t xml:space="preserve"> </w:t>
      </w:r>
      <w:r>
        <w:t xml:space="preserve">the</w:t>
      </w:r>
      <w:r>
        <w:t xml:space="preserve"> </w:t>
      </w:r>
      <w:r>
        <w:t xml:space="preserve">case</w:t>
      </w:r>
      <w:r>
        <w:t xml:space="preserve"> </w:t>
      </w:r>
      <w:r>
        <w:t xml:space="preserve">who</w:t>
      </w:r>
      <w:r>
        <w:t xml:space="preserve"> </w:t>
      </w:r>
      <w:r>
        <w:t xml:space="preserve">are</w:t>
      </w:r>
      <w:r>
        <w:t xml:space="preserve"> </w:t>
      </w:r>
      <w:r>
        <w:t xml:space="preserve">registered</w:t>
      </w:r>
      <w:r>
        <w:t xml:space="preserve"> </w:t>
      </w:r>
      <w:r>
        <w:t xml:space="preserve">with</w:t>
      </w:r>
      <w:r>
        <w:t xml:space="preserve"> </w:t>
      </w:r>
      <w:r>
        <w:t xml:space="preserve">this</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will</w:t>
      </w:r>
      <w:r>
        <w:t xml:space="preserve"> </w:t>
      </w:r>
      <w:r>
        <w:t xml:space="preserve">receive</w:t>
      </w:r>
      <w:r>
        <w:t xml:space="preserve"> </w:t>
      </w:r>
      <w:r>
        <w:t xml:space="preserve">notice</w:t>
      </w:r>
      <w:r>
        <w:t xml:space="preserve"> </w:t>
      </w:r>
      <w:r>
        <w:t xml:space="preserve">that</w:t>
      </w:r>
      <w:r>
        <w:t xml:space="preserve"> </w:t>
      </w:r>
      <w:r>
        <w:t xml:space="preserve">the</w:t>
      </w:r>
      <w:r>
        <w:t xml:space="preserve"> </w:t>
      </w:r>
      <w:r>
        <w:t xml:space="preserve">document</w:t>
      </w:r>
      <w:r>
        <w:t xml:space="preserve"> </w:t>
      </w:r>
      <w:r>
        <w:t xml:space="preserve">has</w:t>
      </w:r>
      <w:r>
        <w:t xml:space="preserve"> </w:t>
      </w:r>
      <w:r>
        <w:t xml:space="preserve">been</w:t>
      </w:r>
      <w:r>
        <w:t xml:space="preserve"> </w:t>
      </w:r>
      <w:r>
        <w:t xml:space="preserve">filed</w:t>
      </w:r>
      <w:r>
        <w:t xml:space="preserve"> </w:t>
      </w:r>
      <w:r>
        <w:t xml:space="preserve">and</w:t>
      </w:r>
      <w:r>
        <w:t xml:space="preserve"> </w:t>
      </w:r>
      <w:r>
        <w:t xml:space="preserve">is</w:t>
      </w:r>
      <w:r>
        <w:t xml:space="preserve"> </w:t>
      </w:r>
      <w:r>
        <w:t xml:space="preserve">available</w:t>
      </w:r>
      <w:r>
        <w:t xml:space="preserve"> </w:t>
      </w:r>
      <w:r>
        <w:t xml:space="preserve">on</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p>
    <w:p>
      <w:pPr>
        <w:spacing w:before="0" w:after="0" w:line="644" w:lineRule="exact"/>
        <w:ind w:left="0" w:firstLine="720"/>
        <w:jc w:val="left"/>
      </w:pPr>
      <w:r>
        <w:t xml:space="preserve">I</w:t>
      </w:r>
      <w:r>
        <w:t xml:space="preserve"> </w:t>
      </w:r>
      <w:r>
        <w:t xml:space="preserve">further</w:t>
      </w:r>
      <w:r>
        <w:t xml:space="preserve"> </w:t>
      </w:r>
      <w:r>
        <w:t xml:space="preserve">certify</w:t>
      </w:r>
      <w:r>
        <w:t xml:space="preserve"> </w:t>
      </w:r>
      <w:r>
        <w:t xml:space="preserve">that</w:t>
      </w:r>
      <w:r>
        <w:t xml:space="preserve"> </w:t>
      </w:r>
      <w:r>
        <w:t xml:space="preserve">any</w:t>
      </w:r>
      <w:r>
        <w:t xml:space="preserve"> </w:t>
      </w:r>
      <w:r>
        <w:t xml:space="preserve">of</w:t>
      </w:r>
      <w:r>
        <w:t xml:space="preserve"> </w:t>
      </w:r>
      <w:r>
        <w:t xml:space="preserve">the</w:t>
      </w:r>
      <w:r>
        <w:t xml:space="preserve"> </w:t>
      </w:r>
      <w:r>
        <w:t xml:space="preserve">participants</w:t>
      </w:r>
      <w:r>
        <w:t xml:space="preserve"> </w:t>
      </w:r>
      <w:r>
        <w:t xml:space="preserve">in</w:t>
      </w:r>
      <w:r>
        <w:t xml:space="preserve"> </w:t>
      </w:r>
      <w:r>
        <w:t xml:space="preserve">the</w:t>
      </w:r>
      <w:r>
        <w:t xml:space="preserve"> </w:t>
      </w:r>
      <w:r>
        <w:t xml:space="preserve">case</w:t>
      </w:r>
      <w:r>
        <w:t xml:space="preserve"> </w:t>
      </w:r>
      <w:r>
        <w:t xml:space="preserve">that</w:t>
      </w:r>
      <w:r>
        <w:t xml:space="preserve"> </w:t>
      </w:r>
      <w:r>
        <w:t xml:space="preserve">are</w:t>
      </w:r>
      <w:r>
        <w:t xml:space="preserve"> </w:t>
      </w:r>
      <w:r>
        <w:t xml:space="preserve">not</w:t>
      </w:r>
      <w:r>
        <w:t xml:space="preserve"> </w:t>
      </w:r>
      <w:r>
        <w:t xml:space="preserve">registered</w:t>
      </w:r>
      <w:r>
        <w:t xml:space="preserve"> </w:t>
      </w:r>
      <w:r>
        <w:t xml:space="preserve">as</w:t>
      </w:r>
      <w:r>
        <w:t xml:space="preserve"> </w:t>
      </w:r>
      <w:r>
        <w:t xml:space="preserve">electronic</w:t>
      </w:r>
      <w:r>
        <w:t xml:space="preserve"> </w:t>
      </w:r>
      <w:r>
        <w:t xml:space="preserve">users</w:t>
      </w:r>
      <w:r>
        <w:t xml:space="preserve"> </w:t>
      </w:r>
      <w:r>
        <w:t xml:space="preserve">will</w:t>
      </w:r>
      <w:r>
        <w:t xml:space="preserve"> </w:t>
      </w:r>
      <w:r>
        <w:t xml:space="preserve">be</w:t>
      </w:r>
      <w:r>
        <w:t xml:space="preserve"> </w:t>
      </w:r>
      <w:r>
        <w:t xml:space="preserve">mailed</w:t>
      </w:r>
      <w:r>
        <w:t xml:space="preserve"> </w:t>
      </w:r>
      <w:r>
        <w:t xml:space="preserve">the</w:t>
      </w:r>
      <w:r>
        <w:t xml:space="preserve"> </w:t>
      </w:r>
      <w:r>
        <w:t xml:space="preserve">foregoing</w:t>
      </w:r>
      <w:r>
        <w:t xml:space="preserve"> </w:t>
      </w:r>
      <w:r>
        <w:t xml:space="preserve">document</w:t>
      </w:r>
      <w:r>
        <w:t xml:space="preserve"> </w:t>
      </w:r>
      <w:r>
        <w:t xml:space="preserve">by</w:t>
      </w:r>
      <w:r>
        <w:t xml:space="preserve"> </w:t>
      </w:r>
      <w:r>
        <w:t xml:space="preserve">First-Class</w:t>
      </w:r>
      <w:r>
        <w:t xml:space="preserve"> </w:t>
      </w:r>
      <w:r>
        <w:t xml:space="preserve">Mail,</w:t>
      </w:r>
      <w:r>
        <w:t xml:space="preserve"> </w:t>
      </w:r>
      <w:r>
        <w:t xml:space="preserve">postage</w:t>
      </w:r>
      <w:r>
        <w:t xml:space="preserve"> </w:t>
      </w:r>
      <w:r>
        <w:t xml:space="preserve">prepaid.</w:t>
      </w:r>
    </w:p>
    <w:p>
      <w:pPr>
        <w:spacing w:before="432" w:after="0" w:line="322" w:lineRule="exact"/>
        <w:ind w:left="4608" w:firstLine="0"/>
        <w:jc w:val="left"/>
      </w:pPr>
      <w:r>
        <w:rPr>
          <w:u w:val="single"/>
        </w:rPr>
        <w:t xml:space="preserve">/s/</w:t>
      </w:r>
      <w:r>
        <w:rPr>
          <w:u w:val="single"/>
        </w:rPr>
        <w:t xml:space="preserve"> </w:t>
      </w:r>
      <w:r>
        <w:rPr>
          <w:i/>
          <w:iCs/>
          <w:u w:val="single"/>
        </w:rPr>
        <w:t xml:space="preserve">Lucas</w:t>
      </w:r>
      <w:r>
        <w:rPr>
          <w:i/>
          <w:iCs/>
          <w:u w:val="single"/>
        </w:rPr>
        <w:t xml:space="preserve"> </w:t>
      </w:r>
      <w:r>
        <w:rPr>
          <w:i/>
          <w:iCs/>
          <w:u w:val="single"/>
        </w:rPr>
        <w:t xml:space="preserve">Combs</w:t>
      </w:r>
    </w:p>
    <w:p>
      <w:pPr>
        <w:spacing w:before="0" w:after="0" w:line="322" w:lineRule="exact"/>
        <w:ind w:left="4608" w:firstLine="0"/>
        <w:jc w:val="left"/>
      </w:pPr>
      <w:r>
        <w:t xml:space="preserve">Lucas</w:t>
      </w:r>
      <w:r>
        <w:t xml:space="preserve"> </w:t>
      </w:r>
      <w:r>
        <w:t xml:space="preserve">Combs</w:t>
      </w:r>
    </w:p>
    <w:p>
      <w:pPr>
        <w:spacing w:before="0" w:after="0" w:line="322" w:lineRule="exact"/>
        <w:ind w:left="4608" w:firstLine="0"/>
        <w:jc w:val="left"/>
      </w:pPr>
      <w:r>
        <w:t xml:space="preserve">An</w:t>
      </w:r>
      <w:r>
        <w:t xml:space="preserve"> </w:t>
      </w:r>
      <w:r>
        <w:t xml:space="preserve">employee</w:t>
      </w:r>
      <w:r>
        <w:t xml:space="preserve"> </w:t>
      </w:r>
      <w:r>
        <w:t xml:space="preserve">of</w:t>
      </w:r>
      <w:r>
        <w:t xml:space="preserve"> </w:t>
      </w:r>
      <w:r>
        <w:t xml:space="preserve">the</w:t>
      </w:r>
    </w:p>
    <w:p>
      <w:pPr>
        <w:spacing w:before="0" w:after="0" w:line="322" w:lineRule="exact"/>
        <w:ind w:left="4608"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JA049</w:t>
      </w:r>
      <w:r>
        <w:noBreakHyphen/>
      </w:r>
      <w:r>
        <w:t xml:space="preserve">62 (hereinafter referred to as the</w:t>
      </w:r>
      <w:r>
        <w:t xml:space="preserve"> </w:t>
      </w:r>
      <w:r>
        <w:t xml:space="preserve">“Regulation”</w:t>
      </w:r>
      <w:r>
        <w:t xml:space="preserve">).</w:t>
      </w:r>
    </w:p>
  </w:footnote>
  <w:footnote w:id="10">
    <w:p>
      <w:pPr>
        <w:pStyle w:val="FootnoteText"/>
      </w:pPr>
      <w:r>
        <w:rPr>
          <w:rStyle w:val="FootnoteReference"/>
        </w:rPr>
        <w:footnoteRef/>
      </w:r>
      <w:r>
        <w:t xml:space="preserve"> </w:t>
      </w:r>
      <w:r>
        <w:t xml:space="preserve">JA050</w:t>
      </w:r>
      <w:r>
        <w:noBreakHyphen/>
      </w:r>
      <w:r>
        <w:t xml:space="preserve">52 at § 3; JA056 at §7(3).</w:t>
      </w:r>
    </w:p>
  </w:footnote>
  <w:footnote w:id="11">
    <w:p>
      <w:pPr>
        <w:pStyle w:val="FootnoteText"/>
      </w:pPr>
      <w:r>
        <w:rPr>
          <w:rStyle w:val="FootnoteReference"/>
        </w:rPr>
        <w:footnoteRef/>
      </w:r>
      <w:r>
        <w:t xml:space="preserve"> </w:t>
      </w:r>
      <w:r>
        <w:t xml:space="preserve">See NRS 233B.063(3).</w:t>
      </w:r>
    </w:p>
  </w:footnote>
  <w:footnote w:id="12">
    <w:p>
      <w:pPr>
        <w:pStyle w:val="FootnoteText"/>
      </w:pPr>
      <w:r>
        <w:rPr>
          <w:rStyle w:val="FootnoteReference"/>
        </w:rPr>
        <w:footnoteRef/>
      </w:r>
      <w:r>
        <w:t xml:space="preserve"> </w:t>
      </w:r>
      <w:r>
        <w:t xml:space="preserve">JA014; JA033</w:t>
      </w:r>
      <w:r>
        <w:noBreakHyphen/>
      </w:r>
      <w:r>
        <w:t xml:space="preserve">45.</w:t>
      </w:r>
    </w:p>
  </w:footnote>
  <w:footnote w:id="13">
    <w:p>
      <w:pPr>
        <w:pStyle w:val="FootnoteText"/>
      </w:pPr>
      <w:r>
        <w:rPr>
          <w:rStyle w:val="FootnoteReference"/>
        </w:rPr>
        <w:footnoteRef/>
      </w:r>
      <w:r>
        <w:t xml:space="preserve"> </w:t>
      </w:r>
      <w:r>
        <w:t xml:space="preserve">JA095</w:t>
      </w:r>
      <w:r>
        <w:noBreakHyphen/>
      </w:r>
      <w:r>
        <w:t xml:space="preserve">99.</w:t>
      </w:r>
    </w:p>
  </w:footnote>
  <w:footnote w:id="14">
    <w:p>
      <w:pPr>
        <w:pStyle w:val="FootnoteText"/>
      </w:pPr>
      <w:r>
        <w:rPr>
          <w:rStyle w:val="FootnoteReference"/>
        </w:rPr>
        <w:footnoteRef/>
      </w:r>
      <w:r>
        <w:t xml:space="preserve"> </w:t>
      </w:r>
      <w:r>
        <w:t xml:space="preserve">NRS 293B.050.</w:t>
      </w:r>
    </w:p>
  </w:footnote>
  <w:footnote w:id="15">
    <w:p>
      <w:pPr>
        <w:pStyle w:val="FootnoteText"/>
      </w:pPr>
      <w:r>
        <w:rPr>
          <w:rStyle w:val="FootnoteReference"/>
        </w:rPr>
        <w:footnoteRef/>
      </w:r>
      <w:r>
        <w:t xml:space="preserve"> </w:t>
      </w:r>
      <w:r>
        <w:t xml:space="preserve">NRS 293B.033.</w:t>
      </w:r>
    </w:p>
  </w:footnote>
  <w:footnote w:id="16">
    <w:p>
      <w:pPr>
        <w:pStyle w:val="FootnoteText"/>
      </w:pPr>
      <w:r>
        <w:rPr>
          <w:rStyle w:val="FootnoteReference"/>
        </w:rPr>
        <w:footnoteRef/>
      </w:r>
      <w:r>
        <w:t xml:space="preserve"> </w:t>
      </w:r>
      <w:r>
        <w:t xml:space="preserve">NRS 293B.050</w:t>
      </w:r>
      <w:r>
        <w:t xml:space="preserve"> </w:t>
      </w:r>
      <w:r>
        <w:t xml:space="preserve">(emphasis added).</w:t>
      </w:r>
    </w:p>
  </w:footnote>
  <w:footnote w:id="17">
    <w:p>
      <w:pPr>
        <w:pStyle w:val="FootnoteText"/>
      </w:pPr>
      <w:r>
        <w:rPr>
          <w:rStyle w:val="FootnoteReference"/>
        </w:rPr>
        <w:footnoteRef/>
      </w:r>
      <w:r>
        <w:t xml:space="preserve"> </w:t>
      </w:r>
      <w:r>
        <w:t xml:space="preserve">See JA085 at ¶ 2.</w:t>
      </w:r>
    </w:p>
  </w:footnote>
  <w:footnote w:id="18">
    <w:p>
      <w:pPr>
        <w:pStyle w:val="FootnoteText"/>
      </w:pPr>
      <w:r>
        <w:rPr>
          <w:rStyle w:val="FootnoteReference"/>
        </w:rPr>
        <w:footnoteRef/>
      </w:r>
      <w:r>
        <w:t xml:space="preserve"> </w:t>
      </w:r>
      <w:r>
        <w:rPr>
          <w:i/>
          <w:iCs/>
        </w:rPr>
        <w:t xml:space="preserve">Id.</w:t>
      </w:r>
      <w:r>
        <w:t xml:space="preserve"> </w:t>
      </w:r>
      <w:r>
        <w:t xml:space="preserve">at ¶ 3.</w:t>
      </w:r>
    </w:p>
  </w:footnote>
  <w:footnote w:id="19">
    <w:p>
      <w:pPr>
        <w:pStyle w:val="FootnoteText"/>
      </w:pPr>
      <w:r>
        <w:rPr>
          <w:rStyle w:val="FootnoteReference"/>
        </w:rPr>
        <w:footnoteRef/>
      </w:r>
      <w:r>
        <w:t xml:space="preserve"> </w:t>
      </w:r>
      <w:r>
        <w:rPr>
          <w:i/>
          <w:iCs/>
        </w:rPr>
        <w:t xml:space="preserve">Id.</w:t>
      </w:r>
      <w:r>
        <w:t xml:space="preserve"> </w:t>
      </w:r>
      <w:r>
        <w:t xml:space="preserve">at ¶ 4.</w:t>
      </w:r>
    </w:p>
  </w:footnote>
  <w:footnote w:id="20">
    <w:p>
      <w:pPr>
        <w:pStyle w:val="FootnoteText"/>
      </w:pPr>
      <w:r>
        <w:rPr>
          <w:rStyle w:val="FootnoteReference"/>
        </w:rPr>
        <w:footnoteRef/>
      </w:r>
      <w:r>
        <w:t xml:space="preserve"> </w:t>
      </w:r>
      <w:r>
        <w:t xml:space="preserve">PLAN’s Opening Brief references a potential effort by Nye County to implement a parallel tabulation process. Opening Br. at 6. Absent compliance with the temporary regulation at issue, only the mechanical voting system tabulation determines the election outcome.</w:t>
      </w:r>
    </w:p>
  </w:footnote>
  <w:footnote w:id="21">
    <w:p>
      <w:pPr>
        <w:pStyle w:val="FootnoteText"/>
      </w:pPr>
      <w:r>
        <w:rPr>
          <w:rStyle w:val="FootnoteReference"/>
        </w:rPr>
        <w:footnoteRef/>
      </w:r>
      <w:r>
        <w:t xml:space="preserve"> </w:t>
      </w:r>
      <w:r>
        <w:t xml:space="preserve">See JA049</w:t>
      </w:r>
      <w:r>
        <w:noBreakHyphen/>
      </w:r>
      <w:r>
        <w:t xml:space="preserve">62.</w:t>
      </w:r>
    </w:p>
  </w:footnote>
  <w:footnote w:id="22">
    <w:p>
      <w:pPr>
        <w:pStyle w:val="FootnoteText"/>
      </w:pPr>
      <w:r>
        <w:rPr>
          <w:rStyle w:val="FootnoteReference"/>
        </w:rPr>
        <w:footnoteRef/>
      </w:r>
      <w:r>
        <w:t xml:space="preserve"> </w:t>
      </w:r>
      <w:r>
        <w:rPr>
          <w:i/>
          <w:iCs/>
        </w:rPr>
        <w:t xml:space="preserve">Id.</w:t>
      </w:r>
      <w:r>
        <w:t xml:space="preserve"> </w:t>
      </w:r>
      <w:r>
        <w:t xml:space="preserve">at § 7(3).</w:t>
      </w:r>
    </w:p>
  </w:footnote>
  <w:footnote w:id="23">
    <w:p>
      <w:pPr>
        <w:pStyle w:val="FootnoteText"/>
      </w:pPr>
      <w:r>
        <w:rPr>
          <w:rStyle w:val="FootnoteReference"/>
        </w:rPr>
        <w:footnoteRef/>
      </w:r>
      <w:r>
        <w:t xml:space="preserve"> </w:t>
      </w:r>
      <w:r>
        <w:rPr>
          <w:i/>
          <w:iCs/>
        </w:rPr>
        <w:t xml:space="preserve">Id.</w:t>
      </w:r>
      <w:r>
        <w:t xml:space="preserve"> </w:t>
      </w:r>
      <w:r>
        <w:t xml:space="preserve">at §§ 4, 5, 11, 12.</w:t>
      </w:r>
    </w:p>
  </w:footnote>
  <w:footnote w:id="24">
    <w:p>
      <w:pPr>
        <w:pStyle w:val="FootnoteText"/>
      </w:pPr>
      <w:r>
        <w:rPr>
          <w:rStyle w:val="FootnoteReference"/>
        </w:rPr>
        <w:footnoteRef/>
      </w:r>
      <w:r>
        <w:t xml:space="preserve"> </w:t>
      </w:r>
      <w:r>
        <w:rPr>
          <w:i/>
          <w:iCs/>
        </w:rPr>
        <w:t xml:space="preserve">Id.</w:t>
      </w:r>
      <w:r>
        <w:t xml:space="preserve"> </w:t>
      </w:r>
      <w:r>
        <w:t xml:space="preserve">at § 3.</w:t>
      </w:r>
    </w:p>
  </w:footnote>
  <w:footnote w:id="25">
    <w:p>
      <w:pPr>
        <w:pStyle w:val="FootnoteText"/>
      </w:pPr>
      <w:r>
        <w:rPr>
          <w:rStyle w:val="FootnoteReference"/>
        </w:rPr>
        <w:footnoteRef/>
      </w:r>
      <w:r>
        <w:t xml:space="preserve"> </w:t>
      </w:r>
      <w:r>
        <w:rPr>
          <w:i/>
          <w:iCs/>
        </w:rPr>
        <w:t xml:space="preserve">Id.</w:t>
      </w:r>
    </w:p>
  </w:footnote>
  <w:footnote w:id="26">
    <w:p>
      <w:pPr>
        <w:pStyle w:val="FootnoteText"/>
      </w:pPr>
      <w:r>
        <w:rPr>
          <w:rStyle w:val="FootnoteReference"/>
        </w:rPr>
        <w:footnoteRef/>
      </w:r>
      <w:r>
        <w:t xml:space="preserve"> </w:t>
      </w:r>
      <w:r>
        <w:t xml:space="preserve">Pub. L.</w:t>
      </w:r>
      <w:r>
        <w:t xml:space="preserve"> </w:t>
      </w:r>
      <w:r>
        <w:t xml:space="preserve">107–252, 116 Stat. 1706 (codified at 52 U.S.C. § 20901,</w:t>
      </w:r>
      <w:r>
        <w:t xml:space="preserve"> </w:t>
      </w:r>
      <w:r>
        <w:rPr>
          <w:i/>
          <w:iCs/>
        </w:rPr>
        <w:t xml:space="preserve">et seq.</w:t>
      </w:r>
      <w:r>
        <w:t xml:space="preserve">).</w:t>
      </w:r>
    </w:p>
  </w:footnote>
  <w:footnote w:id="27">
    <w:p>
      <w:pPr>
        <w:pStyle w:val="FootnoteText"/>
      </w:pPr>
      <w:r>
        <w:rPr>
          <w:rStyle w:val="FootnoteReference"/>
        </w:rPr>
        <w:footnoteRef/>
      </w:r>
      <w:r>
        <w:t xml:space="preserve"> </w:t>
      </w:r>
      <w:r>
        <w:t xml:space="preserve">52 U.S.C. § 21081(a)⁠(1)⁠(A).</w:t>
      </w:r>
    </w:p>
  </w:footnote>
  <w:footnote w:id="28">
    <w:p>
      <w:pPr>
        <w:pStyle w:val="FootnoteText"/>
      </w:pPr>
      <w:r>
        <w:rPr>
          <w:rStyle w:val="FootnoteReference"/>
        </w:rPr>
        <w:footnoteRef/>
      </w:r>
      <w:r>
        <w:t xml:space="preserve"> </w:t>
      </w:r>
      <w:r>
        <w:t xml:space="preserve">52 U.S.C. § 21081(a)⁠(1)⁠(B).</w:t>
      </w:r>
    </w:p>
  </w:footnote>
  <w:footnote w:id="29">
    <w:p>
      <w:pPr>
        <w:pStyle w:val="FootnoteText"/>
      </w:pPr>
      <w:r>
        <w:rPr>
          <w:rStyle w:val="FootnoteReference"/>
        </w:rPr>
        <w:footnoteRef/>
      </w:r>
      <w:r>
        <w:t xml:space="preserve"> </w:t>
      </w:r>
      <w:r>
        <w:t xml:space="preserve">52 U.S.C. § 21081(c)⁠(2).</w:t>
      </w:r>
    </w:p>
  </w:footnote>
  <w:footnote w:id="30">
    <w:p>
      <w:pPr>
        <w:pStyle w:val="FootnoteText"/>
      </w:pPr>
      <w:r>
        <w:rPr>
          <w:rStyle w:val="FootnoteReference"/>
        </w:rPr>
        <w:footnoteRef/>
      </w:r>
      <w:r>
        <w:t xml:space="preserve"> </w:t>
      </w:r>
      <w:r>
        <w:t xml:space="preserve">52 U.S.C. § 21004(a)⁠(4).</w:t>
      </w:r>
    </w:p>
  </w:footnote>
  <w:footnote w:id="31">
    <w:p>
      <w:pPr>
        <w:pStyle w:val="FootnoteText"/>
      </w:pPr>
      <w:r>
        <w:rPr>
          <w:rStyle w:val="FootnoteReference"/>
        </w:rPr>
        <w:footnoteRef/>
      </w:r>
      <w:r>
        <w:t xml:space="preserve"> </w:t>
      </w:r>
      <w:r>
        <w:rPr>
          <w:i/>
          <w:iCs/>
        </w:rPr>
        <w:t xml:space="preserve">Compare</w:t>
      </w:r>
      <w:r>
        <w:t xml:space="preserve"> </w:t>
      </w:r>
      <w:r>
        <w:t xml:space="preserve">NRS 293.2696(5)</w:t>
      </w:r>
      <w:r>
        <w:t xml:space="preserve"> </w:t>
      </w:r>
      <w:r>
        <w:t xml:space="preserve">with 52 U.S.C. § 21081(a)⁠(5).</w:t>
      </w:r>
    </w:p>
  </w:footnote>
  <w:footnote w:id="32">
    <w:p>
      <w:pPr>
        <w:pStyle w:val="FootnoteText"/>
      </w:pPr>
      <w:r>
        <w:rPr>
          <w:rStyle w:val="FootnoteReference"/>
        </w:rPr>
        <w:footnoteRef/>
      </w:r>
      <w:r>
        <w:t xml:space="preserve"> </w:t>
      </w:r>
      <w:r>
        <w:t xml:space="preserve">52 U.S.C. § 21081(b).</w:t>
      </w:r>
    </w:p>
  </w:footnote>
  <w:footnote w:id="33">
    <w:p>
      <w:pPr>
        <w:pStyle w:val="FootnoteText"/>
      </w:pPr>
      <w:r>
        <w:rPr>
          <w:rStyle w:val="FootnoteReference"/>
        </w:rPr>
        <w:footnoteRef/>
      </w:r>
      <w:r>
        <w:t xml:space="preserve"> </w:t>
      </w:r>
      <w:r>
        <w:t xml:space="preserve">Federal Election Commission, Voting System Standards Volume I</w:t>
      </w:r>
      <w:r>
        <w:t xml:space="preserve"> </w:t>
      </w:r>
      <w:r>
        <w:t xml:space="preserve">– Performance Standards (April 2002), at 10</w:t>
      </w:r>
      <w:r>
        <w:noBreakHyphen/>
      </w:r>
      <w:r>
        <w:t xml:space="preserve">11, available at https://​www.​eac.​gov/​sites/​default/​files/​eac_assets/​1/​28/​Voting_System_Standards_Volume_I.​pdf (last visited Oct. 6, 2022).</w:t>
      </w:r>
    </w:p>
  </w:footnote>
  <w:footnote w:id="34">
    <w:p>
      <w:pPr>
        <w:pStyle w:val="FootnoteText"/>
      </w:pPr>
      <w:r>
        <w:rPr>
          <w:rStyle w:val="FootnoteReference"/>
        </w:rPr>
        <w:footnoteRef/>
      </w:r>
      <w:r>
        <w:t xml:space="preserve"> </w:t>
      </w:r>
      <w:r>
        <w:t xml:space="preserve">Election Assistance Commission, Voluntary Voting System Guidelines</w:t>
      </w:r>
      <w:r>
        <w:t xml:space="preserve"> </w:t>
      </w:r>
      <w:r>
        <w:t xml:space="preserve">(2015), at 6</w:t>
      </w:r>
      <w:r>
        <w:noBreakHyphen/>
      </w:r>
      <w:r>
        <w:t xml:space="preserve">7, available at https://​www.​eac.​gov/​sites/​default/​files/​eac_assets/​1/​28/​VVSG.​1.​1.​VOL.​1.​FINAL1.​pdf (last visited Oct. 6, 2022).</w:t>
      </w:r>
    </w:p>
  </w:footnote>
  <w:footnote w:id="35">
    <w:p>
      <w:pPr>
        <w:pStyle w:val="FootnoteText"/>
      </w:pPr>
      <w:r>
        <w:rPr>
          <w:rStyle w:val="FootnoteReference"/>
        </w:rPr>
        <w:footnoteRef/>
      </w:r>
      <w:r>
        <w:t xml:space="preserve"> </w:t>
      </w:r>
      <w:r>
        <w:rPr>
          <w:i/>
          <w:iCs/>
        </w:rPr>
        <w:t xml:space="preserve">Attorney General v. NOS Commc’ns</w:t>
      </w:r>
      <w:r>
        <w:t xml:space="preserve">, 120 Nev. 65, 67, 84 P.3d 1052, 1053 (2004).</w:t>
      </w:r>
    </w:p>
  </w:footnote>
  <w:footnote w:id="36">
    <w:p>
      <w:pPr>
        <w:pStyle w:val="FootnoteText"/>
      </w:pPr>
      <w:r>
        <w:rPr>
          <w:rStyle w:val="FootnoteReference"/>
        </w:rPr>
        <w:footnoteRef/>
      </w:r>
      <w:r>
        <w:t xml:space="preserve"> </w:t>
      </w:r>
      <w:r>
        <w:rPr>
          <w:i/>
          <w:iCs/>
        </w:rPr>
        <w:t xml:space="preserve">Dep’t of Conservation &amp; Nat. Res., Div. of Water Res. v. Foley</w:t>
      </w:r>
      <w:r>
        <w:t xml:space="preserve">, 121 Nev. 77, 80, 109 P.3d 760, 762 (2005).</w:t>
      </w:r>
    </w:p>
  </w:footnote>
  <w:footnote w:id="37">
    <w:p>
      <w:pPr>
        <w:pStyle w:val="FootnoteText"/>
      </w:pPr>
      <w:r>
        <w:rPr>
          <w:rStyle w:val="FootnoteReference"/>
        </w:rPr>
        <w:footnoteRef/>
      </w:r>
      <w:r>
        <w:t xml:space="preserve"> </w:t>
      </w:r>
      <w:r>
        <w:rPr>
          <w:i/>
          <w:iCs/>
        </w:rPr>
        <w:t xml:space="preserve">Winter v.</w:t>
      </w:r>
      <w:r>
        <w:rPr>
          <w:i/>
          <w:iCs/>
        </w:rPr>
        <w:t xml:space="preserve"> </w:t>
      </w:r>
      <w:r>
        <w:rPr>
          <w:i/>
          <w:iCs/>
        </w:rPr>
        <w:t xml:space="preserve">Nat. Res. Def. Council, Inc.</w:t>
      </w:r>
      <w:r>
        <w:t xml:space="preserve">, 555 U.S. 7, 22 (2008) (emphasis added);</w:t>
      </w:r>
      <w:r>
        <w:t xml:space="preserve"> </w:t>
      </w:r>
      <w:r>
        <w:rPr>
          <w:i/>
          <w:iCs/>
        </w:rPr>
        <w:t xml:space="preserve">see also</w:t>
      </w:r>
      <w:r>
        <w:t xml:space="preserve"> </w:t>
      </w:r>
      <w:r>
        <w:t xml:space="preserve">NRS 33.010(1).</w:t>
      </w:r>
    </w:p>
  </w:footnote>
  <w:footnote w:id="38">
    <w:p>
      <w:pPr>
        <w:pStyle w:val="FootnoteText"/>
      </w:pPr>
      <w:r>
        <w:rPr>
          <w:rStyle w:val="FootnoteReference"/>
        </w:rPr>
        <w:footnoteRef/>
      </w:r>
      <w:r>
        <w:t xml:space="preserve"> </w:t>
      </w:r>
      <w:r>
        <w:rPr>
          <w:i/>
          <w:iCs/>
        </w:rPr>
        <w:t xml:space="preserve">Clark Cty. Sch. Dist. v. Buchanan</w:t>
      </w:r>
      <w:r>
        <w:t xml:space="preserve">, 112 Nev. 1146, 1150, 924 P.2d 716, 719 (1996).</w:t>
      </w:r>
    </w:p>
  </w:footnote>
  <w:footnote w:id="39">
    <w:p>
      <w:pPr>
        <w:pStyle w:val="FootnoteText"/>
      </w:pPr>
      <w:r>
        <w:rPr>
          <w:rStyle w:val="FootnoteReference"/>
        </w:rPr>
        <w:footnoteRef/>
      </w:r>
      <w:r>
        <w:t xml:space="preserve"> </w:t>
      </w:r>
      <w:r>
        <w:rPr>
          <w:i/>
          <w:iCs/>
        </w:rPr>
        <w:t xml:space="preserve">Univ. &amp; Cmty. Coll. Sys. v. Nevadans for Sound</w:t>
      </w:r>
      <w:r>
        <w:rPr>
          <w:i/>
          <w:iCs/>
        </w:rPr>
        <w:t xml:space="preserve"> </w:t>
      </w:r>
      <w:r>
        <w:rPr>
          <w:i/>
          <w:iCs/>
        </w:rPr>
        <w:t xml:space="preserve">Gov’t</w:t>
      </w:r>
      <w:r>
        <w:t xml:space="preserve">, 120 Nev. 712, 721, 100 P.3d 179, 187 (2004).</w:t>
      </w:r>
    </w:p>
  </w:footnote>
  <w:footnote w:id="40">
    <w:p>
      <w:pPr>
        <w:pStyle w:val="FootnoteText"/>
      </w:pPr>
      <w:r>
        <w:rPr>
          <w:rStyle w:val="FootnoteReference"/>
        </w:rPr>
        <w:footnoteRef/>
      </w:r>
      <w:r>
        <w:t xml:space="preserve"> </w:t>
      </w:r>
      <w:r>
        <w:rPr>
          <w:i/>
          <w:iCs/>
        </w:rPr>
        <w:t xml:space="preserve">Nken</w:t>
      </w:r>
      <w:r>
        <w:rPr>
          <w:i/>
          <w:iCs/>
        </w:rPr>
        <w:t xml:space="preserve"> </w:t>
      </w:r>
      <w:r>
        <w:rPr>
          <w:i/>
          <w:iCs/>
        </w:rPr>
        <w:t xml:space="preserve">v. Holder</w:t>
      </w:r>
      <w:r>
        <w:t xml:space="preserve">, 556 U.S. 418, 435 (2009).</w:t>
      </w:r>
    </w:p>
  </w:footnote>
  <w:footnote w:id="41">
    <w:p>
      <w:pPr>
        <w:pStyle w:val="FootnoteText"/>
      </w:pPr>
      <w:r>
        <w:rPr>
          <w:rStyle w:val="FootnoteReference"/>
        </w:rPr>
        <w:footnoteRef/>
      </w:r>
      <w:r>
        <w:t xml:space="preserve"> </w:t>
      </w:r>
      <w:r>
        <w:rPr>
          <w:i/>
          <w:iCs/>
        </w:rPr>
        <w:t xml:space="preserve">Leonard v. Stoebling</w:t>
      </w:r>
      <w:r>
        <w:t xml:space="preserve">, 102 Nev. 543, 550–51, 728 P.2d 1358, 1363 (1986).</w:t>
      </w:r>
    </w:p>
  </w:footnote>
  <w:footnote w:id="42">
    <w:p>
      <w:pPr>
        <w:pStyle w:val="FootnoteText"/>
      </w:pPr>
      <w:r>
        <w:rPr>
          <w:rStyle w:val="FootnoteReference"/>
        </w:rPr>
        <w:footnoteRef/>
      </w:r>
      <w:r>
        <w:t xml:space="preserve"> </w:t>
      </w:r>
      <w:r>
        <w:rPr>
          <w:i/>
          <w:iCs/>
        </w:rPr>
        <w:t xml:space="preserve">Id.</w:t>
      </w:r>
    </w:p>
  </w:footnote>
  <w:footnote w:id="43">
    <w:p>
      <w:pPr>
        <w:pStyle w:val="FootnoteText"/>
      </w:pPr>
      <w:r>
        <w:rPr>
          <w:rStyle w:val="FootnoteReference"/>
        </w:rPr>
        <w:footnoteRef/>
      </w:r>
      <w:r>
        <w:t xml:space="preserve"> </w:t>
      </w:r>
      <w:r>
        <w:rPr>
          <w:i/>
          <w:iCs/>
        </w:rPr>
        <w:t xml:space="preserve">See</w:t>
      </w:r>
      <w:r>
        <w:t xml:space="preserve"> </w:t>
      </w:r>
      <w:r>
        <w:t xml:space="preserve">NRS 233B.063(3).</w:t>
      </w:r>
    </w:p>
  </w:footnote>
  <w:footnote w:id="44">
    <w:p>
      <w:pPr>
        <w:pStyle w:val="FootnoteText"/>
      </w:pPr>
      <w:r>
        <w:rPr>
          <w:rStyle w:val="FootnoteReference"/>
        </w:rPr>
        <w:footnoteRef/>
      </w:r>
      <w:r>
        <w:t xml:space="preserve"> </w:t>
      </w:r>
      <w:r>
        <w:t xml:space="preserve">After the November 2022 election, the next elections will be in 2024. NRS 293.175(1)</w:t>
      </w:r>
      <w:r>
        <w:t xml:space="preserve"> </w:t>
      </w:r>
      <w:r>
        <w:t xml:space="preserve">(primary elections held in even-numbered years); NRS 293.12755</w:t>
      </w:r>
      <w:r>
        <w:t xml:space="preserve"> </w:t>
      </w:r>
      <w:r>
        <w:t xml:space="preserve">(general elections held in even-numbered years).</w:t>
      </w:r>
    </w:p>
  </w:footnote>
  <w:footnote w:id="45">
    <w:p>
      <w:pPr>
        <w:pStyle w:val="FootnoteText"/>
      </w:pPr>
      <w:r>
        <w:rPr>
          <w:rStyle w:val="FootnoteReference"/>
        </w:rPr>
        <w:footnoteRef/>
      </w:r>
      <w:r>
        <w:t xml:space="preserve"> </w:t>
      </w:r>
      <w:r>
        <w:t xml:space="preserve">JA050</w:t>
      </w:r>
      <w:r>
        <w:noBreakHyphen/>
      </w:r>
      <w:r>
        <w:t xml:space="preserve">52 at § 3; JA056 at §7(3).</w:t>
      </w:r>
    </w:p>
  </w:footnote>
  <w:footnote w:id="46">
    <w:p>
      <w:pPr>
        <w:pStyle w:val="FootnoteText"/>
      </w:pPr>
      <w:r>
        <w:rPr>
          <w:rStyle w:val="FootnoteReference"/>
        </w:rPr>
        <w:footnoteRef/>
      </w:r>
      <w:r>
        <w:t xml:space="preserve"> </w:t>
      </w:r>
      <w:r>
        <w:t xml:space="preserve">Opening Br. at 6.</w:t>
      </w:r>
    </w:p>
  </w:footnote>
  <w:footnote w:id="47">
    <w:p>
      <w:pPr>
        <w:pStyle w:val="FootnoteText"/>
      </w:pPr>
      <w:r>
        <w:rPr>
          <w:rStyle w:val="FootnoteReference"/>
        </w:rPr>
        <w:footnoteRef/>
      </w:r>
      <w:r>
        <w:t xml:space="preserve"> </w:t>
      </w:r>
      <w:r>
        <w:rPr>
          <w:i/>
          <w:iCs/>
        </w:rPr>
        <w:t xml:space="preserve">Nevada Pol’y Rsch. Inst., Inc. v. Cannizzaro</w:t>
      </w:r>
      <w:r>
        <w:t xml:space="preserve">, 138 Nev. Adv. Op. 28, 507 P.3d 1203, 1207 (2022).</w:t>
      </w:r>
    </w:p>
  </w:footnote>
  <w:footnote w:id="48">
    <w:p>
      <w:pPr>
        <w:pStyle w:val="FootnoteText"/>
      </w:pPr>
      <w:r>
        <w:rPr>
          <w:rStyle w:val="FootnoteReference"/>
        </w:rPr>
        <w:footnoteRef/>
      </w:r>
      <w:r>
        <w:t xml:space="preserve"> </w:t>
      </w:r>
      <w:r>
        <w:rPr>
          <w:i/>
          <w:iCs/>
        </w:rPr>
        <w:t xml:space="preserve">Personhood Nevada v. Bristol</w:t>
      </w:r>
      <w:r>
        <w:t xml:space="preserve">, 126 Nev. 599, 602, 245 P.3d 572, 574 (2010).</w:t>
      </w:r>
    </w:p>
  </w:footnote>
  <w:footnote w:id="49">
    <w:p>
      <w:pPr>
        <w:pStyle w:val="FootnoteText"/>
      </w:pPr>
      <w:r>
        <w:rPr>
          <w:rStyle w:val="FootnoteReference"/>
        </w:rPr>
        <w:footnoteRef/>
      </w:r>
      <w:r>
        <w:t xml:space="preserve"> </w:t>
      </w:r>
      <w:r>
        <w:rPr>
          <w:i/>
          <w:iCs/>
        </w:rPr>
        <w:t xml:space="preserve">See id.</w:t>
      </w:r>
      <w:r>
        <w:t xml:space="preserve">, 126 Nev. at 602, 604, 245 P.3d at 574, 575.</w:t>
      </w:r>
    </w:p>
  </w:footnote>
  <w:footnote w:id="50">
    <w:p>
      <w:pPr>
        <w:pStyle w:val="FootnoteText"/>
      </w:pPr>
      <w:r>
        <w:rPr>
          <w:rStyle w:val="FootnoteReference"/>
        </w:rPr>
        <w:footnoteRef/>
      </w:r>
      <w:r>
        <w:t xml:space="preserve"> </w:t>
      </w:r>
      <w:r>
        <w:rPr>
          <w:i/>
          <w:iCs/>
        </w:rPr>
        <w:t xml:space="preserve">Nat’l Collegiate</w:t>
      </w:r>
      <w:r>
        <w:rPr>
          <w:i/>
          <w:iCs/>
        </w:rPr>
        <w:t xml:space="preserve"> </w:t>
      </w:r>
      <w:r>
        <w:rPr>
          <w:i/>
          <w:iCs/>
        </w:rPr>
        <w:t xml:space="preserve">Athletic Ass’n v. Univ. of Nevada, Reno</w:t>
      </w:r>
      <w:r>
        <w:t xml:space="preserve">, 97 Nev. 56, 58, 624 P.2d 10, 11 (1981).</w:t>
      </w:r>
    </w:p>
  </w:footnote>
  <w:footnote w:id="51">
    <w:p>
      <w:pPr>
        <w:pStyle w:val="FootnoteText"/>
      </w:pPr>
      <w:r>
        <w:rPr>
          <w:rStyle w:val="FootnoteReference"/>
        </w:rPr>
        <w:footnoteRef/>
      </w:r>
      <w:r>
        <w:t xml:space="preserve"> </w:t>
      </w:r>
      <w:r>
        <w:rPr>
          <w:i/>
          <w:iCs/>
        </w:rPr>
        <w:t xml:space="preserve">Id.</w:t>
      </w:r>
      <w:r>
        <w:t xml:space="preserve">, 97 Nev. at 58, 624 P.2d at 11 (</w:t>
      </w:r>
      <w:r>
        <w:t xml:space="preserve">“This court has frequently refused to determine questions presented in purely moot cases.”</w:t>
      </w:r>
      <w:r>
        <w:t xml:space="preserve">)</w:t>
      </w:r>
    </w:p>
  </w:footnote>
  <w:footnote w:id="52">
    <w:p>
      <w:pPr>
        <w:pStyle w:val="FootnoteText"/>
      </w:pPr>
      <w:r>
        <w:rPr>
          <w:rStyle w:val="FootnoteReference"/>
        </w:rPr>
        <w:footnoteRef/>
      </w:r>
      <w:r>
        <w:t xml:space="preserve"> </w:t>
      </w:r>
      <w:r>
        <w:rPr>
          <w:i/>
          <w:iCs/>
        </w:rPr>
        <w:t xml:space="preserve">See</w:t>
      </w:r>
      <w:r>
        <w:t xml:space="preserve"> </w:t>
      </w:r>
      <w:r>
        <w:t xml:space="preserve">Opening Br. at 10</w:t>
      </w:r>
      <w:r>
        <w:noBreakHyphen/>
      </w:r>
      <w:r>
        <w:t xml:space="preserve">16.</w:t>
      </w:r>
    </w:p>
  </w:footnote>
  <w:footnote w:id="53">
    <w:p>
      <w:pPr>
        <w:pStyle w:val="FootnoteText"/>
      </w:pPr>
      <w:r>
        <w:rPr>
          <w:rStyle w:val="FootnoteReference"/>
        </w:rPr>
        <w:footnoteRef/>
      </w:r>
      <w:r>
        <w:t xml:space="preserve"> </w:t>
      </w:r>
      <w:r>
        <w:t xml:space="preserve">NRS 293B.050</w:t>
      </w:r>
      <w:r>
        <w:t xml:space="preserve"> </w:t>
      </w:r>
      <w:r>
        <w:t xml:space="preserve">(emphasis added).</w:t>
      </w:r>
    </w:p>
  </w:footnote>
  <w:footnote w:id="54">
    <w:p>
      <w:pPr>
        <w:pStyle w:val="FootnoteText"/>
      </w:pPr>
      <w:r>
        <w:rPr>
          <w:rStyle w:val="FootnoteReference"/>
        </w:rPr>
        <w:footnoteRef/>
      </w:r>
      <w:r>
        <w:t xml:space="preserve"> </w:t>
      </w:r>
      <w:r>
        <w:t xml:space="preserve">Opening Br. at 10</w:t>
      </w:r>
      <w:r>
        <w:noBreakHyphen/>
      </w:r>
      <w:r>
        <w:t xml:space="preserve">16.</w:t>
      </w:r>
    </w:p>
  </w:footnote>
  <w:footnote w:id="55">
    <w:p>
      <w:pPr>
        <w:pStyle w:val="FootnoteText"/>
      </w:pPr>
      <w:r>
        <w:rPr>
          <w:rStyle w:val="FootnoteReference"/>
        </w:rPr>
        <w:footnoteRef/>
      </w:r>
      <w:r>
        <w:t xml:space="preserve"> </w:t>
      </w:r>
      <w:r>
        <w:rPr>
          <w:i/>
          <w:iCs/>
        </w:rPr>
        <w:t xml:space="preserve">See FDA v. Brown &amp; Williamson</w:t>
      </w:r>
      <w:r>
        <w:rPr>
          <w:i/>
          <w:iCs/>
        </w:rPr>
        <w:t xml:space="preserve"> </w:t>
      </w:r>
      <w:r>
        <w:rPr>
          <w:i/>
          <w:iCs/>
        </w:rPr>
        <w:t xml:space="preserve">Tobacco Corp.</w:t>
      </w:r>
      <w:r>
        <w:t xml:space="preserve">, 529 U.S. 120, 133 (2000) (</w:t>
      </w:r>
      <w:r>
        <w:t xml:space="preserve">“It is a</w:t>
      </w:r>
      <w:r>
        <w:t xml:space="preserve"> </w:t>
      </w:r>
      <w:r>
        <w:t xml:space="preserve">‘fundamental canon of statutory construction that words of a statute must be read in their context and with a view to their place in the overall statutory scheme.’</w:t>
      </w:r>
      <w:r>
        <w:t xml:space="preserve">”</w:t>
      </w:r>
      <w:r>
        <w:t xml:space="preserve">).</w:t>
      </w:r>
    </w:p>
  </w:footnote>
  <w:footnote w:id="56">
    <w:p>
      <w:pPr>
        <w:pStyle w:val="FootnoteText"/>
      </w:pPr>
      <w:r>
        <w:rPr>
          <w:rStyle w:val="FootnoteReference"/>
        </w:rPr>
        <w:footnoteRef/>
      </w:r>
      <w:r>
        <w:t xml:space="preserve"> </w:t>
      </w:r>
      <w:r>
        <w:t xml:space="preserve">52 U.S.C. § 21081(b).</w:t>
      </w:r>
    </w:p>
  </w:footnote>
  <w:footnote w:id="57">
    <w:p>
      <w:pPr>
        <w:pStyle w:val="FootnoteText"/>
      </w:pPr>
      <w:r>
        <w:rPr>
          <w:rStyle w:val="FootnoteReference"/>
        </w:rPr>
        <w:footnoteRef/>
      </w:r>
      <w:r>
        <w:t xml:space="preserve"> </w:t>
      </w:r>
      <w:r>
        <w:rPr>
          <w:i/>
          <w:iCs/>
        </w:rPr>
        <w:t xml:space="preserve">See supra</w:t>
      </w:r>
      <w:r>
        <w:t xml:space="preserve"> </w:t>
      </w:r>
      <w:r>
        <w:t xml:space="preserve">at n. 25</w:t>
      </w:r>
      <w:r>
        <w:noBreakHyphen/>
      </w:r>
      <w:r>
        <w:t xml:space="preserve">26.</w:t>
      </w:r>
    </w:p>
  </w:footnote>
  <w:footnote w:id="58">
    <w:p>
      <w:pPr>
        <w:pStyle w:val="FootnoteText"/>
      </w:pPr>
      <w:r>
        <w:rPr>
          <w:rStyle w:val="FootnoteReference"/>
        </w:rPr>
        <w:footnoteRef/>
      </w:r>
      <w:r>
        <w:t xml:space="preserve"> </w:t>
      </w:r>
      <w:r>
        <w:t xml:space="preserve">Opening Br. at 12.</w:t>
      </w:r>
    </w:p>
  </w:footnote>
  <w:footnote w:id="59">
    <w:p>
      <w:pPr>
        <w:pStyle w:val="FootnoteText"/>
      </w:pPr>
      <w:r>
        <w:rPr>
          <w:rStyle w:val="FootnoteReference"/>
        </w:rPr>
        <w:footnoteRef/>
      </w:r>
      <w:r>
        <w:t xml:space="preserve"> </w:t>
      </w:r>
      <w:r>
        <w:t xml:space="preserve">Opening Br. at 13.</w:t>
      </w:r>
    </w:p>
  </w:footnote>
  <w:footnote w:id="60">
    <w:p>
      <w:pPr>
        <w:pStyle w:val="FootnoteText"/>
      </w:pPr>
      <w:r>
        <w:rPr>
          <w:rStyle w:val="FootnoteReference"/>
        </w:rPr>
        <w:footnoteRef/>
      </w:r>
      <w:r>
        <w:t xml:space="preserve"> </w:t>
      </w:r>
      <w:r>
        <w:t xml:space="preserve">52 U.S.C. § 21081(b).</w:t>
      </w:r>
    </w:p>
  </w:footnote>
  <w:footnote w:id="61">
    <w:p>
      <w:pPr>
        <w:pStyle w:val="FootnoteText"/>
      </w:pPr>
      <w:r>
        <w:rPr>
          <w:rStyle w:val="FootnoteReference"/>
        </w:rPr>
        <w:footnoteRef/>
      </w:r>
      <w:r>
        <w:t xml:space="preserve"> </w:t>
      </w:r>
      <w:r>
        <w:t xml:space="preserve">Pub. L.</w:t>
      </w:r>
      <w:r>
        <w:t xml:space="preserve"> </w:t>
      </w:r>
      <w:r>
        <w:t xml:space="preserve">107–252, 116 Stat. 1706.</w:t>
      </w:r>
    </w:p>
  </w:footnote>
  <w:footnote w:id="62">
    <w:p>
      <w:pPr>
        <w:pStyle w:val="FootnoteText"/>
      </w:pPr>
      <w:r>
        <w:rPr>
          <w:rStyle w:val="FootnoteReference"/>
        </w:rPr>
        <w:footnoteRef/>
      </w:r>
      <w:r>
        <w:t xml:space="preserve"> </w:t>
      </w:r>
      <w:r>
        <w:rPr>
          <w:i/>
          <w:iCs/>
        </w:rPr>
        <w:t xml:space="preserve">See</w:t>
      </w:r>
      <w:r>
        <w:t xml:space="preserve"> </w:t>
      </w:r>
      <w:r>
        <w:t xml:space="preserve">NEV. CONST. art. 2, § 1A(10); NRS 293.2546(10).</w:t>
      </w:r>
    </w:p>
  </w:footnote>
  <w:footnote w:id="63">
    <w:p>
      <w:pPr>
        <w:pStyle w:val="FootnoteText"/>
      </w:pPr>
      <w:r>
        <w:rPr>
          <w:rStyle w:val="FootnoteReference"/>
        </w:rPr>
        <w:footnoteRef/>
      </w:r>
      <w:r>
        <w:t xml:space="preserve"> </w:t>
      </w:r>
      <w:r>
        <w:t xml:space="preserve">Opening Br. at 16</w:t>
      </w:r>
      <w:r>
        <w:noBreakHyphen/>
      </w:r>
      <w:r>
        <w:t xml:space="preserve">18.</w:t>
      </w:r>
    </w:p>
  </w:footnote>
  <w:footnote w:id="64">
    <w:p>
      <w:pPr>
        <w:pStyle w:val="FootnoteText"/>
      </w:pPr>
      <w:r>
        <w:rPr>
          <w:rStyle w:val="FootnoteReference"/>
        </w:rPr>
        <w:footnoteRef/>
      </w:r>
      <w:r>
        <w:t xml:space="preserve"> </w:t>
      </w:r>
      <w:r>
        <w:rPr>
          <w:i/>
          <w:iCs/>
        </w:rPr>
        <w:t xml:space="preserve">See</w:t>
      </w:r>
      <w:r>
        <w:t xml:space="preserve"> </w:t>
      </w:r>
      <w:r>
        <w:t xml:space="preserve">JA097</w:t>
      </w:r>
      <w:r>
        <w:noBreakHyphen/>
      </w:r>
      <w:r>
        <w:t xml:space="preserve">98.</w:t>
      </w:r>
    </w:p>
  </w:footnote>
  <w:footnote w:id="65">
    <w:p>
      <w:pPr>
        <w:pStyle w:val="FootnoteText"/>
      </w:pPr>
      <w:r>
        <w:rPr>
          <w:rStyle w:val="FootnoteReference"/>
        </w:rPr>
        <w:footnoteRef/>
      </w:r>
      <w:r>
        <w:t xml:space="preserve"> </w:t>
      </w:r>
      <w:r>
        <w:t xml:space="preserve">531 U.S. 98, 106 (2000).</w:t>
      </w:r>
    </w:p>
  </w:footnote>
  <w:footnote w:id="66">
    <w:p>
      <w:pPr>
        <w:pStyle w:val="FootnoteText"/>
      </w:pPr>
      <w:r>
        <w:rPr>
          <w:rStyle w:val="FootnoteReference"/>
        </w:rPr>
        <w:footnoteRef/>
      </w:r>
      <w:r>
        <w:t xml:space="preserve"> </w:t>
      </w:r>
      <w:r>
        <w:rPr>
          <w:i/>
          <w:iCs/>
        </w:rPr>
        <w:t xml:space="preserve">Id.</w:t>
      </w:r>
    </w:p>
  </w:footnote>
  <w:footnote w:id="67">
    <w:p>
      <w:pPr>
        <w:pStyle w:val="FootnoteText"/>
      </w:pPr>
      <w:r>
        <w:rPr>
          <w:rStyle w:val="FootnoteReference"/>
        </w:rPr>
        <w:footnoteRef/>
      </w:r>
      <w:r>
        <w:t xml:space="preserve"> </w:t>
      </w:r>
      <w:r>
        <w:rPr>
          <w:i/>
          <w:iCs/>
        </w:rPr>
        <w:t xml:space="preserve">Id.</w:t>
      </w:r>
      <w:r>
        <w:t xml:space="preserve"> </w:t>
      </w:r>
      <w:r>
        <w:t xml:space="preserve">at 109.</w:t>
      </w:r>
    </w:p>
  </w:footnote>
  <w:footnote w:id="68">
    <w:p>
      <w:pPr>
        <w:pStyle w:val="FootnoteText"/>
      </w:pPr>
      <w:r>
        <w:rPr>
          <w:rStyle w:val="FootnoteReference"/>
        </w:rPr>
        <w:footnoteRef/>
      </w:r>
      <w:r>
        <w:t xml:space="preserve"> </w:t>
      </w:r>
      <w:r>
        <w:t xml:space="preserve">52 U.S.C. § 21081(a)⁠(6).</w:t>
      </w:r>
    </w:p>
  </w:footnote>
  <w:footnote w:id="69">
    <w:p>
      <w:pPr>
        <w:pStyle w:val="FootnoteText"/>
      </w:pPr>
      <w:r>
        <w:rPr>
          <w:rStyle w:val="FootnoteReference"/>
        </w:rPr>
        <w:footnoteRef/>
      </w:r>
      <w:r>
        <w:t xml:space="preserve"> </w:t>
      </w:r>
      <w:r>
        <w:rPr>
          <w:i/>
          <w:iCs/>
        </w:rPr>
        <w:t xml:space="preserve">State of New Mexico ex rel. League of Woman Voters v. Herrera</w:t>
      </w:r>
      <w:r>
        <w:t xml:space="preserve">, 145 N.M. 563, 568, 203 P.3d 94, 99 (2009).</w:t>
      </w:r>
    </w:p>
  </w:footnote>
  <w:footnote w:id="70">
    <w:p>
      <w:pPr>
        <w:pStyle w:val="FootnoteText"/>
      </w:pPr>
      <w:r>
        <w:rPr>
          <w:rStyle w:val="FootnoteReference"/>
        </w:rPr>
        <w:footnoteRef/>
      </w:r>
      <w:r>
        <w:t xml:space="preserve"> </w:t>
      </w:r>
      <w:r>
        <w:t xml:space="preserve">NRS 293.3677(2)⁠(a).</w:t>
      </w:r>
    </w:p>
  </w:footnote>
  <w:footnote w:id="71">
    <w:p>
      <w:pPr>
        <w:pStyle w:val="FootnoteText"/>
      </w:pPr>
      <w:r>
        <w:rPr>
          <w:rStyle w:val="FootnoteReference"/>
        </w:rPr>
        <w:footnoteRef/>
      </w:r>
      <w:r>
        <w:t xml:space="preserve"> </w:t>
      </w:r>
      <w:r>
        <w:t xml:space="preserve">Opening Br. at 17</w:t>
      </w:r>
      <w:r>
        <w:noBreakHyphen/>
      </w:r>
      <w:r>
        <w:t xml:space="preserve">18.</w:t>
      </w:r>
    </w:p>
  </w:footnote>
  <w:footnote w:id="72">
    <w:p>
      <w:pPr>
        <w:pStyle w:val="FootnoteText"/>
      </w:pPr>
      <w:r>
        <w:rPr>
          <w:rStyle w:val="FootnoteReference"/>
        </w:rPr>
        <w:footnoteRef/>
      </w:r>
      <w:r>
        <w:t xml:space="preserve"> </w:t>
      </w:r>
      <w:r>
        <w:t xml:space="preserve">JA098.</w:t>
      </w:r>
    </w:p>
  </w:footnote>
  <w:footnote w:id="73">
    <w:p>
      <w:pPr>
        <w:pStyle w:val="FootnoteText"/>
      </w:pPr>
      <w:r>
        <w:rPr>
          <w:rStyle w:val="FootnoteReference"/>
        </w:rPr>
        <w:footnoteRef/>
      </w:r>
      <w:r>
        <w:t xml:space="preserve"> </w:t>
      </w:r>
      <w:r>
        <w:rPr>
          <w:i/>
          <w:iCs/>
        </w:rPr>
        <w:t xml:space="preserve">Kraus</w:t>
      </w:r>
      <w:r>
        <w:rPr>
          <w:i/>
          <w:iCs/>
        </w:rPr>
        <w:t xml:space="preserve"> </w:t>
      </w:r>
      <w:r>
        <w:rPr>
          <w:i/>
          <w:iCs/>
        </w:rPr>
        <w:t xml:space="preserve">v. Cegavske</w:t>
      </w:r>
      <w:r>
        <w:t xml:space="preserve">, No. 20 OC 00142 1B, 2020 WL 8340238, at *4 (Nev. Dist. Ct. Oct. 29, 2020).</w:t>
      </w:r>
    </w:p>
  </w:footnote>
  <w:footnote w:id="74">
    <w:p>
      <w:pPr>
        <w:pStyle w:val="FootnoteText"/>
      </w:pPr>
      <w:r>
        <w:rPr>
          <w:rStyle w:val="FootnoteReference"/>
        </w:rPr>
        <w:footnoteRef/>
      </w:r>
      <w:r>
        <w:t xml:space="preserve"> </w:t>
      </w:r>
      <w:r>
        <w:t xml:space="preserve">JA049</w:t>
      </w:r>
      <w:r>
        <w:noBreakHyphen/>
      </w:r>
      <w:r>
        <w:t xml:space="preserve">62.</w:t>
      </w:r>
    </w:p>
  </w:footnote>
  <w:footnote w:id="75">
    <w:p>
      <w:pPr>
        <w:pStyle w:val="FootnoteText"/>
      </w:pPr>
      <w:r>
        <w:rPr>
          <w:rStyle w:val="FootnoteReference"/>
        </w:rPr>
        <w:footnoteRef/>
      </w:r>
      <w:r>
        <w:t xml:space="preserve"> </w:t>
      </w:r>
      <w:r>
        <w:t xml:space="preserve">Opening Br. at 20</w:t>
      </w:r>
      <w:r>
        <w:noBreakHyphen/>
      </w:r>
      <w:r>
        <w:t xml:space="preserve">21.</w:t>
      </w:r>
    </w:p>
  </w:footnote>
  <w:footnote w:id="76">
    <w:p>
      <w:pPr>
        <w:pStyle w:val="FootnoteText"/>
      </w:pPr>
      <w:r>
        <w:rPr>
          <w:rStyle w:val="FootnoteReference"/>
        </w:rPr>
        <w:footnoteRef/>
      </w:r>
      <w:r>
        <w:t xml:space="preserve"> </w:t>
      </w:r>
      <w:r>
        <w:t xml:space="preserve">The Secretary notes that there is a pending legal challenge to the Nye County</w:t>
      </w:r>
      <w:r>
        <w:t xml:space="preserve"> </w:t>
      </w:r>
      <w:r>
        <w:t xml:space="preserve">“parallel counting”</w:t>
      </w:r>
      <w:r>
        <w:t xml:space="preserve"> </w:t>
      </w:r>
      <w:r>
        <w:t xml:space="preserve">plan before the Fifth Judicial District Court.</w:t>
      </w:r>
      <w:r>
        <w:t xml:space="preserve"> </w:t>
      </w:r>
      <w:r>
        <w:rPr>
          <w:i/>
          <w:iCs/>
        </w:rPr>
        <w:t xml:space="preserve">See American Civil Liberties Union of Nevada et al. v. Nye County et al.</w:t>
      </w:r>
      <w:r>
        <w:t xml:space="preserve">, Case No. CV22</w:t>
      </w:r>
      <w:r>
        <w:noBreakHyphen/>
      </w:r>
      <w:r>
        <w:t xml:space="preserve">0503</w:t>
      </w:r>
      <w:r>
        <w:t xml:space="preserve"> </w:t>
      </w:r>
      <w:r>
        <w:t xml:space="preserve">(Nev. Dist. Ct. Oct. 4, 2022). That case is the appropriate forum for addressing the legality of Nye County’s proposed plan, subject to appellate review by this Court.</w:t>
      </w:r>
    </w:p>
  </w:footnote>
  <w:footnote w:id="77">
    <w:p>
      <w:pPr>
        <w:pStyle w:val="FootnoteText"/>
      </w:pPr>
      <w:r>
        <w:rPr>
          <w:rStyle w:val="FootnoteReference"/>
        </w:rPr>
        <w:footnoteRef/>
      </w:r>
      <w:r>
        <w:t xml:space="preserve"> </w:t>
      </w:r>
      <w:r>
        <w:t xml:space="preserve">Opening Br. at 21.</w:t>
      </w:r>
    </w:p>
  </w:footnote>
  <w:footnote w:id="78">
    <w:p>
      <w:pPr>
        <w:pStyle w:val="FootnoteText"/>
      </w:pPr>
      <w:r>
        <w:rPr>
          <w:rStyle w:val="FootnoteReference"/>
        </w:rPr>
        <w:footnoteRef/>
      </w:r>
      <w:r>
        <w:t xml:space="preserve"> </w:t>
      </w:r>
      <w:r>
        <w:t xml:space="preserve">JA098.</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