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LOUISIANA</w:t>
      </w:r>
    </w:p>
    <w:p>
      <w:pPr>
        <w:spacing w:before="288" w:after="0" w:line="276" w:lineRule="exact"/>
        <w:ind w:left="0" w:firstLine="0"/>
        <w:jc w:val="center"/>
      </w:pPr>
      <w:r>
        <w:t xml:space="preserve">No.</w:t>
      </w:r>
      <w:r>
        <w:t xml:space="preserve"> </w:t>
      </w:r>
      <w:r>
        <w:t xml:space="preserve">2021–KP–01893</w:t>
      </w:r>
    </w:p>
    <w:p>
      <w:pPr>
        <w:spacing w:before="384" w:after="0" w:line="276" w:lineRule="exact"/>
        <w:ind w:left="0" w:right="4968" w:firstLine="0"/>
        <w:jc w:val="left"/>
      </w:pPr>
      <w:r>
        <w:t xml:space="preserve">STATE</w:t>
      </w:r>
      <w:r>
        <w:t xml:space="preserve"> </w:t>
      </w:r>
      <w:r>
        <w:t xml:space="preserve">OF</w:t>
      </w:r>
      <w:r>
        <w:t xml:space="preserve"> </w:t>
      </w:r>
      <w:r>
        <w:t xml:space="preserve">LOUISIANA</w:t>
      </w:r>
    </w:p>
    <w:p>
      <w:pPr>
        <w:spacing w:before="0" w:after="0" w:line="276" w:lineRule="exact"/>
        <w:ind w:left="720" w:right="4968" w:firstLine="0"/>
        <w:jc w:val="left"/>
      </w:pPr>
      <w:r>
        <w:t xml:space="preserve">Applicant</w:t>
      </w:r>
    </w:p>
    <w:p>
      <w:pPr>
        <w:spacing w:before="192" w:after="192" w:line="276" w:lineRule="exact"/>
        <w:ind w:left="720" w:firstLine="0"/>
        <w:jc w:val="left"/>
      </w:pPr>
      <w:r>
        <w:t xml:space="preserve">V.</w:t>
      </w:r>
    </w:p>
    <w:p>
      <w:pPr>
        <w:spacing w:before="0" w:after="0" w:line="276" w:lineRule="exact"/>
        <w:ind w:left="0" w:right="4968" w:firstLine="0"/>
        <w:jc w:val="left"/>
      </w:pPr>
      <w:r>
        <w:t xml:space="preserve">REGINALD</w:t>
      </w:r>
      <w:r>
        <w:t xml:space="preserve"> </w:t>
      </w:r>
      <w:r>
        <w:t xml:space="preserve">REDDICK</w:t>
      </w:r>
    </w:p>
    <w:p>
      <w:pPr>
        <w:spacing w:before="0" w:after="0" w:line="276" w:lineRule="exact"/>
        <w:ind w:left="720" w:right="4968" w:firstLine="0"/>
        <w:jc w:val="left"/>
      </w:pPr>
      <w:r>
        <w:t xml:space="preserve">Respondent</w:t>
      </w:r>
    </w:p>
    <w:p>
      <w:pPr>
        <w:spacing w:before="288" w:after="0" w:line="276" w:lineRule="exact"/>
        <w:ind w:left="0" w:firstLine="0"/>
        <w:jc w:val="center"/>
      </w:pPr>
      <w:r>
        <w:t xml:space="preserve">Writ</w:t>
      </w:r>
      <w:r>
        <w:t xml:space="preserve"> </w:t>
      </w:r>
      <w:r>
        <w:t xml:space="preserve">of</w:t>
      </w:r>
      <w:r>
        <w:t xml:space="preserve"> </w:t>
      </w:r>
      <w:r>
        <w:t xml:space="preserve">Certiorari</w:t>
      </w:r>
      <w:r>
        <w:t xml:space="preserve"> </w:t>
      </w:r>
      <w:r>
        <w:t xml:space="preserve">and/​or</w:t>
      </w:r>
      <w:r>
        <w:t xml:space="preserve"> </w:t>
      </w:r>
      <w:r>
        <w:t xml:space="preserve">Review</w:t>
      </w:r>
      <w:r>
        <w:t xml:space="preserve"> </w:t>
      </w:r>
      <w:r>
        <w:t xml:space="preserve">from</w:t>
      </w:r>
    </w:p>
    <w:p>
      <w:pPr>
        <w:spacing w:before="0" w:after="0" w:line="276" w:lineRule="exact"/>
        <w:ind w:left="0" w:firstLine="0"/>
        <w:jc w:val="center"/>
      </w:pPr>
      <w:r>
        <w:t xml:space="preserve">Fourth</w:t>
      </w:r>
      <w:r>
        <w:t xml:space="preserve"> </w:t>
      </w:r>
      <w:r>
        <w:t xml:space="preserve">Circuit</w:t>
      </w:r>
      <w:r>
        <w:t xml:space="preserve"> </w:t>
      </w:r>
      <w:r>
        <w:t xml:space="preserve">Court</w:t>
      </w:r>
      <w:r>
        <w:t xml:space="preserve"> </w:t>
      </w:r>
      <w:r>
        <w:t xml:space="preserve">of</w:t>
      </w:r>
      <w:r>
        <w:t xml:space="preserve"> </w:t>
      </w:r>
      <w:r>
        <w:t xml:space="preserve">Appeal,</w:t>
      </w:r>
      <w:r>
        <w:t xml:space="preserve"> </w:t>
      </w:r>
      <w:r>
        <w:t xml:space="preserve">No.</w:t>
      </w:r>
      <w:r>
        <w:t xml:space="preserve"> </w:t>
      </w:r>
      <w:r>
        <w:t xml:space="preserve">2021–K–0589</w:t>
      </w:r>
    </w:p>
    <w:p>
      <w:pPr>
        <w:spacing w:before="0" w:after="0" w:line="276" w:lineRule="exact"/>
        <w:ind w:left="0" w:firstLine="0"/>
        <w:jc w:val="center"/>
      </w:pPr>
      <w:r>
        <w:t xml:space="preserve">On</w:t>
      </w:r>
      <w:r>
        <w:t xml:space="preserve"> </w:t>
      </w:r>
      <w:r>
        <w:t xml:space="preserve">writ</w:t>
      </w:r>
      <w:r>
        <w:t xml:space="preserve"> </w:t>
      </w:r>
      <w:r>
        <w:t xml:space="preserve">to</w:t>
      </w:r>
      <w:r>
        <w:t xml:space="preserve"> </w:t>
      </w:r>
      <w:r>
        <w:t xml:space="preserve">review</w:t>
      </w:r>
      <w:r>
        <w:t xml:space="preserve"> </w:t>
      </w:r>
      <w:r>
        <w:t xml:space="preserve">the</w:t>
      </w:r>
      <w:r>
        <w:t xml:space="preserve"> </w:t>
      </w:r>
      <w:r>
        <w:t xml:space="preserve">final</w:t>
      </w:r>
      <w:r>
        <w:t xml:space="preserve"> </w:t>
      </w:r>
      <w:r>
        <w:t xml:space="preserve">order</w:t>
      </w:r>
      <w:r>
        <w:t xml:space="preserve"> </w:t>
      </w:r>
      <w:r>
        <w:t xml:space="preserve">from</w:t>
      </w:r>
      <w:r>
        <w:t xml:space="preserve"> </w:t>
      </w:r>
      <w:r>
        <w:t xml:space="preserve">the</w:t>
      </w:r>
    </w:p>
    <w:p>
      <w:pPr>
        <w:spacing w:before="0" w:after="0" w:line="276" w:lineRule="exact"/>
        <w:ind w:left="0" w:firstLine="0"/>
        <w:jc w:val="center"/>
      </w:pPr>
      <w:r>
        <w:t xml:space="preserve">25th</w:t>
      </w:r>
      <w:r>
        <w:t xml:space="preserve"> </w:t>
      </w:r>
      <w:r>
        <w:t xml:space="preserve">Judicial</w:t>
      </w:r>
      <w:r>
        <w:t xml:space="preserve"> </w:t>
      </w:r>
      <w:r>
        <w:t xml:space="preserve">District</w:t>
      </w:r>
      <w:r>
        <w:t xml:space="preserve"> </w:t>
      </w:r>
      <w:r>
        <w:t xml:space="preserve">Court,</w:t>
      </w:r>
    </w:p>
    <w:p>
      <w:pPr>
        <w:spacing w:before="0" w:after="0" w:line="276" w:lineRule="exact"/>
        <w:ind w:left="0" w:firstLine="0"/>
        <w:jc w:val="center"/>
      </w:pPr>
      <w:r>
        <w:t xml:space="preserve">Parish</w:t>
      </w:r>
      <w:r>
        <w:t xml:space="preserve"> </w:t>
      </w:r>
      <w:r>
        <w:t xml:space="preserve">of</w:t>
      </w:r>
      <w:r>
        <w:t xml:space="preserve"> </w:t>
      </w:r>
      <w:r>
        <w:t xml:space="preserve">Plaquemines</w:t>
      </w:r>
      <w:r>
        <w:t xml:space="preserve"> </w:t>
      </w:r>
      <w:r>
        <w:t xml:space="preserve">No.</w:t>
      </w:r>
      <w:r>
        <w:t xml:space="preserve"> </w:t>
      </w:r>
      <w:r>
        <w:t xml:space="preserve">93–3922</w:t>
      </w:r>
    </w:p>
    <w:p>
      <w:pPr>
        <w:spacing w:before="0" w:after="0" w:line="276" w:lineRule="exact"/>
        <w:ind w:left="0" w:firstLine="0"/>
        <w:jc w:val="center"/>
      </w:pPr>
      <w:r>
        <w:t xml:space="preserve">Hon.</w:t>
      </w:r>
      <w:r>
        <w:t xml:space="preserve"> </w:t>
      </w:r>
      <w:r>
        <w:t xml:space="preserve">Michael</w:t>
      </w:r>
      <w:r>
        <w:t xml:space="preserve"> </w:t>
      </w:r>
      <w:r>
        <w:t xml:space="preserve">D.</w:t>
      </w:r>
      <w:r>
        <w:t xml:space="preserve"> </w:t>
      </w:r>
      <w:r>
        <w:t xml:space="preserve">Clement,</w:t>
      </w:r>
      <w:r>
        <w:t xml:space="preserve"> </w:t>
      </w:r>
      <w:r>
        <w:t xml:space="preserve">Div.</w:t>
      </w:r>
      <w:r>
        <w:t xml:space="preserve"> </w:t>
      </w:r>
      <w:r>
        <w:t xml:space="preserve">B</w:t>
      </w:r>
    </w:p>
    <w:p>
      <w:pPr>
        <w:spacing w:before="384" w:after="0" w:line="276" w:lineRule="exact"/>
        <w:ind w:left="0" w:firstLine="0"/>
        <w:jc w:val="center"/>
      </w:pPr>
      <w:r>
        <w:rPr>
          <w:b/>
          <w:bCs/>
        </w:rPr>
        <w:t xml:space="preserve">RESPONDENT’S</w:t>
      </w:r>
      <w:r>
        <w:rPr>
          <w:b/>
          <w:bCs/>
        </w:rPr>
        <w:t xml:space="preserve"> </w:t>
      </w:r>
      <w:r>
        <w:rPr>
          <w:b/>
          <w:bCs/>
        </w:rPr>
        <w:t xml:space="preserve">BRIEF</w:t>
      </w:r>
    </w:p>
    <w:p>
      <w:pPr>
        <w:spacing w:before="0" w:after="0" w:line="52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Jamila</w:t>
            </w:r>
            <w:r>
              <w:t xml:space="preserve"> </w:t>
            </w:r>
            <w:r>
              <w:t xml:space="preserve">Asha</w:t>
            </w:r>
            <w:r>
              <w:t xml:space="preserve"> </w:t>
            </w:r>
            <w:r>
              <w:t xml:space="preserve">Johnson,</w:t>
            </w:r>
            <w:r>
              <w:t xml:space="preserve"> </w:t>
            </w:r>
            <w:r>
              <w:t xml:space="preserve">LA</w:t>
            </w:r>
            <w:r>
              <w:t xml:space="preserve"> </w:t>
            </w:r>
            <w:r>
              <w:t xml:space="preserve">37593</w:t>
            </w:r>
          </w:p>
          <w:p>
            <w:pPr>
              <w:spacing w:before="0" w:after="0" w:line="276" w:lineRule="exact"/>
              <w:ind w:left="0" w:firstLine="0"/>
              <w:jc w:val="left"/>
            </w:pPr>
            <w:r>
              <w:t xml:space="preserve">Hardell</w:t>
            </w:r>
            <w:r>
              <w:t xml:space="preserve"> </w:t>
            </w:r>
            <w:r>
              <w:t xml:space="preserve">Harachio</w:t>
            </w:r>
            <w:r>
              <w:t xml:space="preserve"> </w:t>
            </w:r>
            <w:r>
              <w:t xml:space="preserve">Ward,</w:t>
            </w:r>
            <w:r>
              <w:t xml:space="preserve"> </w:t>
            </w:r>
            <w:r>
              <w:t xml:space="preserve">LA</w:t>
            </w:r>
            <w:r>
              <w:t xml:space="preserve"> </w:t>
            </w:r>
            <w:r>
              <w:t xml:space="preserve">32266</w:t>
            </w:r>
          </w:p>
          <w:p>
            <w:pPr>
              <w:spacing w:before="0" w:after="0" w:line="276" w:lineRule="exact"/>
              <w:ind w:left="0" w:firstLine="0"/>
              <w:jc w:val="left"/>
            </w:pPr>
            <w:r>
              <w:t xml:space="preserve">Claude-Michael</w:t>
            </w:r>
            <w:r>
              <w:t xml:space="preserve"> </w:t>
            </w:r>
            <w:r>
              <w:t xml:space="preserve">Comeau,</w:t>
            </w:r>
            <w:r>
              <w:t xml:space="preserve"> </w:t>
            </w:r>
            <w:r>
              <w:t xml:space="preserve">LA</w:t>
            </w:r>
            <w:r>
              <w:t xml:space="preserve"> </w:t>
            </w:r>
            <w:r>
              <w:t xml:space="preserve">35454</w:t>
            </w:r>
          </w:p>
          <w:p>
            <w:pPr>
              <w:spacing w:before="0" w:after="0" w:line="276" w:lineRule="exact"/>
              <w:ind w:left="0" w:firstLine="0"/>
              <w:jc w:val="left"/>
            </w:pPr>
            <w:r>
              <w:t xml:space="preserve">Promise</w:t>
            </w:r>
            <w:r>
              <w:t xml:space="preserve"> </w:t>
            </w:r>
            <w:r>
              <w:t xml:space="preserve">of</w:t>
            </w:r>
            <w:r>
              <w:t xml:space="preserve"> </w:t>
            </w:r>
            <w:r>
              <w:t xml:space="preserve">Justice</w:t>
            </w:r>
            <w:r>
              <w:t xml:space="preserve"> </w:t>
            </w:r>
            <w:r>
              <w:t xml:space="preserve">Initiative</w:t>
            </w:r>
          </w:p>
          <w:p>
            <w:pPr>
              <w:spacing w:before="0" w:after="0" w:line="276" w:lineRule="exact"/>
              <w:ind w:left="0" w:firstLine="0"/>
              <w:jc w:val="left"/>
            </w:pPr>
            <w:r>
              <w:t xml:space="preserve">1024</w:t>
            </w:r>
            <w:r>
              <w:t xml:space="preserve"> </w:t>
            </w:r>
            <w:r>
              <w:t xml:space="preserve">Elysian</w:t>
            </w:r>
            <w:r>
              <w:t xml:space="preserve"> </w:t>
            </w:r>
            <w:r>
              <w:t xml:space="preserve">Fields</w:t>
            </w:r>
            <w:r>
              <w:t xml:space="preserve"> </w:t>
            </w:r>
            <w:r>
              <w:t xml:space="preserve">Avenue</w:t>
            </w:r>
          </w:p>
          <w:p>
            <w:pPr>
              <w:spacing w:before="0" w:after="0" w:line="276" w:lineRule="exact"/>
              <w:ind w:left="0" w:firstLine="0"/>
              <w:jc w:val="left"/>
            </w:pPr>
            <w:r>
              <w:t xml:space="preserve">New</w:t>
            </w:r>
            <w:r>
              <w:t xml:space="preserve"> </w:t>
            </w:r>
            <w:r>
              <w:t xml:space="preserve">Orleans,</w:t>
            </w:r>
            <w:r>
              <w:t xml:space="preserve"> </w:t>
            </w:r>
            <w:r>
              <w:t xml:space="preserve">LA</w:t>
            </w:r>
            <w:r>
              <w:t xml:space="preserve"> </w:t>
            </w:r>
            <w:r>
              <w:t xml:space="preserve">70117</w:t>
            </w:r>
          </w:p>
          <w:p>
            <w:pPr>
              <w:spacing w:before="0" w:after="0" w:line="276" w:lineRule="exact"/>
              <w:ind w:left="0" w:firstLine="0"/>
              <w:jc w:val="left"/>
            </w:pPr>
            <w:r>
              <w:t xml:space="preserve">Telephone:</w:t>
            </w:r>
            <w:r>
              <w:t xml:space="preserve"> </w:t>
            </w:r>
            <w:r>
              <w:t xml:space="preserve">(504)</w:t>
            </w:r>
            <w:r>
              <w:t xml:space="preserve"> </w:t>
            </w:r>
            <w:r>
              <w:t xml:space="preserve">529</w:t>
              <w:noBreakHyphen/>
              <w:t xml:space="preserve">5955</w:t>
            </w:r>
          </w:p>
          <w:p>
            <w:pPr>
              <w:spacing w:before="0" w:after="0" w:line="276" w:lineRule="exact"/>
              <w:ind w:left="0" w:firstLine="0"/>
              <w:jc w:val="left"/>
            </w:pPr>
            <w:r>
              <w:t xml:space="preserve">jjohnson@defendla.org</w:t>
            </w:r>
          </w:p>
          <w:p>
            <w:pPr>
              <w:spacing w:before="0" w:after="0" w:line="276" w:lineRule="exact"/>
              <w:ind w:left="0" w:firstLine="0"/>
              <w:jc w:val="left"/>
            </w:pPr>
            <w:r>
              <w:t xml:space="preserve">hward@defendla.org</w:t>
            </w:r>
          </w:p>
          <w:p>
            <w:pPr>
              <w:spacing w:before="0" w:after="0" w:line="276" w:lineRule="exact"/>
              <w:ind w:left="0" w:firstLine="0"/>
              <w:jc w:val="left"/>
            </w:pPr>
            <w:r>
              <w:t xml:space="preserve">ccomeau@defendla.org</w:t>
            </w:r>
          </w:p>
          <w:p>
            <w:pPr>
              <w:spacing w:before="0" w:after="0" w:line="276" w:lineRule="exact"/>
              <w:ind w:left="0" w:firstLine="0"/>
              <w:jc w:val="left"/>
            </w:pPr>
            <w:r>
              <w:t xml:space="preserve">Counsel</w:t>
            </w:r>
            <w:r>
              <w:t xml:space="preserve"> </w:t>
            </w:r>
            <w:r>
              <w:t xml:space="preserve">for</w:t>
            </w:r>
            <w:r>
              <w:t xml:space="preserve"> </w:t>
            </w:r>
            <w:r>
              <w:t xml:space="preserve">Reginald</w:t>
            </w:r>
            <w:r>
              <w:t xml:space="preserve"> </w:t>
            </w:r>
            <w:r>
              <w:t xml:space="preserve">Reddick</w:t>
            </w:r>
          </w:p>
        </w:tc>
        <w:tc>
          <w:tcPr>
            <w:tcW w:w="4896" w:type="dxa"/>
            <w:tcMar>
              <w:left w:w="432" w:type="dxa"/>
            </w:tcMar>
          </w:tcPr>
          <w:p>
            <w:pPr>
              <w:spacing w:before="0" w:after="0" w:line="1" w:lineRule="exact"/>
            </w:pPr>
          </w:p>
        </w:tc>
      </w:tr>
    </w:tbl>
    <w:p>
      <w:pPr>
        <w:spacing w:before="0" w:after="0" w:line="1" w:lineRule="exact"/>
        <w:sectPr>
          <w:footerReference w:type="default" r:id="rIdXdNone"/>
          <w:pgSz w:w="12240" w:h="20160"/>
          <w:pgMar w:top="216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76" w:after="0" w:line="276" w:lineRule="exact"/>
        <w:ind w:left="0" w:right="720" w:firstLine="0"/>
      </w:pPr>
      <w:r>
        <w:t xml:space="preserve">INTRODUCTION</w:t>
      </w:r>
      <w:r>
        <w:t xml:space="preserve">   </w:t>
      </w:r>
      <w:r>
        <w:tab/>
      </w:r>
      <w:r>
        <w:t xml:space="preserve">1</w:t>
      </w:r>
    </w:p>
    <w:p>
      <w:pPr>
        <w:keepLines/>
        <w:tabs>
          <w:tab w:val="right" w:leader="dot" w:pos="9360"/>
        </w:tabs>
        <w:spacing w:before="276" w:after="0" w:line="276" w:lineRule="exact"/>
        <w:ind w:left="0" w:right="720" w:firstLine="0"/>
      </w:pPr>
      <w:r>
        <w:t xml:space="preserve">STATEMENT</w:t>
      </w:r>
      <w:r>
        <w:t xml:space="preserve"> </w:t>
      </w:r>
      <w:r>
        <w:t xml:space="preserve">OF</w:t>
      </w:r>
      <w:r>
        <w:t xml:space="preserve"> </w:t>
      </w:r>
      <w:r>
        <w:t xml:space="preserve">CASE</w:t>
      </w:r>
      <w:r>
        <w:t xml:space="preserve">   </w:t>
      </w:r>
      <w:r>
        <w:tab/>
      </w:r>
      <w:r>
        <w:t xml:space="preserve">1</w:t>
      </w:r>
    </w:p>
    <w:p>
      <w:pPr>
        <w:keepLines/>
        <w:tabs>
          <w:tab w:val="right" w:leader="dot" w:pos="9360"/>
        </w:tabs>
        <w:spacing w:before="276" w:after="0" w:line="276" w:lineRule="exact"/>
        <w:ind w:left="504" w:right="720" w:firstLine="0"/>
      </w:pPr>
      <w:r>
        <w:t xml:space="preserve">A.</w:t>
      </w:r>
      <w:r>
        <w:t xml:space="preserve"> </w:t>
      </w:r>
      <w:r>
        <w:t xml:space="preserve">The</w:t>
      </w:r>
      <w:r>
        <w:t xml:space="preserve"> </w:t>
      </w:r>
      <w:r>
        <w:t xml:space="preserve">history</w:t>
      </w:r>
      <w:r>
        <w:t xml:space="preserve"> </w:t>
      </w:r>
      <w:r>
        <w:t xml:space="preserve">of</w:t>
      </w:r>
      <w:r>
        <w:t xml:space="preserve"> </w:t>
      </w:r>
      <w:r>
        <w:t xml:space="preserve">Jim</w:t>
      </w:r>
      <w:r>
        <w:t xml:space="preserve"> </w:t>
      </w:r>
      <w:r>
        <w:t xml:space="preserve">Crow</w:t>
      </w:r>
      <w:r>
        <w:t xml:space="preserve"> </w:t>
      </w:r>
      <w:r>
        <w:t xml:space="preserve">jury</w:t>
      </w:r>
      <w:r>
        <w:t xml:space="preserve"> </w:t>
      </w:r>
      <w:r>
        <w:t xml:space="preserve">verdicts</w:t>
      </w:r>
      <w:r>
        <w:t xml:space="preserve">   </w:t>
      </w:r>
      <w:r>
        <w:tab/>
      </w:r>
      <w:r>
        <w:t xml:space="preserve">2</w:t>
      </w:r>
    </w:p>
    <w:p>
      <w:pPr>
        <w:keepLines/>
        <w:tabs>
          <w:tab w:val="right" w:leader="dot" w:pos="9360"/>
        </w:tabs>
        <w:spacing w:before="276" w:after="0" w:line="276" w:lineRule="exact"/>
        <w:ind w:left="504" w:right="720" w:firstLine="0"/>
      </w:pPr>
      <w:r>
        <w:t xml:space="preserve">B.</w:t>
      </w:r>
      <w:r>
        <w:t xml:space="preserve"> </w:t>
      </w:r>
      <w:r>
        <w:t xml:space="preserve">Reginald</w:t>
      </w:r>
      <w:r>
        <w:t xml:space="preserve"> </w:t>
      </w:r>
      <w:r>
        <w:t xml:space="preserve">Reddick’s</w:t>
      </w:r>
      <w:r>
        <w:t xml:space="preserve"> </w:t>
      </w:r>
      <w:r>
        <w:t xml:space="preserve">Jim</w:t>
      </w:r>
      <w:r>
        <w:t xml:space="preserve"> </w:t>
      </w:r>
      <w:r>
        <w:t xml:space="preserve">Crow</w:t>
      </w:r>
      <w:r>
        <w:t xml:space="preserve"> </w:t>
      </w:r>
      <w:r>
        <w:t xml:space="preserve">jury</w:t>
      </w:r>
      <w:r>
        <w:t xml:space="preserve"> </w:t>
      </w:r>
      <w:r>
        <w:t xml:space="preserve">conviction.</w:t>
      </w:r>
      <w:r>
        <w:t xml:space="preserve">   </w:t>
      </w:r>
      <w:r>
        <w:tab/>
      </w:r>
      <w:r>
        <w:t xml:space="preserve">6</w:t>
      </w:r>
    </w:p>
    <w:p>
      <w:pPr>
        <w:keepLines/>
        <w:tabs>
          <w:tab w:val="right" w:leader="dot" w:pos="9360"/>
        </w:tabs>
        <w:spacing w:before="276" w:after="0" w:line="276" w:lineRule="exact"/>
        <w:ind w:left="0" w:right="720" w:firstLine="0"/>
      </w:pPr>
      <w:r>
        <w:t xml:space="preserve">SUMMARY</w:t>
      </w:r>
      <w:r>
        <w:t xml:space="preserve"> </w:t>
      </w:r>
      <w:r>
        <w:t xml:space="preserve">OF</w:t>
      </w:r>
      <w:r>
        <w:t xml:space="preserve"> </w:t>
      </w:r>
      <w:r>
        <w:t xml:space="preserve">ARGUMENT</w:t>
      </w:r>
      <w:r>
        <w:t xml:space="preserve">   </w:t>
      </w:r>
      <w:r>
        <w:tab/>
      </w:r>
      <w:r>
        <w:t xml:space="preserve">9</w:t>
      </w:r>
    </w:p>
    <w:p>
      <w:pPr>
        <w:keepLines/>
        <w:tabs>
          <w:tab w:val="right" w:leader="dot" w:pos="9360"/>
        </w:tabs>
        <w:spacing w:before="276" w:after="0" w:line="276" w:lineRule="exact"/>
        <w:ind w:left="0" w:right="720" w:firstLine="0"/>
      </w:pPr>
      <w:r>
        <w:t xml:space="preserve">ARGUMENT</w:t>
      </w:r>
      <w:r>
        <w:t xml:space="preserve">   </w:t>
      </w:r>
      <w:r>
        <w:tab/>
      </w:r>
      <w:r>
        <w:t xml:space="preserve">10</w:t>
      </w:r>
    </w:p>
    <w:p>
      <w:pPr>
        <w:keepLines/>
        <w:tabs>
          <w:tab w:val="right" w:leader="dot" w:pos="9360"/>
        </w:tabs>
        <w:spacing w:before="276" w:after="0" w:line="276" w:lineRule="exact"/>
        <w:ind w:left="504" w:right="720" w:firstLine="0"/>
      </w:pPr>
      <w:r>
        <w:t xml:space="preserve">A.</w:t>
      </w:r>
      <w:r>
        <w:t xml:space="preserve"> </w:t>
      </w:r>
      <w:r>
        <w:rPr>
          <w:i/>
          <w:iCs/>
        </w:rPr>
        <w:t xml:space="preserve">Ramos</w:t>
      </w:r>
      <w:r>
        <w:t xml:space="preserve"> </w:t>
      </w:r>
      <w:r>
        <w:t xml:space="preserve">is</w:t>
      </w:r>
      <w:r>
        <w:t xml:space="preserve"> </w:t>
      </w:r>
      <w:r>
        <w:t xml:space="preserve">different</w:t>
      </w:r>
      <w:r>
        <w:t xml:space="preserve"> </w:t>
      </w:r>
      <w:r>
        <w:t xml:space="preserve">from</w:t>
      </w:r>
      <w:r>
        <w:t xml:space="preserve"> </w:t>
      </w:r>
      <w:r>
        <w:t xml:space="preserve">all</w:t>
      </w:r>
      <w:r>
        <w:t xml:space="preserve"> </w:t>
      </w:r>
      <w:r>
        <w:t xml:space="preserve">of</w:t>
      </w:r>
      <w:r>
        <w:t xml:space="preserve"> </w:t>
      </w:r>
      <w:r>
        <w:t xml:space="preserve">the</w:t>
      </w:r>
      <w:r>
        <w:t xml:space="preserve"> </w:t>
      </w:r>
      <w:r>
        <w:t xml:space="preserve">cases</w:t>
      </w:r>
      <w:r>
        <w:t xml:space="preserve"> </w:t>
      </w:r>
      <w:r>
        <w:t xml:space="preserve">that</w:t>
      </w:r>
      <w:r>
        <w:t xml:space="preserve"> </w:t>
      </w:r>
      <w:r>
        <w:t xml:space="preserve">came</w:t>
      </w:r>
      <w:r>
        <w:t xml:space="preserve"> </w:t>
      </w:r>
      <w:r>
        <w:t xml:space="preserve">before</w:t>
      </w:r>
      <w:r>
        <w:t xml:space="preserve"> </w:t>
      </w:r>
      <w:r>
        <w:t xml:space="preserve">it.</w:t>
      </w:r>
      <w:r>
        <w:t xml:space="preserve">   </w:t>
      </w:r>
      <w:r>
        <w:tab/>
      </w:r>
      <w:r>
        <w:t xml:space="preserve">10</w:t>
      </w:r>
    </w:p>
    <w:p>
      <w:pPr>
        <w:keepLines/>
        <w:tabs>
          <w:tab w:val="right" w:leader="dot" w:pos="9360"/>
        </w:tabs>
        <w:spacing w:before="276" w:after="0" w:line="276" w:lineRule="exact"/>
        <w:ind w:left="1008" w:right="720" w:firstLine="0"/>
      </w:pPr>
      <w:r>
        <w:t xml:space="preserve">1.</w:t>
      </w:r>
      <w:r>
        <w:t xml:space="preserve"> </w:t>
      </w:r>
      <w:r>
        <w:rPr>
          <w:i/>
          <w:iCs/>
        </w:rPr>
        <w:t xml:space="preserve">Ramos</w:t>
      </w:r>
      <w:r>
        <w:t xml:space="preserve"> </w:t>
      </w:r>
      <w:r>
        <w:t xml:space="preserve">ended</w:t>
      </w:r>
      <w:r>
        <w:t xml:space="preserve"> </w:t>
      </w:r>
      <w:r>
        <w:t xml:space="preserve">“an</w:t>
      </w:r>
      <w:r>
        <w:t xml:space="preserve"> </w:t>
      </w:r>
      <w:r>
        <w:t xml:space="preserve">engine</w:t>
      </w:r>
      <w:r>
        <w:t xml:space="preserve"> </w:t>
      </w:r>
      <w:r>
        <w:t xml:space="preserve">of</w:t>
      </w:r>
      <w:r>
        <w:t xml:space="preserve"> </w:t>
      </w:r>
      <w:r>
        <w:t xml:space="preserve">discrimination.”</w:t>
      </w:r>
      <w:r>
        <w:t xml:space="preserve">   </w:t>
      </w:r>
      <w:r>
        <w:tab/>
      </w:r>
      <w:r>
        <w:t xml:space="preserve">10</w:t>
      </w:r>
    </w:p>
    <w:p>
      <w:pPr>
        <w:keepLines/>
        <w:tabs>
          <w:tab w:val="right" w:leader="dot" w:pos="9360"/>
        </w:tabs>
        <w:spacing w:before="276" w:after="0" w:line="276" w:lineRule="exact"/>
        <w:ind w:left="1512" w:right="720" w:firstLine="0"/>
      </w:pPr>
      <w:r>
        <w:t xml:space="preserve">a.</w:t>
      </w:r>
      <w:r>
        <w:t xml:space="preserve"> </w:t>
      </w:r>
      <w:r>
        <w:t xml:space="preserve">It</w:t>
      </w:r>
      <w:r>
        <w:t xml:space="preserve"> </w:t>
      </w:r>
      <w:r>
        <w:t xml:space="preserve">is</w:t>
      </w:r>
      <w:r>
        <w:t xml:space="preserve"> </w:t>
      </w:r>
      <w:r>
        <w:t xml:space="preserve">indisputable</w:t>
      </w:r>
      <w:r>
        <w:t xml:space="preserve"> </w:t>
      </w:r>
      <w:r>
        <w:t xml:space="preserve">Louisiana’s</w:t>
      </w:r>
      <w:r>
        <w:t xml:space="preserve"> </w:t>
      </w:r>
      <w:r>
        <w:t xml:space="preserve">non-unanimity</w:t>
      </w:r>
      <w:r>
        <w:t xml:space="preserve"> </w:t>
      </w:r>
      <w:r>
        <w:t xml:space="preserve">law</w:t>
      </w:r>
      <w:r>
        <w:t xml:space="preserve"> </w:t>
      </w:r>
      <w:r>
        <w:t xml:space="preserve">emerged</w:t>
      </w:r>
      <w:r>
        <w:t xml:space="preserve"> </w:t>
      </w:r>
      <w:r>
        <w:t xml:space="preserve">from</w:t>
      </w:r>
      <w:r>
        <w:t xml:space="preserve"> </w:t>
      </w:r>
      <w:r>
        <w:t xml:space="preserve">delegates’</w:t>
      </w:r>
      <w:r>
        <w:t xml:space="preserve"> </w:t>
      </w:r>
      <w:r>
        <w:t xml:space="preserve">racist</w:t>
      </w:r>
      <w:r>
        <w:t xml:space="preserve"> </w:t>
      </w:r>
      <w:r>
        <w:t xml:space="preserve">intent.</w:t>
      </w:r>
      <w:r>
        <w:t xml:space="preserve">   </w:t>
      </w:r>
      <w:r>
        <w:tab/>
      </w:r>
      <w:r>
        <w:t xml:space="preserve">11</w:t>
      </w:r>
    </w:p>
    <w:p>
      <w:pPr>
        <w:keepLines/>
        <w:tabs>
          <w:tab w:val="right" w:leader="dot" w:pos="9360"/>
        </w:tabs>
        <w:spacing w:before="276" w:after="0" w:line="276" w:lineRule="exact"/>
        <w:ind w:left="1512" w:right="720" w:firstLine="0"/>
      </w:pPr>
      <w:r>
        <w:t xml:space="preserve">b.</w:t>
      </w:r>
      <w:r>
        <w:t xml:space="preserve"> </w:t>
      </w:r>
      <w:r>
        <w:t xml:space="preserve">Jim</w:t>
      </w:r>
      <w:r>
        <w:t xml:space="preserve"> </w:t>
      </w:r>
      <w:r>
        <w:t xml:space="preserve">Crow</w:t>
      </w:r>
      <w:r>
        <w:t xml:space="preserve"> </w:t>
      </w:r>
      <w:r>
        <w:t xml:space="preserve">jury</w:t>
      </w:r>
      <w:r>
        <w:t xml:space="preserve"> </w:t>
      </w:r>
      <w:r>
        <w:t xml:space="preserve">verdicts</w:t>
      </w:r>
      <w:r>
        <w:t xml:space="preserve"> </w:t>
      </w:r>
      <w:r>
        <w:t xml:space="preserve">are</w:t>
      </w:r>
      <w:r>
        <w:t xml:space="preserve"> </w:t>
      </w:r>
      <w:r>
        <w:t xml:space="preserve">racially</w:t>
      </w:r>
      <w:r>
        <w:t xml:space="preserve"> </w:t>
      </w:r>
      <w:r>
        <w:t xml:space="preserve">discriminatory.</w:t>
      </w:r>
      <w:r>
        <w:t xml:space="preserve">   </w:t>
      </w:r>
      <w:r>
        <w:tab/>
      </w:r>
      <w:r>
        <w:t xml:space="preserve">12</w:t>
      </w:r>
    </w:p>
    <w:p>
      <w:pPr>
        <w:keepLines/>
        <w:tabs>
          <w:tab w:val="right" w:leader="dot" w:pos="9360"/>
        </w:tabs>
        <w:spacing w:before="276" w:after="0" w:line="276" w:lineRule="exact"/>
        <w:ind w:left="1512" w:right="720" w:firstLine="0"/>
      </w:pPr>
      <w:r>
        <w:t xml:space="preserve">c.</w:t>
      </w:r>
      <w:r>
        <w:t xml:space="preserve"> </w:t>
      </w:r>
      <w:r>
        <w:t xml:space="preserve">The</w:t>
      </w:r>
      <w:r>
        <w:t xml:space="preserve"> </w:t>
      </w:r>
      <w:r>
        <w:t xml:space="preserve">State</w:t>
      </w:r>
      <w:r>
        <w:t xml:space="preserve"> </w:t>
      </w:r>
      <w:r>
        <w:t xml:space="preserve">seeks</w:t>
      </w:r>
      <w:r>
        <w:t xml:space="preserve"> </w:t>
      </w:r>
      <w:r>
        <w:t xml:space="preserve">to</w:t>
      </w:r>
      <w:r>
        <w:t xml:space="preserve"> </w:t>
      </w:r>
      <w:r>
        <w:t xml:space="preserve">uphold</w:t>
      </w:r>
      <w:r>
        <w:t xml:space="preserve"> </w:t>
      </w:r>
      <w:r>
        <w:t xml:space="preserve">the</w:t>
      </w:r>
      <w:r>
        <w:t xml:space="preserve"> </w:t>
      </w:r>
      <w:r>
        <w:t xml:space="preserve">Jim</w:t>
      </w:r>
      <w:r>
        <w:t xml:space="preserve"> </w:t>
      </w:r>
      <w:r>
        <w:t xml:space="preserve">Crow</w:t>
      </w:r>
      <w:r>
        <w:t xml:space="preserve"> </w:t>
      </w:r>
      <w:r>
        <w:t xml:space="preserve">impacts</w:t>
      </w:r>
      <w:r>
        <w:t xml:space="preserve"> </w:t>
      </w:r>
      <w:r>
        <w:rPr>
          <w:i/>
          <w:iCs/>
        </w:rPr>
        <w:t xml:space="preserve">Ramos</w:t>
      </w:r>
      <w:r>
        <w:t xml:space="preserve"> </w:t>
      </w:r>
      <w:r>
        <w:t xml:space="preserve">criticized.</w:t>
      </w:r>
      <w:r>
        <w:t xml:space="preserve">   </w:t>
      </w:r>
      <w:r>
        <w:tab/>
      </w:r>
      <w:r>
        <w:t xml:space="preserve">13</w:t>
      </w:r>
    </w:p>
    <w:p>
      <w:pPr>
        <w:keepLines/>
        <w:tabs>
          <w:tab w:val="right" w:leader="dot" w:pos="9360"/>
        </w:tabs>
        <w:spacing w:before="276" w:after="0" w:line="276" w:lineRule="exact"/>
        <w:ind w:left="1008" w:right="720" w:firstLine="0"/>
      </w:pPr>
      <w:r>
        <w:t xml:space="preserve">2.</w:t>
      </w:r>
      <w:r>
        <w:t xml:space="preserve"> </w:t>
      </w:r>
      <w:r>
        <w:rPr>
          <w:i/>
          <w:iCs/>
        </w:rPr>
        <w:t xml:space="preserve">Ramos</w:t>
      </w:r>
      <w:r>
        <w:t xml:space="preserve"> </w:t>
      </w:r>
      <w:r>
        <w:t xml:space="preserve">ensured</w:t>
      </w:r>
      <w:r>
        <w:t xml:space="preserve"> </w:t>
      </w:r>
      <w:r>
        <w:t xml:space="preserve">that</w:t>
      </w:r>
      <w:r>
        <w:t xml:space="preserve"> </w:t>
      </w:r>
      <w:r>
        <w:t xml:space="preserve">convictions</w:t>
      </w:r>
      <w:r>
        <w:t xml:space="preserve"> </w:t>
      </w:r>
      <w:r>
        <w:t xml:space="preserve">have</w:t>
      </w:r>
      <w:r>
        <w:t xml:space="preserve"> </w:t>
      </w:r>
      <w:r>
        <w:t xml:space="preserve">lawful</w:t>
      </w:r>
      <w:r>
        <w:t xml:space="preserve"> </w:t>
      </w:r>
      <w:r>
        <w:t xml:space="preserve">verdicts.</w:t>
      </w:r>
      <w:r>
        <w:t xml:space="preserve">   </w:t>
      </w:r>
      <w:r>
        <w:tab/>
      </w:r>
      <w:r>
        <w:t xml:space="preserve">14</w:t>
      </w:r>
    </w:p>
    <w:p>
      <w:pPr>
        <w:keepLines/>
        <w:tabs>
          <w:tab w:val="right" w:leader="dot" w:pos="9360"/>
        </w:tabs>
        <w:spacing w:before="276" w:after="0" w:line="276" w:lineRule="exact"/>
        <w:ind w:left="1008" w:right="720" w:firstLine="0"/>
      </w:pPr>
      <w:r>
        <w:t xml:space="preserve">3.</w:t>
      </w:r>
      <w:r>
        <w:t xml:space="preserve"> </w:t>
      </w:r>
      <w:r>
        <w:rPr>
          <w:i/>
          <w:iCs/>
        </w:rPr>
        <w:t xml:space="preserve">Ramos</w:t>
      </w:r>
      <w:r>
        <w:t xml:space="preserve"> </w:t>
      </w:r>
      <w:r>
        <w:t xml:space="preserve">operates</w:t>
      </w:r>
      <w:r>
        <w:t xml:space="preserve"> </w:t>
      </w:r>
      <w:r>
        <w:t xml:space="preserve">to</w:t>
      </w:r>
      <w:r>
        <w:t xml:space="preserve"> </w:t>
      </w:r>
      <w:r>
        <w:t xml:space="preserve">prevent</w:t>
      </w:r>
      <w:r>
        <w:t xml:space="preserve"> </w:t>
      </w:r>
      <w:r>
        <w:t xml:space="preserve">inaccurate</w:t>
      </w:r>
      <w:r>
        <w:t xml:space="preserve"> </w:t>
      </w:r>
      <w:r>
        <w:t xml:space="preserve">convictions.</w:t>
      </w:r>
      <w:r>
        <w:t xml:space="preserve">   </w:t>
      </w:r>
      <w:r>
        <w:tab/>
      </w:r>
      <w:r>
        <w:t xml:space="preserve">17</w:t>
      </w:r>
    </w:p>
    <w:p>
      <w:pPr>
        <w:keepLines/>
        <w:tabs>
          <w:tab w:val="right" w:leader="dot" w:pos="9360"/>
        </w:tabs>
        <w:spacing w:before="276" w:after="0" w:line="276" w:lineRule="exact"/>
        <w:ind w:left="504" w:right="720" w:firstLine="0"/>
      </w:pPr>
      <w:r>
        <w:t xml:space="preserve">B.</w:t>
      </w:r>
      <w:r>
        <w:t xml:space="preserve"> </w:t>
      </w:r>
      <w:r>
        <w:t xml:space="preserve">The</w:t>
      </w:r>
      <w:r>
        <w:t xml:space="preserve"> </w:t>
      </w:r>
      <w:r>
        <w:t xml:space="preserve">trial</w:t>
      </w:r>
      <w:r>
        <w:t xml:space="preserve"> </w:t>
      </w:r>
      <w:r>
        <w:t xml:space="preserve">court</w:t>
      </w:r>
      <w:r>
        <w:t xml:space="preserve"> </w:t>
      </w:r>
      <w:r>
        <w:t xml:space="preserve">correctly</w:t>
      </w:r>
      <w:r>
        <w:t xml:space="preserve"> </w:t>
      </w:r>
      <w:r>
        <w:t xml:space="preserve">found</w:t>
      </w:r>
      <w:r>
        <w:t xml:space="preserve"> </w:t>
      </w:r>
      <w:r>
        <w:rPr>
          <w:i/>
          <w:iCs/>
        </w:rPr>
        <w:t xml:space="preserve">Ramos</w:t>
      </w:r>
      <w:r>
        <w:t xml:space="preserve"> </w:t>
      </w:r>
      <w:r>
        <w:t xml:space="preserve">retroactive</w:t>
      </w:r>
      <w:r>
        <w:t xml:space="preserve"> </w:t>
      </w:r>
      <w:r>
        <w:t xml:space="preserve">under</w:t>
      </w:r>
      <w:r>
        <w:t xml:space="preserve"> </w:t>
      </w:r>
      <w:r>
        <w:rPr>
          <w:i/>
          <w:iCs/>
        </w:rPr>
        <w:t xml:space="preserve">Taylor</w:t>
      </w:r>
      <w:r>
        <w:t xml:space="preserve">.</w:t>
      </w:r>
      <w:r>
        <w:t xml:space="preserve">   </w:t>
      </w:r>
      <w:r>
        <w:tab/>
      </w:r>
      <w:r>
        <w:t xml:space="preserve">19</w:t>
      </w:r>
    </w:p>
    <w:p>
      <w:pPr>
        <w:keepLines/>
        <w:tabs>
          <w:tab w:val="right" w:leader="dot" w:pos="9360"/>
        </w:tabs>
        <w:spacing w:before="276" w:after="0" w:line="276" w:lineRule="exact"/>
        <w:ind w:left="1008" w:right="720" w:firstLine="0"/>
      </w:pPr>
      <w:r>
        <w:t xml:space="preserve">1.</w:t>
      </w:r>
      <w:r>
        <w:t xml:space="preserve"> </w:t>
      </w:r>
      <w:r>
        <w:t xml:space="preserve">Louisiana</w:t>
      </w:r>
      <w:r>
        <w:t xml:space="preserve"> </w:t>
      </w:r>
      <w:r>
        <w:t xml:space="preserve">presently</w:t>
      </w:r>
      <w:r>
        <w:t xml:space="preserve"> </w:t>
      </w:r>
      <w:r>
        <w:t xml:space="preserve">uses</w:t>
      </w:r>
      <w:r>
        <w:t xml:space="preserve"> </w:t>
      </w:r>
      <w:r>
        <w:rPr>
          <w:i/>
          <w:iCs/>
        </w:rPr>
        <w:t xml:space="preserve">Taylor</w:t>
      </w:r>
      <w:r>
        <w:t xml:space="preserve"> </w:t>
      </w:r>
      <w:r>
        <w:t xml:space="preserve">to</w:t>
      </w:r>
      <w:r>
        <w:t xml:space="preserve"> </w:t>
      </w:r>
      <w:r>
        <w:t xml:space="preserve">decide</w:t>
      </w:r>
      <w:r>
        <w:t xml:space="preserve"> </w:t>
      </w:r>
      <w:r>
        <w:t xml:space="preserve">retroactivity.</w:t>
      </w:r>
      <w:r>
        <w:t xml:space="preserve">   </w:t>
      </w:r>
      <w:r>
        <w:tab/>
      </w:r>
      <w:r>
        <w:t xml:space="preserve">19</w:t>
      </w:r>
    </w:p>
    <w:p>
      <w:pPr>
        <w:keepLines/>
        <w:tabs>
          <w:tab w:val="right" w:leader="dot" w:pos="9360"/>
        </w:tabs>
        <w:spacing w:before="276" w:after="0" w:line="276" w:lineRule="exact"/>
        <w:ind w:left="1008" w:right="720" w:firstLine="0"/>
      </w:pPr>
      <w:r>
        <w:t xml:space="preserve">2.</w:t>
      </w:r>
      <w:r>
        <w:t xml:space="preserve"> </w:t>
      </w:r>
      <w:r>
        <w:rPr>
          <w:i/>
          <w:iCs/>
        </w:rPr>
        <w:t xml:space="preserve">Ramos</w:t>
      </w:r>
      <w:r>
        <w:t xml:space="preserve"> </w:t>
      </w:r>
      <w:r>
        <w:t xml:space="preserve">meets</w:t>
      </w:r>
      <w:r>
        <w:t xml:space="preserve"> </w:t>
      </w:r>
      <w:r>
        <w:t xml:space="preserve">the</w:t>
      </w:r>
      <w:r>
        <w:t xml:space="preserve"> </w:t>
      </w:r>
      <w:r>
        <w:rPr>
          <w:i/>
          <w:iCs/>
        </w:rPr>
        <w:t xml:space="preserve">Taylor</w:t>
      </w:r>
      <w:r>
        <w:t xml:space="preserve"> </w:t>
      </w:r>
      <w:r>
        <w:t xml:space="preserve">standard.</w:t>
      </w:r>
      <w:r>
        <w:t xml:space="preserve">   </w:t>
      </w:r>
      <w:r>
        <w:tab/>
      </w:r>
      <w:r>
        <w:t xml:space="preserve">21</w:t>
      </w:r>
    </w:p>
    <w:p>
      <w:pPr>
        <w:keepLines/>
        <w:tabs>
          <w:tab w:val="right" w:leader="dot" w:pos="9360"/>
        </w:tabs>
        <w:spacing w:before="276" w:after="0" w:line="276" w:lineRule="exact"/>
        <w:ind w:left="1512" w:right="720" w:firstLine="0"/>
      </w:pPr>
      <w:r>
        <w:t xml:space="preserve">a.</w:t>
      </w:r>
      <w:r>
        <w:t xml:space="preserve"> </w:t>
      </w:r>
      <w:r>
        <w:rPr>
          <w:i/>
          <w:iCs/>
        </w:rPr>
        <w:t xml:space="preserve">Gideon</w:t>
      </w:r>
      <w:r>
        <w:t xml:space="preserve"> </w:t>
      </w:r>
      <w:r>
        <w:t xml:space="preserve">rejected</w:t>
      </w:r>
      <w:r>
        <w:t xml:space="preserve"> </w:t>
      </w:r>
      <w:r>
        <w:t xml:space="preserve">the</w:t>
      </w:r>
      <w:r>
        <w:t xml:space="preserve"> </w:t>
      </w:r>
      <w:r>
        <w:t xml:space="preserve">relevance</w:t>
      </w:r>
      <w:r>
        <w:t xml:space="preserve"> </w:t>
      </w:r>
      <w:r>
        <w:t xml:space="preserve">of</w:t>
      </w:r>
      <w:r>
        <w:t xml:space="preserve"> </w:t>
      </w:r>
      <w:r>
        <w:t xml:space="preserve">international</w:t>
      </w:r>
      <w:r>
        <w:t xml:space="preserve"> </w:t>
      </w:r>
      <w:r>
        <w:t xml:space="preserve">legal</w:t>
      </w:r>
      <w:r>
        <w:t xml:space="preserve"> </w:t>
      </w:r>
      <w:r>
        <w:t xml:space="preserve">practices.</w:t>
      </w:r>
      <w:r>
        <w:t xml:space="preserve">   </w:t>
      </w:r>
      <w:r>
        <w:tab/>
      </w:r>
      <w:r>
        <w:t xml:space="preserve">22</w:t>
      </w:r>
    </w:p>
    <w:p>
      <w:pPr>
        <w:keepLines/>
        <w:tabs>
          <w:tab w:val="right" w:leader="dot" w:pos="9360"/>
        </w:tabs>
        <w:spacing w:before="276" w:after="0" w:line="276" w:lineRule="exact"/>
        <w:ind w:left="1512" w:right="720" w:firstLine="0"/>
      </w:pPr>
      <w:r>
        <w:t xml:space="preserve">b.</w:t>
      </w:r>
      <w:r>
        <w:t xml:space="preserve"> </w:t>
      </w:r>
      <w:r>
        <w:t xml:space="preserve">The</w:t>
      </w:r>
      <w:r>
        <w:t xml:space="preserve"> </w:t>
      </w:r>
      <w:r>
        <w:t xml:space="preserve">unanimity</w:t>
      </w:r>
      <w:r>
        <w:t xml:space="preserve"> </w:t>
      </w:r>
      <w:r>
        <w:t xml:space="preserve">tradition</w:t>
      </w:r>
      <w:r>
        <w:t xml:space="preserve"> </w:t>
      </w:r>
      <w:r>
        <w:t xml:space="preserve">in</w:t>
      </w:r>
      <w:r>
        <w:t xml:space="preserve"> </w:t>
      </w:r>
      <w:r>
        <w:t xml:space="preserve">the</w:t>
      </w:r>
      <w:r>
        <w:t xml:space="preserve"> </w:t>
      </w:r>
      <w:r>
        <w:t xml:space="preserve">U.S.</w:t>
      </w:r>
      <w:r>
        <w:t xml:space="preserve"> </w:t>
      </w:r>
      <w:r>
        <w:t xml:space="preserve">is</w:t>
      </w:r>
      <w:r>
        <w:t xml:space="preserve"> </w:t>
      </w:r>
      <w:r>
        <w:t xml:space="preserve">so</w:t>
      </w:r>
      <w:r>
        <w:t xml:space="preserve"> </w:t>
      </w:r>
      <w:r>
        <w:t xml:space="preserve">deep</w:t>
      </w:r>
      <w:r>
        <w:t xml:space="preserve"> </w:t>
      </w:r>
      <w:r>
        <w:t xml:space="preserve">that</w:t>
      </w:r>
      <w:r>
        <w:t xml:space="preserve"> </w:t>
      </w:r>
      <w:r>
        <w:t xml:space="preserve">depriving</w:t>
      </w:r>
      <w:r>
        <w:t xml:space="preserve"> </w:t>
      </w:r>
      <w:r>
        <w:t xml:space="preserve">Louisianans</w:t>
      </w:r>
      <w:r>
        <w:t xml:space="preserve"> </w:t>
      </w:r>
      <w:r>
        <w:t xml:space="preserve">of</w:t>
      </w:r>
      <w:r>
        <w:t xml:space="preserve"> </w:t>
      </w:r>
      <w:r>
        <w:t xml:space="preserve">this</w:t>
      </w:r>
      <w:r>
        <w:t xml:space="preserve"> </w:t>
      </w:r>
      <w:r>
        <w:t xml:space="preserve">right</w:t>
      </w:r>
      <w:r>
        <w:t xml:space="preserve"> </w:t>
      </w:r>
      <w:r>
        <w:t xml:space="preserve">is</w:t>
      </w:r>
      <w:r>
        <w:t xml:space="preserve"> </w:t>
      </w:r>
      <w:r>
        <w:t xml:space="preserve">abhorrent.</w:t>
      </w:r>
      <w:r>
        <w:t xml:space="preserve">   </w:t>
      </w:r>
      <w:r>
        <w:tab/>
      </w:r>
      <w:r>
        <w:t xml:space="preserve">22</w:t>
      </w:r>
    </w:p>
    <w:p>
      <w:pPr>
        <w:keepLines/>
        <w:tabs>
          <w:tab w:val="right" w:leader="dot" w:pos="9360"/>
        </w:tabs>
        <w:spacing w:before="276" w:after="0" w:line="276" w:lineRule="exact"/>
        <w:ind w:left="1512" w:right="720" w:firstLine="0"/>
      </w:pPr>
      <w:r>
        <w:t xml:space="preserve">c.</w:t>
      </w:r>
      <w:r>
        <w:t xml:space="preserve"> </w:t>
      </w:r>
      <w:r>
        <w:t xml:space="preserve">Courts</w:t>
      </w:r>
      <w:r>
        <w:t xml:space="preserve"> </w:t>
      </w:r>
      <w:r>
        <w:t xml:space="preserve">have</w:t>
      </w:r>
      <w:r>
        <w:t xml:space="preserve"> </w:t>
      </w:r>
      <w:r>
        <w:t xml:space="preserve">found</w:t>
      </w:r>
      <w:r>
        <w:t xml:space="preserve"> </w:t>
      </w:r>
      <w:r>
        <w:t xml:space="preserve">new</w:t>
      </w:r>
      <w:r>
        <w:t xml:space="preserve"> </w:t>
      </w:r>
      <w:r>
        <w:t xml:space="preserve">rules</w:t>
      </w:r>
      <w:r>
        <w:t xml:space="preserve"> </w:t>
      </w:r>
      <w:r>
        <w:t xml:space="preserve">retroactive,</w:t>
      </w:r>
      <w:r>
        <w:t xml:space="preserve"> </w:t>
      </w:r>
      <w:r>
        <w:t xml:space="preserve">including</w:t>
      </w:r>
      <w:r>
        <w:t xml:space="preserve"> </w:t>
      </w:r>
      <w:r>
        <w:t xml:space="preserve">this</w:t>
      </w:r>
      <w:r>
        <w:t xml:space="preserve"> </w:t>
      </w:r>
      <w:r>
        <w:t xml:space="preserve">Court.</w:t>
      </w:r>
      <w:r>
        <w:t xml:space="preserve">   </w:t>
      </w:r>
      <w:r>
        <w:tab/>
      </w:r>
      <w:r>
        <w:t xml:space="preserve">24</w:t>
      </w:r>
    </w:p>
    <w:p>
      <w:pPr>
        <w:keepLines/>
        <w:tabs>
          <w:tab w:val="right" w:leader="dot" w:pos="9360"/>
        </w:tabs>
        <w:spacing w:before="276" w:after="0" w:line="276" w:lineRule="exact"/>
        <w:ind w:left="1008" w:right="720" w:firstLine="0"/>
      </w:pPr>
      <w:r>
        <w:t xml:space="preserve">3.</w:t>
      </w:r>
      <w:r>
        <w:t xml:space="preserve"> </w:t>
      </w:r>
      <w:r>
        <w:t xml:space="preserve">The</w:t>
      </w:r>
      <w:r>
        <w:t xml:space="preserve"> </w:t>
      </w:r>
      <w:r>
        <w:rPr>
          <w:i/>
          <w:iCs/>
        </w:rPr>
        <w:t xml:space="preserve">Edwards</w:t>
      </w:r>
      <w:r>
        <w:t xml:space="preserve"> </w:t>
      </w:r>
      <w:r>
        <w:t xml:space="preserve">Court</w:t>
      </w:r>
      <w:r>
        <w:t xml:space="preserve"> </w:t>
      </w:r>
      <w:r>
        <w:t xml:space="preserve">specifically</w:t>
      </w:r>
      <w:r>
        <w:t xml:space="preserve"> </w:t>
      </w:r>
      <w:r>
        <w:t xml:space="preserve">invited</w:t>
      </w:r>
      <w:r>
        <w:t xml:space="preserve"> </w:t>
      </w:r>
      <w:r>
        <w:t xml:space="preserve">this</w:t>
      </w:r>
      <w:r>
        <w:t xml:space="preserve"> </w:t>
      </w:r>
      <w:r>
        <w:t xml:space="preserve">Court</w:t>
      </w:r>
      <w:r>
        <w:t xml:space="preserve"> </w:t>
      </w:r>
      <w:r>
        <w:t xml:space="preserve">to</w:t>
      </w:r>
      <w:r>
        <w:t xml:space="preserve"> </w:t>
      </w:r>
      <w:r>
        <w:t xml:space="preserve">make</w:t>
      </w:r>
      <w:r>
        <w:t xml:space="preserve"> </w:t>
      </w:r>
      <w:r>
        <w:t xml:space="preserve">an</w:t>
      </w:r>
      <w:r>
        <w:t xml:space="preserve"> </w:t>
      </w:r>
      <w:r>
        <w:t xml:space="preserve">independent</w:t>
      </w:r>
      <w:r>
        <w:t xml:space="preserve"> </w:t>
      </w:r>
      <w:r>
        <w:t xml:space="preserve">determination</w:t>
      </w:r>
      <w:r>
        <w:t xml:space="preserve"> </w:t>
      </w:r>
      <w:r>
        <w:t xml:space="preserve">of</w:t>
      </w:r>
      <w:r>
        <w:t xml:space="preserve"> </w:t>
      </w:r>
      <w:r>
        <w:t xml:space="preserve">retroactivity.</w:t>
      </w:r>
      <w:r>
        <w:t xml:space="preserve">   </w:t>
      </w:r>
      <w:r>
        <w:tab/>
      </w:r>
      <w:r>
        <w:t xml:space="preserve">26</w:t>
      </w:r>
    </w:p>
    <w:p>
      <w:pPr>
        <w:keepLines/>
        <w:tabs>
          <w:tab w:val="right" w:leader="dot" w:pos="9360"/>
        </w:tabs>
        <w:spacing w:before="276" w:after="0" w:line="276" w:lineRule="exact"/>
        <w:ind w:left="504" w:right="720" w:firstLine="0"/>
      </w:pPr>
      <w:r>
        <w:t xml:space="preserve">C.</w:t>
      </w:r>
      <w:r>
        <w:t xml:space="preserve"> </w:t>
      </w:r>
      <w:r>
        <w:t xml:space="preserve">Alternatively,</w:t>
      </w:r>
      <w:r>
        <w:t xml:space="preserve"> </w:t>
      </w:r>
      <w:r>
        <w:t xml:space="preserve">this</w:t>
      </w:r>
      <w:r>
        <w:t xml:space="preserve"> </w:t>
      </w:r>
      <w:r>
        <w:t xml:space="preserve">Court</w:t>
      </w:r>
      <w:r>
        <w:t xml:space="preserve"> </w:t>
      </w:r>
      <w:r>
        <w:t xml:space="preserve">should</w:t>
      </w:r>
      <w:r>
        <w:t xml:space="preserve"> </w:t>
      </w:r>
      <w:r>
        <w:t xml:space="preserve">add</w:t>
      </w:r>
      <w:r>
        <w:t xml:space="preserve"> </w:t>
      </w:r>
      <w:r>
        <w:t xml:space="preserve">an</w:t>
      </w:r>
      <w:r>
        <w:t xml:space="preserve"> </w:t>
      </w:r>
      <w:r>
        <w:t xml:space="preserve">exception</w:t>
      </w:r>
      <w:r>
        <w:t xml:space="preserve"> </w:t>
      </w:r>
      <w:r>
        <w:t xml:space="preserve">to</w:t>
      </w:r>
      <w:r>
        <w:t xml:space="preserve"> </w:t>
      </w:r>
      <w:r>
        <w:t xml:space="preserve">its</w:t>
      </w:r>
      <w:r>
        <w:t xml:space="preserve"> </w:t>
      </w:r>
      <w:r>
        <w:t xml:space="preserve">retroactivity</w:t>
      </w:r>
      <w:r>
        <w:t xml:space="preserve"> </w:t>
      </w:r>
      <w:r>
        <w:t xml:space="preserve">standard.</w:t>
      </w:r>
      <w:r>
        <w:t xml:space="preserve">   </w:t>
      </w:r>
      <w:r>
        <w:tab/>
      </w:r>
      <w:r>
        <w:t xml:space="preserve">26</w:t>
      </w:r>
    </w:p>
    <w:p>
      <w:pPr>
        <w:keepLines/>
        <w:tabs>
          <w:tab w:val="right" w:leader="dot" w:pos="9360"/>
        </w:tabs>
        <w:spacing w:before="276" w:after="0" w:line="276" w:lineRule="exact"/>
        <w:ind w:left="1008" w:right="720" w:firstLine="0"/>
      </w:pPr>
      <w:r>
        <w:t xml:space="preserve">1.</w:t>
      </w:r>
      <w:r>
        <w:t xml:space="preserve"> </w:t>
      </w:r>
      <w:r>
        <w:t xml:space="preserve">Louisiana’s</w:t>
      </w:r>
      <w:r>
        <w:t xml:space="preserve"> </w:t>
      </w:r>
      <w:r>
        <w:t xml:space="preserve">Constitution</w:t>
      </w:r>
      <w:r>
        <w:t xml:space="preserve"> </w:t>
      </w:r>
      <w:r>
        <w:t xml:space="preserve">should</w:t>
      </w:r>
      <w:r>
        <w:t xml:space="preserve"> </w:t>
      </w:r>
      <w:r>
        <w:t xml:space="preserve">influence</w:t>
      </w:r>
      <w:r>
        <w:t xml:space="preserve"> </w:t>
      </w:r>
      <w:r>
        <w:t xml:space="preserve">the</w:t>
      </w:r>
      <w:r>
        <w:t xml:space="preserve"> </w:t>
      </w:r>
      <w:r>
        <w:t xml:space="preserve">retroactivity</w:t>
      </w:r>
      <w:r>
        <w:t xml:space="preserve"> </w:t>
      </w:r>
      <w:r>
        <w:t xml:space="preserve">standard.</w:t>
      </w:r>
      <w:r>
        <w:t xml:space="preserve">   </w:t>
      </w:r>
      <w:r>
        <w:tab/>
      </w:r>
      <w:r>
        <w:t xml:space="preserve">27</w:t>
      </w:r>
    </w:p>
    <w:p>
      <w:pPr>
        <w:keepLines/>
        <w:tabs>
          <w:tab w:val="right" w:leader="dot" w:pos="9360"/>
        </w:tabs>
        <w:spacing w:before="276" w:after="0" w:line="276" w:lineRule="exact"/>
        <w:ind w:left="1008" w:right="720" w:firstLine="0"/>
      </w:pPr>
      <w:r>
        <w:t xml:space="preserve">2.</w:t>
      </w:r>
      <w:r>
        <w:t xml:space="preserve"> </w:t>
      </w:r>
      <w:r>
        <w:t xml:space="preserve">Any</w:t>
      </w:r>
      <w:r>
        <w:t xml:space="preserve"> </w:t>
      </w:r>
      <w:r>
        <w:t xml:space="preserve">finality</w:t>
      </w:r>
      <w:r>
        <w:t xml:space="preserve"> </w:t>
      </w:r>
      <w:r>
        <w:t xml:space="preserve">considerations</w:t>
      </w:r>
      <w:r>
        <w:t xml:space="preserve"> </w:t>
      </w:r>
      <w:r>
        <w:t xml:space="preserve">should</w:t>
      </w:r>
      <w:r>
        <w:t xml:space="preserve"> </w:t>
      </w:r>
      <w:r>
        <w:t xml:space="preserve">favor</w:t>
      </w:r>
      <w:r>
        <w:t xml:space="preserve"> </w:t>
      </w:r>
      <w:r>
        <w:t xml:space="preserve">Mr.</w:t>
      </w:r>
      <w:r>
        <w:t xml:space="preserve"> </w:t>
      </w:r>
      <w:r>
        <w:t xml:space="preserve">Reddick.</w:t>
      </w:r>
      <w:r>
        <w:t xml:space="preserve">   </w:t>
      </w:r>
      <w:r>
        <w:tab/>
      </w:r>
      <w:r>
        <w:t xml:space="preserve">29</w:t>
      </w:r>
    </w:p>
    <w:p>
      <w:pPr>
        <w:keepLines/>
        <w:tabs>
          <w:tab w:val="right" w:leader="dot" w:pos="9360"/>
        </w:tabs>
        <w:spacing w:before="276" w:after="0" w:line="276" w:lineRule="exact"/>
        <w:ind w:left="1008" w:right="720" w:firstLine="0"/>
      </w:pPr>
      <w:r>
        <w:t xml:space="preserve">3.</w:t>
      </w:r>
      <w:r>
        <w:t xml:space="preserve"> </w:t>
      </w:r>
      <w:r>
        <w:t xml:space="preserve">Louisiana</w:t>
      </w:r>
      <w:r>
        <w:t xml:space="preserve"> </w:t>
      </w:r>
      <w:r>
        <w:t xml:space="preserve">has</w:t>
      </w:r>
      <w:r>
        <w:t xml:space="preserve"> </w:t>
      </w:r>
      <w:r>
        <w:t xml:space="preserve">state-specific</w:t>
      </w:r>
      <w:r>
        <w:t xml:space="preserve"> </w:t>
      </w:r>
      <w:r>
        <w:t xml:space="preserve">interests</w:t>
      </w:r>
      <w:r>
        <w:t xml:space="preserve"> </w:t>
      </w:r>
      <w:r>
        <w:t xml:space="preserve">in</w:t>
      </w:r>
      <w:r>
        <w:t xml:space="preserve"> </w:t>
      </w:r>
      <w:r>
        <w:t xml:space="preserve">the</w:t>
      </w:r>
      <w:r>
        <w:t xml:space="preserve"> </w:t>
      </w:r>
      <w:r>
        <w:t xml:space="preserve">retroactivity</w:t>
      </w:r>
      <w:r>
        <w:t xml:space="preserve"> </w:t>
      </w:r>
      <w:r>
        <w:t xml:space="preserve">of</w:t>
      </w:r>
      <w:r>
        <w:t xml:space="preserve"> </w:t>
      </w:r>
      <w:r>
        <w:rPr>
          <w:i/>
          <w:iCs/>
        </w:rPr>
        <w:t xml:space="preserve">Ramos</w:t>
      </w:r>
      <w:r>
        <w:t xml:space="preserve">.</w:t>
      </w:r>
      <w:r>
        <w:t xml:space="preserve">   </w:t>
      </w:r>
      <w:r>
        <w:tab/>
      </w:r>
      <w:r>
        <w:t xml:space="preserve">32</w:t>
      </w:r>
    </w:p>
    <w:p>
      <w:pPr>
        <w:keepLines/>
        <w:tabs>
          <w:tab w:val="right" w:leader="dot" w:pos="9360"/>
        </w:tabs>
        <w:spacing w:before="276" w:after="0" w:line="276" w:lineRule="exact"/>
        <w:ind w:left="1008" w:right="720" w:firstLine="0"/>
      </w:pPr>
      <w:r>
        <w:t xml:space="preserve">4.</w:t>
      </w:r>
      <w:r>
        <w:t xml:space="preserve"> </w:t>
      </w:r>
      <w:r>
        <w:t xml:space="preserve">Mr.</w:t>
      </w:r>
      <w:r>
        <w:t xml:space="preserve"> </w:t>
      </w:r>
      <w:r>
        <w:t xml:space="preserve">Reddick</w:t>
      </w:r>
      <w:r>
        <w:t xml:space="preserve"> </w:t>
      </w:r>
      <w:r>
        <w:t xml:space="preserve">Proposes</w:t>
      </w:r>
      <w:r>
        <w:t xml:space="preserve"> </w:t>
      </w:r>
      <w:r>
        <w:t xml:space="preserve">the</w:t>
      </w:r>
      <w:r>
        <w:t xml:space="preserve"> </w:t>
      </w:r>
      <w:r>
        <w:t xml:space="preserve">“Jim</w:t>
      </w:r>
      <w:r>
        <w:t xml:space="preserve"> </w:t>
      </w:r>
      <w:r>
        <w:t xml:space="preserve">Crow”</w:t>
      </w:r>
      <w:r>
        <w:t xml:space="preserve"> </w:t>
      </w:r>
      <w:r>
        <w:t xml:space="preserve">retroactivity</w:t>
      </w:r>
      <w:r>
        <w:t xml:space="preserve"> </w:t>
      </w:r>
      <w:r>
        <w:t xml:space="preserve">test.</w:t>
      </w:r>
      <w:r>
        <w:t xml:space="preserve">   </w:t>
      </w:r>
      <w:r>
        <w:tab/>
      </w:r>
      <w:r>
        <w:t xml:space="preserve">34</w:t>
      </w:r>
    </w:p>
    <w:p>
      <w:pPr>
        <w:keepLines/>
        <w:tabs>
          <w:tab w:val="right" w:leader="dot" w:pos="9360"/>
        </w:tabs>
        <w:spacing w:before="276" w:after="0" w:line="276" w:lineRule="exact"/>
        <w:ind w:left="0" w:right="720" w:firstLine="0"/>
      </w:pPr>
      <w:r>
        <w:t xml:space="preserve">CONCLUSION</w:t>
      </w:r>
      <w:r>
        <w:t xml:space="preserve">   </w:t>
      </w:r>
      <w:r>
        <w:tab/>
      </w:r>
      <w:r>
        <w:t xml:space="preserve">34</w:t>
      </w:r>
    </w:p>
    <w:p>
      <w:pPr>
        <w:pageBreakBefore/>
        <w:spacing w:before="0" w:after="0" w:line="1" w:lineRule="exact"/>
      </w:pPr>
    </w:p>
    <w:p>
      <w:pPr>
        <w:keepNext/>
        <w:keepLines/>
        <w:spacing w:before="0" w:after="240" w:line="276" w:lineRule="exact"/>
        <w:ind w:left="0" w:firstLine="0"/>
        <w:jc w:val="center"/>
      </w:pPr>
      <w:r>
        <w:rPr>
          <w:b/>
          <w:bCs/>
        </w:rPr>
        <w:t xml:space="preserve">INDEX</w:t>
      </w:r>
      <w:r>
        <w:rPr>
          <w:b/>
          <w:bCs/>
        </w:rPr>
        <w:t xml:space="preserve"> </w:t>
      </w:r>
      <w:r>
        <w:rPr>
          <w:b/>
          <w:bCs/>
        </w:rPr>
        <w:t xml:space="preserve">OF</w:t>
      </w:r>
      <w:r>
        <w:rPr>
          <w:b/>
          <w:bCs/>
        </w:rPr>
        <w:t xml:space="preserve"> </w:t>
      </w:r>
      <w:r>
        <w:rPr>
          <w:b/>
          <w:bCs/>
        </w:rPr>
        <w:t xml:space="preserve">AUTHORITIES</w:t>
      </w:r>
    </w:p>
    <w:p>
      <w:pPr>
        <w:keepNext/>
        <w:keepLines/>
        <w:spacing w:before="264" w:after="120" w:line="276" w:lineRule="exact"/>
        <w:ind w:left="0" w:firstLine="0"/>
        <w:jc w:val="left"/>
      </w:pPr>
      <w:r>
        <w:rPr>
          <w:b/>
          <w:bCs/>
        </w:rPr>
        <w:t xml:space="preserve">CASES</w:t>
      </w:r>
    </w:p>
    <w:p>
      <w:pPr>
        <w:keepLines/>
        <w:tabs>
          <w:tab w:val="right" w:leader="dot" w:pos="9360"/>
        </w:tabs>
        <w:spacing w:before="144" w:after="0" w:line="276" w:lineRule="exact"/>
        <w:ind w:left="576" w:right="1120" w:hanging="576"/>
      </w:pPr>
      <w:r>
        <w:rPr>
          <w:i/>
          <w:iCs/>
        </w:rPr>
        <w:t xml:space="preserve">Allen</w:t>
      </w:r>
      <w:r>
        <w:rPr>
          <w:i/>
          <w:iCs/>
        </w:rPr>
        <w:t xml:space="preserve"> </w:t>
      </w:r>
      <w:r>
        <w:rPr>
          <w:i/>
          <w:iCs/>
        </w:rPr>
        <w:t xml:space="preserve">v.</w:t>
      </w:r>
      <w:r>
        <w:rPr>
          <w:i/>
          <w:iCs/>
        </w:rPr>
        <w:t xml:space="preserve"> </w:t>
      </w:r>
      <w:r>
        <w:rPr>
          <w:i/>
          <w:iCs/>
        </w:rPr>
        <w:t xml:space="preserve">Hardy</w:t>
      </w:r>
      <w:r>
        <w:t xml:space="preserve"> </w:t>
      </w:r>
      <w:r>
        <w:t xml:space="preserve">478</w:t>
      </w:r>
      <w:r>
        <w:t xml:space="preserve"> </w:t>
      </w:r>
      <w:r>
        <w:t xml:space="preserve">U.S.</w:t>
      </w:r>
      <w:r>
        <w:t xml:space="preserve"> </w:t>
      </w:r>
      <w:r>
        <w:t xml:space="preserve">255</w:t>
      </w:r>
      <w:r>
        <w:t xml:space="preserve"> </w:t>
      </w:r>
      <w:r>
        <w:t xml:space="preserve">(1986)</w:t>
      </w:r>
      <w:r>
        <w:t xml:space="preserve">   </w:t>
      </w:r>
      <w:r>
        <w:tab/>
      </w:r>
      <w:r>
        <w:t xml:space="preserve">15, 29</w:t>
      </w:r>
    </w:p>
    <w:p>
      <w:pPr>
        <w:keepLines/>
        <w:tabs>
          <w:tab w:val="right" w:leader="dot" w:pos="9360"/>
        </w:tabs>
        <w:spacing w:before="144" w:after="0" w:line="276" w:lineRule="exact"/>
        <w:ind w:left="576" w:right="1120" w:hanging="576"/>
      </w:pPr>
      <w:r>
        <w:rPr>
          <w:i/>
          <w:iCs/>
        </w:rPr>
        <w:t xml:space="preserve">Andres</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333</w:t>
      </w:r>
      <w:r>
        <w:t xml:space="preserve"> </w:t>
      </w:r>
      <w:r>
        <w:t xml:space="preserve">U.S.</w:t>
      </w:r>
      <w:r>
        <w:t xml:space="preserve"> </w:t>
      </w:r>
      <w:r>
        <w:t xml:space="preserve">740</w:t>
      </w:r>
      <w:r>
        <w:t xml:space="preserve"> </w:t>
      </w:r>
      <w:r>
        <w:t xml:space="preserve">(1948)</w:t>
      </w:r>
      <w:r>
        <w:t xml:space="preserve">   </w:t>
      </w:r>
      <w:r>
        <w:tab/>
      </w:r>
      <w:r>
        <w:t xml:space="preserve">23</w:t>
      </w:r>
    </w:p>
    <w:p>
      <w:pPr>
        <w:keepLines/>
        <w:tabs>
          <w:tab w:val="right" w:leader="dot" w:pos="9360"/>
        </w:tabs>
        <w:spacing w:before="144" w:after="0" w:line="276" w:lineRule="exact"/>
        <w:ind w:left="576" w:right="1120" w:hanging="576"/>
      </w:pPr>
      <w:r>
        <w:rPr>
          <w:i/>
          <w:iCs/>
        </w:rPr>
        <w:t xml:space="preserve">Apodaca</w:t>
      </w:r>
      <w:r>
        <w:rPr>
          <w:i/>
          <w:iCs/>
        </w:rPr>
        <w:t xml:space="preserve"> </w:t>
      </w:r>
      <w:r>
        <w:rPr>
          <w:i/>
          <w:iCs/>
        </w:rPr>
        <w:t xml:space="preserve">v.</w:t>
      </w:r>
      <w:r>
        <w:rPr>
          <w:i/>
          <w:iCs/>
        </w:rPr>
        <w:t xml:space="preserve"> </w:t>
      </w:r>
      <w:r>
        <w:rPr>
          <w:i/>
          <w:iCs/>
        </w:rPr>
        <w:t xml:space="preserve">Oregon</w:t>
      </w:r>
      <w:r>
        <w:t xml:space="preserve"> </w:t>
      </w:r>
      <w:r>
        <w:t xml:space="preserve">406</w:t>
      </w:r>
      <w:r>
        <w:t xml:space="preserve"> </w:t>
      </w:r>
      <w:r>
        <w:t xml:space="preserve">U.S.</w:t>
      </w:r>
      <w:r>
        <w:t xml:space="preserve"> </w:t>
      </w:r>
      <w:r>
        <w:t xml:space="preserve">404</w:t>
      </w:r>
      <w:r>
        <w:t xml:space="preserve"> </w:t>
      </w:r>
      <w:r>
        <w:t xml:space="preserve">(1972)</w:t>
      </w:r>
      <w:r>
        <w:t xml:space="preserve"> </w:t>
      </w:r>
      <w:r>
        <w:t xml:space="preserve">(plurality</w:t>
      </w:r>
      <w:r>
        <w:t xml:space="preserve"> </w:t>
      </w:r>
      <w:r>
        <w:t xml:space="preserve">opinion)</w:t>
      </w:r>
      <w:r>
        <w:t xml:space="preserve">   </w:t>
      </w:r>
      <w:r>
        <w:tab/>
      </w:r>
      <w:r>
        <w:t xml:space="preserve">23</w:t>
      </w:r>
    </w:p>
    <w:p>
      <w:pPr>
        <w:keepLines/>
        <w:tabs>
          <w:tab w:val="right" w:leader="dot" w:pos="9360"/>
        </w:tabs>
        <w:spacing w:before="144" w:after="0" w:line="276" w:lineRule="exact"/>
        <w:ind w:left="576" w:right="1120" w:hanging="576"/>
      </w:pPr>
      <w:r>
        <w:rPr>
          <w:i/>
          <w:iCs/>
        </w:rPr>
        <w:t xml:space="preserve">Apprendi</w:t>
      </w:r>
      <w:r>
        <w:rPr>
          <w:i/>
          <w:iCs/>
        </w:rPr>
        <w:t xml:space="preserve"> </w:t>
      </w:r>
      <w:r>
        <w:rPr>
          <w:i/>
          <w:iCs/>
        </w:rPr>
        <w:t xml:space="preserve">v.</w:t>
      </w:r>
      <w:r>
        <w:rPr>
          <w:i/>
          <w:iCs/>
        </w:rPr>
        <w:t xml:space="preserve"> </w:t>
      </w:r>
      <w:r>
        <w:rPr>
          <w:i/>
          <w:iCs/>
        </w:rPr>
        <w:t xml:space="preserve">New</w:t>
      </w:r>
      <w:r>
        <w:rPr>
          <w:i/>
          <w:iCs/>
        </w:rPr>
        <w:t xml:space="preserve"> </w:t>
      </w:r>
      <w:r>
        <w:rPr>
          <w:i/>
          <w:iCs/>
        </w:rPr>
        <w:t xml:space="preserve">Jersey</w:t>
      </w:r>
      <w:r>
        <w:t xml:space="preserve"> </w:t>
      </w:r>
      <w:r>
        <w:t xml:space="preserve">530</w:t>
      </w:r>
      <w:r>
        <w:t xml:space="preserve"> </w:t>
      </w:r>
      <w:r>
        <w:t xml:space="preserve">U.S.</w:t>
      </w:r>
      <w:r>
        <w:t xml:space="preserve"> </w:t>
      </w:r>
      <w:r>
        <w:t xml:space="preserve">466</w:t>
      </w:r>
      <w:r>
        <w:t xml:space="preserve"> </w:t>
      </w:r>
      <w:r>
        <w:t xml:space="preserve">(2000)</w:t>
      </w:r>
      <w:r>
        <w:t xml:space="preserve">   </w:t>
      </w:r>
      <w:r>
        <w:tab/>
      </w:r>
      <w:r>
        <w:t xml:space="preserve">23</w:t>
      </w:r>
    </w:p>
    <w:p>
      <w:pPr>
        <w:keepLines/>
        <w:tabs>
          <w:tab w:val="right" w:leader="dot" w:pos="9360"/>
        </w:tabs>
        <w:spacing w:before="144" w:after="0" w:line="276" w:lineRule="exact"/>
        <w:ind w:left="576" w:right="1120" w:hanging="576"/>
      </w:pPr>
      <w:r>
        <w:rPr>
          <w:i/>
          <w:iCs/>
        </w:rPr>
        <w:t xml:space="preserve">Atkins</w:t>
      </w:r>
      <w:r>
        <w:rPr>
          <w:i/>
          <w:iCs/>
        </w:rPr>
        <w:t xml:space="preserve"> </w:t>
      </w:r>
      <w:r>
        <w:rPr>
          <w:i/>
          <w:iCs/>
        </w:rPr>
        <w:t xml:space="preserve">v.</w:t>
      </w:r>
      <w:r>
        <w:rPr>
          <w:i/>
          <w:iCs/>
        </w:rPr>
        <w:t xml:space="preserve"> </w:t>
      </w:r>
      <w:r>
        <w:rPr>
          <w:i/>
          <w:iCs/>
        </w:rPr>
        <w:t xml:space="preserve">Listi</w:t>
      </w:r>
      <w:r>
        <w:t xml:space="preserve"> </w:t>
      </w:r>
      <w:r>
        <w:t xml:space="preserve">625</w:t>
      </w:r>
      <w:r>
        <w:t xml:space="preserve"> </w:t>
      </w:r>
      <w:r>
        <w:t xml:space="preserve">F.2d</w:t>
      </w:r>
      <w:r>
        <w:t xml:space="preserve"> </w:t>
      </w:r>
      <w:r>
        <w:t xml:space="preserve">525</w:t>
      </w:r>
      <w:r>
        <w:t xml:space="preserve"> </w:t>
      </w:r>
      <w:r>
        <w:t xml:space="preserve">(5th</w:t>
      </w:r>
      <w:r>
        <w:t xml:space="preserve"> </w:t>
      </w:r>
      <w:r>
        <w:t xml:space="preserve">Cir.</w:t>
      </w:r>
      <w:r>
        <w:t xml:space="preserve"> </w:t>
      </w:r>
      <w:r>
        <w:t xml:space="preserve">1980)</w:t>
      </w:r>
      <w:r>
        <w:t xml:space="preserve">   </w:t>
      </w:r>
      <w:r>
        <w:tab/>
      </w:r>
      <w:r>
        <w:t xml:space="preserve">19</w:t>
      </w:r>
    </w:p>
    <w:p>
      <w:pPr>
        <w:keepLines/>
        <w:tabs>
          <w:tab w:val="right" w:leader="dot" w:pos="9360"/>
        </w:tabs>
        <w:spacing w:before="144" w:after="0" w:line="276" w:lineRule="exact"/>
        <w:ind w:left="576" w:right="1120" w:hanging="576"/>
      </w:pPr>
      <w:r>
        <w:rPr>
          <w:i/>
          <w:iCs/>
        </w:rPr>
        <w:t xml:space="preserve">Batson</w:t>
      </w:r>
      <w:r>
        <w:rPr>
          <w:i/>
          <w:iCs/>
        </w:rPr>
        <w:t xml:space="preserve"> </w:t>
      </w:r>
      <w:r>
        <w:rPr>
          <w:i/>
          <w:iCs/>
        </w:rPr>
        <w:t xml:space="preserve">v.</w:t>
      </w:r>
      <w:r>
        <w:rPr>
          <w:i/>
          <w:iCs/>
        </w:rPr>
        <w:t xml:space="preserve"> </w:t>
      </w:r>
      <w:r>
        <w:rPr>
          <w:i/>
          <w:iCs/>
        </w:rPr>
        <w:t xml:space="preserve">Kentucky</w:t>
      </w:r>
      <w:r>
        <w:t xml:space="preserve"> </w:t>
      </w:r>
      <w:r>
        <w:t xml:space="preserve">476</w:t>
      </w:r>
      <w:r>
        <w:t xml:space="preserve"> </w:t>
      </w:r>
      <w:r>
        <w:t xml:space="preserve">U.S.</w:t>
      </w:r>
      <w:r>
        <w:t xml:space="preserve"> </w:t>
      </w:r>
      <w:r>
        <w:t xml:space="preserve">79</w:t>
      </w:r>
      <w:r>
        <w:t xml:space="preserve"> </w:t>
      </w:r>
      <w:r>
        <w:t xml:space="preserve">(1986)</w:t>
      </w:r>
      <w:r>
        <w:t xml:space="preserve">   </w:t>
      </w:r>
      <w:r>
        <w:tab/>
      </w:r>
      <w:r>
        <w:t xml:space="preserve">15</w:t>
      </w:r>
    </w:p>
    <w:p>
      <w:pPr>
        <w:keepLines/>
        <w:tabs>
          <w:tab w:val="right" w:leader="dot" w:pos="9360"/>
        </w:tabs>
        <w:spacing w:before="144" w:after="0" w:line="276" w:lineRule="exact"/>
        <w:ind w:left="576" w:right="1120" w:hanging="576"/>
      </w:pPr>
      <w:r>
        <w:rPr>
          <w:i/>
          <w:iCs/>
        </w:rPr>
        <w:t xml:space="preserve">Beard</w:t>
      </w:r>
      <w:r>
        <w:rPr>
          <w:i/>
          <w:iCs/>
        </w:rPr>
        <w:t xml:space="preserve"> </w:t>
      </w:r>
      <w:r>
        <w:rPr>
          <w:i/>
          <w:iCs/>
        </w:rPr>
        <w:t xml:space="preserve">v.</w:t>
      </w:r>
      <w:r>
        <w:rPr>
          <w:i/>
          <w:iCs/>
        </w:rPr>
        <w:t xml:space="preserve"> </w:t>
      </w:r>
      <w:r>
        <w:rPr>
          <w:i/>
          <w:iCs/>
        </w:rPr>
        <w:t xml:space="preserve">Banks</w:t>
      </w:r>
      <w:r>
        <w:t xml:space="preserve"> </w:t>
      </w:r>
      <w:r>
        <w:t xml:space="preserve">542</w:t>
      </w:r>
      <w:r>
        <w:t xml:space="preserve"> </w:t>
      </w:r>
      <w:r>
        <w:t xml:space="preserve">U.S.</w:t>
      </w:r>
      <w:r>
        <w:t xml:space="preserve"> </w:t>
      </w:r>
      <w:r>
        <w:t xml:space="preserve">406</w:t>
      </w:r>
      <w:r>
        <w:t xml:space="preserve"> </w:t>
      </w:r>
      <w:r>
        <w:t xml:space="preserve">(2004)</w:t>
      </w:r>
      <w:r>
        <w:t xml:space="preserve">   </w:t>
      </w:r>
      <w:r>
        <w:tab/>
      </w:r>
      <w:r>
        <w:t xml:space="preserve">21</w:t>
      </w:r>
    </w:p>
    <w:p>
      <w:pPr>
        <w:keepLines/>
        <w:tabs>
          <w:tab w:val="right" w:leader="dot" w:pos="9360"/>
        </w:tabs>
        <w:spacing w:before="144" w:after="0" w:line="276" w:lineRule="exact"/>
        <w:ind w:left="576" w:right="1120" w:hanging="576"/>
      </w:pPr>
      <w:r>
        <w:rPr>
          <w:i/>
          <w:iCs/>
        </w:rPr>
        <w:t xml:space="preserve">Betts</w:t>
      </w:r>
      <w:r>
        <w:rPr>
          <w:i/>
          <w:iCs/>
        </w:rPr>
        <w:t xml:space="preserve"> </w:t>
      </w:r>
      <w:r>
        <w:rPr>
          <w:i/>
          <w:iCs/>
        </w:rPr>
        <w:t xml:space="preserve">v.</w:t>
      </w:r>
      <w:r>
        <w:rPr>
          <w:i/>
          <w:iCs/>
        </w:rPr>
        <w:t xml:space="preserve"> </w:t>
      </w:r>
      <w:r>
        <w:rPr>
          <w:i/>
          <w:iCs/>
        </w:rPr>
        <w:t xml:space="preserve">Brady</w:t>
      </w:r>
      <w:r>
        <w:t xml:space="preserve"> </w:t>
      </w:r>
      <w:r>
        <w:t xml:space="preserve">316</w:t>
      </w:r>
      <w:r>
        <w:t xml:space="preserve"> </w:t>
      </w:r>
      <w:r>
        <w:t xml:space="preserve">U.S.</w:t>
      </w:r>
      <w:r>
        <w:t xml:space="preserve"> </w:t>
      </w:r>
      <w:r>
        <w:t xml:space="preserve">455</w:t>
      </w:r>
      <w:r>
        <w:t xml:space="preserve"> </w:t>
      </w:r>
      <w:r>
        <w:t xml:space="preserve">(1942)</w:t>
      </w:r>
      <w:r>
        <w:t xml:space="preserve">   </w:t>
      </w:r>
      <w:r>
        <w:tab/>
      </w:r>
      <w:r>
        <w:t xml:space="preserve">21</w:t>
      </w:r>
    </w:p>
    <w:p>
      <w:pPr>
        <w:keepLines/>
        <w:tabs>
          <w:tab w:val="right" w:leader="dot" w:pos="9360"/>
        </w:tabs>
        <w:spacing w:before="144" w:after="0" w:line="276" w:lineRule="exact"/>
        <w:ind w:left="576" w:right="1120" w:hanging="576"/>
      </w:pPr>
      <w:r>
        <w:rPr>
          <w:i/>
          <w:iCs/>
        </w:rPr>
        <w:t xml:space="preserve">Blakely</w:t>
      </w:r>
      <w:r>
        <w:rPr>
          <w:i/>
          <w:iCs/>
        </w:rPr>
        <w:t xml:space="preserve"> </w:t>
      </w:r>
      <w:r>
        <w:rPr>
          <w:i/>
          <w:iCs/>
        </w:rPr>
        <w:t xml:space="preserve">v.</w:t>
      </w:r>
      <w:r>
        <w:rPr>
          <w:i/>
          <w:iCs/>
        </w:rPr>
        <w:t xml:space="preserve"> </w:t>
      </w:r>
      <w:r>
        <w:rPr>
          <w:i/>
          <w:iCs/>
        </w:rPr>
        <w:t xml:space="preserve">Washington</w:t>
      </w:r>
      <w:r>
        <w:t xml:space="preserve"> </w:t>
      </w:r>
      <w:r>
        <w:t xml:space="preserve">542</w:t>
      </w:r>
      <w:r>
        <w:t xml:space="preserve"> </w:t>
      </w:r>
      <w:r>
        <w:t xml:space="preserve">U.S.</w:t>
      </w:r>
      <w:r>
        <w:t xml:space="preserve"> </w:t>
      </w:r>
      <w:r>
        <w:t xml:space="preserve">296</w:t>
      </w:r>
      <w:r>
        <w:t xml:space="preserve"> </w:t>
      </w:r>
      <w:r>
        <w:t xml:space="preserve">(2004)</w:t>
      </w:r>
      <w:r>
        <w:t xml:space="preserve">   </w:t>
      </w:r>
      <w:r>
        <w:tab/>
      </w:r>
      <w:r>
        <w:t xml:space="preserve">23</w:t>
      </w:r>
    </w:p>
    <w:p>
      <w:pPr>
        <w:keepLines/>
        <w:tabs>
          <w:tab w:val="right" w:leader="dot" w:pos="9360"/>
        </w:tabs>
        <w:spacing w:before="144" w:after="0" w:line="276" w:lineRule="exact"/>
        <w:ind w:left="576" w:right="1120" w:hanging="576"/>
      </w:pPr>
      <w:r>
        <w:rPr>
          <w:i/>
          <w:iCs/>
        </w:rPr>
        <w:t xml:space="preserve">Brown</w:t>
      </w:r>
      <w:r>
        <w:rPr>
          <w:i/>
          <w:iCs/>
        </w:rPr>
        <w:t xml:space="preserve"> </w:t>
      </w:r>
      <w:r>
        <w:rPr>
          <w:i/>
          <w:iCs/>
        </w:rPr>
        <w:t xml:space="preserve">v.</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Education</w:t>
      </w:r>
      <w:r>
        <w:t xml:space="preserve"> </w:t>
      </w:r>
      <w:r>
        <w:t xml:space="preserve">347</w:t>
      </w:r>
      <w:r>
        <w:t xml:space="preserve"> </w:t>
      </w:r>
      <w:r>
        <w:t xml:space="preserve">U.S.</w:t>
      </w:r>
      <w:r>
        <w:t xml:space="preserve"> </w:t>
      </w:r>
      <w:r>
        <w:t xml:space="preserve">483</w:t>
      </w:r>
      <w:r>
        <w:t xml:space="preserve"> </w:t>
      </w:r>
      <w:r>
        <w:t xml:space="preserve">(1954)</w:t>
      </w:r>
      <w:r>
        <w:t xml:space="preserve">   </w:t>
      </w:r>
      <w:r>
        <w:tab/>
      </w:r>
      <w:r>
        <w:t xml:space="preserve">1</w:t>
      </w:r>
    </w:p>
    <w:p>
      <w:pPr>
        <w:keepLines/>
        <w:tabs>
          <w:tab w:val="right" w:leader="dot" w:pos="9360"/>
        </w:tabs>
        <w:spacing w:before="144" w:after="0" w:line="276" w:lineRule="exact"/>
        <w:ind w:left="576" w:right="1320" w:hanging="576"/>
      </w:pPr>
      <w:r>
        <w:rPr>
          <w:i/>
          <w:iCs/>
        </w:rPr>
        <w:t xml:space="preserve">Brown</w:t>
      </w:r>
      <w:r>
        <w:rPr>
          <w:i/>
          <w:iCs/>
        </w:rPr>
        <w:t xml:space="preserve"> </w:t>
      </w:r>
      <w:r>
        <w:rPr>
          <w:i/>
          <w:iCs/>
        </w:rPr>
        <w:t xml:space="preserve">v.</w:t>
      </w:r>
      <w:r>
        <w:rPr>
          <w:i/>
          <w:iCs/>
        </w:rPr>
        <w:t xml:space="preserve"> </w:t>
      </w:r>
      <w:r>
        <w:rPr>
          <w:i/>
          <w:iCs/>
        </w:rPr>
        <w:t xml:space="preserve">Louisiana</w:t>
      </w:r>
      <w:r>
        <w:t xml:space="preserve"> </w:t>
      </w:r>
      <w:r>
        <w:t xml:space="preserve">447</w:t>
      </w:r>
      <w:r>
        <w:t xml:space="preserve"> </w:t>
      </w:r>
      <w:r>
        <w:t xml:space="preserve">U.S.</w:t>
      </w:r>
      <w:r>
        <w:t xml:space="preserve"> </w:t>
      </w:r>
      <w:r>
        <w:t xml:space="preserve">323</w:t>
      </w:r>
      <w:r>
        <w:t xml:space="preserve"> </w:t>
      </w:r>
      <w:r>
        <w:t xml:space="preserve">(1980)</w:t>
      </w:r>
      <w:r>
        <w:t xml:space="preserve">   </w:t>
      </w:r>
      <w:r>
        <w:tab/>
      </w:r>
      <w:r>
        <w:t xml:space="preserve">18, 19, 24, 25</w:t>
      </w:r>
    </w:p>
    <w:p>
      <w:pPr>
        <w:keepLines/>
        <w:tabs>
          <w:tab w:val="right" w:leader="dot" w:pos="9360"/>
        </w:tabs>
        <w:spacing w:before="144" w:after="0" w:line="276" w:lineRule="exact"/>
        <w:ind w:left="576" w:right="1120" w:hanging="576"/>
      </w:pPr>
      <w:r>
        <w:rPr>
          <w:i/>
          <w:iCs/>
        </w:rPr>
        <w:t xml:space="preserve">Burch</w:t>
      </w:r>
      <w:r>
        <w:rPr>
          <w:i/>
          <w:iCs/>
        </w:rPr>
        <w:t xml:space="preserve"> </w:t>
      </w:r>
      <w:r>
        <w:rPr>
          <w:i/>
          <w:iCs/>
        </w:rPr>
        <w:t xml:space="preserve">v.</w:t>
      </w:r>
      <w:r>
        <w:rPr>
          <w:i/>
          <w:iCs/>
        </w:rPr>
        <w:t xml:space="preserve"> </w:t>
      </w:r>
      <w:r>
        <w:rPr>
          <w:i/>
          <w:iCs/>
        </w:rPr>
        <w:t xml:space="preserve">Louisiana</w:t>
      </w:r>
      <w:r>
        <w:t xml:space="preserve"> </w:t>
      </w:r>
      <w:r>
        <w:t xml:space="preserve">441</w:t>
      </w:r>
      <w:r>
        <w:t xml:space="preserve"> </w:t>
      </w:r>
      <w:r>
        <w:t xml:space="preserve">U.S.</w:t>
      </w:r>
      <w:r>
        <w:t xml:space="preserve"> </w:t>
      </w:r>
      <w:r>
        <w:t xml:space="preserve">130</w:t>
      </w:r>
      <w:r>
        <w:t xml:space="preserve"> </w:t>
      </w:r>
      <w:r>
        <w:t xml:space="preserve">(1979)</w:t>
      </w:r>
      <w:r>
        <w:t xml:space="preserve">   </w:t>
      </w:r>
      <w:r>
        <w:tab/>
      </w:r>
      <w:r>
        <w:t xml:space="preserve">18</w:t>
      </w:r>
    </w:p>
    <w:p>
      <w:pPr>
        <w:keepLines/>
        <w:tabs>
          <w:tab w:val="right" w:leader="dot" w:pos="9360"/>
        </w:tabs>
        <w:spacing w:before="144" w:after="0" w:line="276" w:lineRule="exact"/>
        <w:ind w:left="576" w:right="1120" w:hanging="576"/>
      </w:pPr>
      <w:r>
        <w:rPr>
          <w:i/>
          <w:iCs/>
        </w:rPr>
        <w:t xml:space="preserve">Cage</w:t>
      </w:r>
      <w:r>
        <w:rPr>
          <w:i/>
          <w:iCs/>
        </w:rPr>
        <w:t xml:space="preserve"> </w:t>
      </w:r>
      <w:r>
        <w:rPr>
          <w:i/>
          <w:iCs/>
        </w:rPr>
        <w:t xml:space="preserve">v.</w:t>
      </w:r>
      <w:r>
        <w:rPr>
          <w:i/>
          <w:iCs/>
        </w:rPr>
        <w:t xml:space="preserve"> </w:t>
      </w:r>
      <w:r>
        <w:rPr>
          <w:i/>
          <w:iCs/>
        </w:rPr>
        <w:t xml:space="preserve">Louisiana</w:t>
      </w:r>
      <w:r>
        <w:t xml:space="preserve"> </w:t>
      </w:r>
      <w:r>
        <w:t xml:space="preserve">498</w:t>
      </w:r>
      <w:r>
        <w:t xml:space="preserve"> </w:t>
      </w:r>
      <w:r>
        <w:t xml:space="preserve">U.S.</w:t>
      </w:r>
      <w:r>
        <w:t xml:space="preserve"> </w:t>
      </w:r>
      <w:r>
        <w:t xml:space="preserve">39</w:t>
      </w:r>
      <w:r>
        <w:t xml:space="preserve"> </w:t>
      </w:r>
      <w:r>
        <w:t xml:space="preserve">(1990)</w:t>
      </w:r>
      <w:r>
        <w:t xml:space="preserve">   </w:t>
      </w:r>
      <w:r>
        <w:tab/>
      </w:r>
      <w:r>
        <w:t xml:space="preserve">16</w:t>
      </w:r>
    </w:p>
    <w:p>
      <w:pPr>
        <w:keepLines/>
        <w:tabs>
          <w:tab w:val="right" w:leader="dot" w:pos="9360"/>
        </w:tabs>
        <w:spacing w:before="144" w:after="0" w:line="276" w:lineRule="exact"/>
        <w:ind w:left="576" w:right="1120" w:hanging="576"/>
      </w:pPr>
      <w:r>
        <w:rPr>
          <w:i/>
          <w:iCs/>
        </w:rPr>
        <w:t xml:space="preserve">Caldwell</w:t>
      </w:r>
      <w:r>
        <w:rPr>
          <w:i/>
          <w:iCs/>
        </w:rPr>
        <w:t xml:space="preserve"> </w:t>
      </w:r>
      <w:r>
        <w:rPr>
          <w:i/>
          <w:iCs/>
        </w:rPr>
        <w:t xml:space="preserve">v.</w:t>
      </w:r>
      <w:r>
        <w:rPr>
          <w:i/>
          <w:iCs/>
        </w:rPr>
        <w:t xml:space="preserve"> </w:t>
      </w:r>
      <w:r>
        <w:rPr>
          <w:i/>
          <w:iCs/>
        </w:rPr>
        <w:t xml:space="preserve">Mississippi</w:t>
      </w:r>
      <w:r>
        <w:t xml:space="preserve"> </w:t>
      </w:r>
      <w:r>
        <w:t xml:space="preserve">472</w:t>
      </w:r>
      <w:r>
        <w:t xml:space="preserve"> </w:t>
      </w:r>
      <w:r>
        <w:t xml:space="preserve">U.S.</w:t>
      </w:r>
      <w:r>
        <w:t xml:space="preserve"> </w:t>
      </w:r>
      <w:r>
        <w:t xml:space="preserve">320</w:t>
      </w:r>
      <w:r>
        <w:t xml:space="preserve"> </w:t>
      </w:r>
      <w:r>
        <w:t xml:space="preserve">(1985)</w:t>
      </w:r>
      <w:r>
        <w:t xml:space="preserve">   </w:t>
      </w:r>
      <w:r>
        <w:tab/>
      </w:r>
      <w:r>
        <w:t xml:space="preserve">15</w:t>
      </w:r>
    </w:p>
    <w:p>
      <w:pPr>
        <w:keepLines/>
        <w:tabs>
          <w:tab w:val="right" w:leader="dot" w:pos="9360"/>
        </w:tabs>
        <w:spacing w:before="144" w:after="0" w:line="276" w:lineRule="exact"/>
        <w:ind w:left="576" w:right="1120" w:hanging="576"/>
      </w:pPr>
      <w:r>
        <w:rPr>
          <w:i/>
          <w:iCs/>
        </w:rPr>
        <w:t xml:space="preserve">Cassard</w:t>
      </w:r>
      <w:r>
        <w:rPr>
          <w:i/>
          <w:iCs/>
        </w:rPr>
        <w:t xml:space="preserve"> </w:t>
      </w:r>
      <w:r>
        <w:rPr>
          <w:i/>
          <w:iCs/>
        </w:rPr>
        <w:t xml:space="preserve">v.</w:t>
      </w:r>
      <w:r>
        <w:rPr>
          <w:i/>
          <w:iCs/>
        </w:rPr>
        <w:t xml:space="preserve"> </w:t>
      </w:r>
      <w:r>
        <w:rPr>
          <w:i/>
          <w:iCs/>
        </w:rPr>
        <w:t xml:space="preserve">Vannoy</w:t>
      </w:r>
      <w:r>
        <w:t xml:space="preserve"> </w:t>
      </w:r>
      <w:r>
        <w:t xml:space="preserve">2020</w:t>
        <w:noBreakHyphen/>
        <w:t xml:space="preserve">00020</w:t>
      </w:r>
      <w:r>
        <w:t xml:space="preserve"> </w:t>
      </w:r>
      <w:r>
        <w:t xml:space="preserve">(La.</w:t>
      </w:r>
      <w:r>
        <w:t xml:space="preserve"> </w:t>
      </w:r>
      <w:r>
        <w:t xml:space="preserve">10/06/20),</w:t>
      </w:r>
      <w:r>
        <w:t xml:space="preserve"> </w:t>
      </w:r>
      <w:r>
        <w:t xml:space="preserve">2020</w:t>
      </w:r>
      <w:r>
        <w:t xml:space="preserve"> </w:t>
      </w:r>
      <w:r>
        <w:t xml:space="preserve">WL</w:t>
      </w:r>
      <w:r>
        <w:t xml:space="preserve"> </w:t>
      </w:r>
      <w:r>
        <w:t xml:space="preserve">5905099</w:t>
      </w:r>
      <w:r>
        <w:t xml:space="preserve">   </w:t>
      </w:r>
      <w:r>
        <w:tab/>
      </w:r>
      <w:r>
        <w:t xml:space="preserve">31</w:t>
      </w:r>
    </w:p>
    <w:p>
      <w:pPr>
        <w:keepLines/>
        <w:tabs>
          <w:tab w:val="right" w:leader="dot" w:pos="9360"/>
        </w:tabs>
        <w:spacing w:before="144" w:after="0" w:line="276" w:lineRule="exact"/>
        <w:ind w:left="576" w:right="1120" w:hanging="576"/>
      </w:pPr>
      <w:r>
        <w:rPr>
          <w:i/>
          <w:iCs/>
        </w:rPr>
        <w:t xml:space="preserve">Chaidez</w:t>
      </w:r>
      <w:r>
        <w:rPr>
          <w:i/>
          <w:iCs/>
        </w:rPr>
        <w:t xml:space="preserve"> </w:t>
      </w:r>
      <w:r>
        <w:rPr>
          <w:i/>
          <w:iCs/>
        </w:rPr>
        <w:t xml:space="preserve">v.</w:t>
      </w:r>
      <w:r>
        <w:rPr>
          <w:i/>
          <w:iCs/>
        </w:rPr>
        <w:t xml:space="preserve"> </w:t>
      </w:r>
      <w:r>
        <w:rPr>
          <w:i/>
          <w:iCs/>
        </w:rPr>
        <w:t xml:space="preserve">US</w:t>
      </w:r>
      <w:r>
        <w:t xml:space="preserve"> </w:t>
      </w:r>
      <w:r>
        <w:t xml:space="preserve">568</w:t>
      </w:r>
      <w:r>
        <w:t xml:space="preserve"> </w:t>
      </w:r>
      <w:r>
        <w:t xml:space="preserve">U.S.</w:t>
      </w:r>
      <w:r>
        <w:t xml:space="preserve"> </w:t>
      </w:r>
      <w:r>
        <w:t xml:space="preserve">342</w:t>
      </w:r>
      <w:r>
        <w:t xml:space="preserve"> </w:t>
      </w:r>
      <w:r>
        <w:t xml:space="preserve">(2013)</w:t>
      </w:r>
      <w:r>
        <w:t xml:space="preserve">   </w:t>
      </w:r>
      <w:r>
        <w:tab/>
      </w:r>
      <w:r>
        <w:t xml:space="preserve">25</w:t>
      </w:r>
    </w:p>
    <w:p>
      <w:pPr>
        <w:keepLines/>
        <w:tabs>
          <w:tab w:val="right" w:leader="dot" w:pos="9360"/>
        </w:tabs>
        <w:spacing w:before="144" w:after="0" w:line="276" w:lineRule="exact"/>
        <w:ind w:left="576" w:right="1120" w:hanging="576"/>
      </w:pPr>
      <w:r>
        <w:rPr>
          <w:i/>
          <w:iCs/>
        </w:rPr>
        <w:t xml:space="preserve">Colwell</w:t>
      </w:r>
      <w:r>
        <w:rPr>
          <w:i/>
          <w:iCs/>
        </w:rPr>
        <w:t xml:space="preserve"> </w:t>
      </w:r>
      <w:r>
        <w:rPr>
          <w:i/>
          <w:iCs/>
        </w:rPr>
        <w:t xml:space="preserve">v.</w:t>
      </w:r>
      <w:r>
        <w:rPr>
          <w:i/>
          <w:iCs/>
        </w:rPr>
        <w:t xml:space="preserve"> </w:t>
      </w:r>
      <w:r>
        <w:rPr>
          <w:i/>
          <w:iCs/>
        </w:rPr>
        <w:t xml:space="preserve">State</w:t>
      </w:r>
      <w:r>
        <w:t xml:space="preserve"> </w:t>
      </w:r>
      <w:r>
        <w:t xml:space="preserve">59</w:t>
      </w:r>
      <w:r>
        <w:t xml:space="preserve"> </w:t>
      </w:r>
      <w:r>
        <w:t xml:space="preserve">P.3d</w:t>
      </w:r>
      <w:r>
        <w:t xml:space="preserve"> </w:t>
      </w:r>
      <w:r>
        <w:t xml:space="preserve">463</w:t>
      </w:r>
      <w:r>
        <w:t xml:space="preserve"> </w:t>
      </w:r>
      <w:r>
        <w:t xml:space="preserve">(Nev.</w:t>
      </w:r>
      <w:r>
        <w:t xml:space="preserve"> </w:t>
      </w:r>
      <w:r>
        <w:t xml:space="preserve">2002)</w:t>
      </w:r>
      <w:r>
        <w:t xml:space="preserve">   </w:t>
      </w:r>
      <w:r>
        <w:tab/>
      </w:r>
      <w:r>
        <w:t xml:space="preserve">24</w:t>
      </w:r>
    </w:p>
    <w:p>
      <w:pPr>
        <w:keepLines/>
        <w:tabs>
          <w:tab w:val="right" w:leader="dot" w:pos="9360"/>
        </w:tabs>
        <w:spacing w:before="144" w:after="0" w:line="276" w:lineRule="exact"/>
        <w:ind w:left="576" w:right="1120" w:hanging="576"/>
      </w:pPr>
      <w:r>
        <w:rPr>
          <w:i/>
          <w:iCs/>
        </w:rPr>
        <w:t xml:space="preserve">Commonwealth</w:t>
      </w:r>
      <w:r>
        <w:rPr>
          <w:i/>
          <w:iCs/>
        </w:rPr>
        <w:t xml:space="preserve"> </w:t>
      </w:r>
      <w:r>
        <w:rPr>
          <w:i/>
          <w:iCs/>
        </w:rPr>
        <w:t xml:space="preserve">v.</w:t>
      </w:r>
      <w:r>
        <w:rPr>
          <w:i/>
          <w:iCs/>
        </w:rPr>
        <w:t xml:space="preserve"> </w:t>
      </w:r>
      <w:r>
        <w:rPr>
          <w:i/>
          <w:iCs/>
        </w:rPr>
        <w:t xml:space="preserve">Bowden</w:t>
      </w:r>
      <w:r>
        <w:t xml:space="preserve"> </w:t>
      </w:r>
      <w:r>
        <w:t xml:space="preserve">9</w:t>
      </w:r>
      <w:r>
        <w:t xml:space="preserve"> </w:t>
      </w:r>
      <w:r>
        <w:t xml:space="preserve">Mass.</w:t>
      </w:r>
      <w:r>
        <w:t xml:space="preserve"> </w:t>
      </w:r>
      <w:r>
        <w:t xml:space="preserve">494</w:t>
      </w:r>
      <w:r>
        <w:t xml:space="preserve"> </w:t>
      </w:r>
      <w:r>
        <w:t xml:space="preserve">(1813)</w:t>
      </w:r>
      <w:r>
        <w:t xml:space="preserve">   </w:t>
      </w:r>
      <w:r>
        <w:tab/>
      </w:r>
      <w:r>
        <w:t xml:space="preserve">22</w:t>
      </w:r>
    </w:p>
    <w:p>
      <w:pPr>
        <w:keepLines/>
        <w:tabs>
          <w:tab w:val="right" w:leader="dot" w:pos="9360"/>
        </w:tabs>
        <w:spacing w:before="144" w:after="0" w:line="276" w:lineRule="exact"/>
        <w:ind w:left="576" w:right="1120" w:hanging="576"/>
      </w:pPr>
      <w:r>
        <w:rPr>
          <w:i/>
          <w:iCs/>
        </w:rPr>
        <w:t xml:space="preserve">Commonwealth</w:t>
      </w:r>
      <w:r>
        <w:rPr>
          <w:i/>
          <w:iCs/>
        </w:rPr>
        <w:t xml:space="preserve"> </w:t>
      </w:r>
      <w:r>
        <w:rPr>
          <w:i/>
          <w:iCs/>
        </w:rPr>
        <w:t xml:space="preserve">v.</w:t>
      </w:r>
      <w:r>
        <w:rPr>
          <w:i/>
          <w:iCs/>
        </w:rPr>
        <w:t xml:space="preserve"> </w:t>
      </w:r>
      <w:r>
        <w:rPr>
          <w:i/>
          <w:iCs/>
        </w:rPr>
        <w:t xml:space="preserve">Fells</w:t>
      </w:r>
      <w:r>
        <w:t xml:space="preserve"> </w:t>
      </w:r>
      <w:r>
        <w:t xml:space="preserve">36</w:t>
      </w:r>
      <w:r>
        <w:t xml:space="preserve"> </w:t>
      </w:r>
      <w:r>
        <w:t xml:space="preserve">Va.</w:t>
      </w:r>
      <w:r>
        <w:t xml:space="preserve"> </w:t>
      </w:r>
      <w:r>
        <w:t xml:space="preserve">613</w:t>
      </w:r>
      <w:r>
        <w:t xml:space="preserve"> </w:t>
      </w:r>
      <w:r>
        <w:t xml:space="preserve">(1838)</w:t>
      </w:r>
      <w:r>
        <w:t xml:space="preserve">   </w:t>
      </w:r>
      <w:r>
        <w:tab/>
      </w:r>
      <w:r>
        <w:t xml:space="preserve">22</w:t>
      </w:r>
    </w:p>
    <w:p>
      <w:pPr>
        <w:keepLines/>
        <w:tabs>
          <w:tab w:val="right" w:leader="dot" w:pos="9360"/>
        </w:tabs>
        <w:spacing w:before="144" w:after="0" w:line="276" w:lineRule="exact"/>
        <w:ind w:left="576" w:right="1120" w:hanging="576"/>
      </w:pPr>
      <w:r>
        <w:rPr>
          <w:i/>
          <w:iCs/>
        </w:rPr>
        <w:t xml:space="preserve">Crawford</w:t>
      </w:r>
      <w:r>
        <w:rPr>
          <w:i/>
          <w:iCs/>
        </w:rPr>
        <w:t xml:space="preserve"> </w:t>
      </w:r>
      <w:r>
        <w:rPr>
          <w:i/>
          <w:iCs/>
        </w:rPr>
        <w:t xml:space="preserve">v.</w:t>
      </w:r>
      <w:r>
        <w:rPr>
          <w:i/>
          <w:iCs/>
        </w:rPr>
        <w:t xml:space="preserve"> </w:t>
      </w:r>
      <w:r>
        <w:rPr>
          <w:i/>
          <w:iCs/>
        </w:rPr>
        <w:t xml:space="preserve">Washington</w:t>
      </w:r>
      <w:r>
        <w:t xml:space="preserve"> </w:t>
      </w:r>
      <w:r>
        <w:t xml:space="preserve">541</w:t>
      </w:r>
      <w:r>
        <w:t xml:space="preserve"> </w:t>
      </w:r>
      <w:r>
        <w:t xml:space="preserve">U.S.</w:t>
      </w:r>
      <w:r>
        <w:t xml:space="preserve"> </w:t>
      </w:r>
      <w:r>
        <w:t xml:space="preserve">36</w:t>
      </w:r>
      <w:r>
        <w:t xml:space="preserve"> </w:t>
      </w:r>
      <w:r>
        <w:t xml:space="preserve">(2004)</w:t>
      </w:r>
      <w:r>
        <w:t xml:space="preserve">   </w:t>
      </w:r>
      <w:r>
        <w:tab/>
      </w:r>
      <w:r>
        <w:t xml:space="preserve">15, 16</w:t>
      </w:r>
    </w:p>
    <w:p>
      <w:pPr>
        <w:keepLines/>
        <w:tabs>
          <w:tab w:val="right" w:leader="dot" w:pos="9360"/>
        </w:tabs>
        <w:spacing w:before="144" w:after="0" w:line="276" w:lineRule="exact"/>
        <w:ind w:left="576" w:right="1120" w:hanging="576"/>
      </w:pPr>
      <w:r>
        <w:rPr>
          <w:i/>
          <w:iCs/>
        </w:rPr>
        <w:t xml:space="preserve">Danforth</w:t>
      </w:r>
      <w:r>
        <w:rPr>
          <w:i/>
          <w:iCs/>
        </w:rPr>
        <w:t xml:space="preserve"> </w:t>
      </w:r>
      <w:r>
        <w:rPr>
          <w:i/>
          <w:iCs/>
        </w:rPr>
        <w:t xml:space="preserve">v.</w:t>
      </w:r>
      <w:r>
        <w:rPr>
          <w:i/>
          <w:iCs/>
        </w:rPr>
        <w:t xml:space="preserve"> </w:t>
      </w:r>
      <w:r>
        <w:rPr>
          <w:i/>
          <w:iCs/>
        </w:rPr>
        <w:t xml:space="preserve">Minnesota</w:t>
      </w:r>
      <w:r>
        <w:t xml:space="preserve"> </w:t>
      </w:r>
      <w:r>
        <w:t xml:space="preserve">552</w:t>
      </w:r>
      <w:r>
        <w:t xml:space="preserve"> </w:t>
      </w:r>
      <w:r>
        <w:t xml:space="preserve">U.S.</w:t>
      </w:r>
      <w:r>
        <w:t xml:space="preserve"> </w:t>
      </w:r>
      <w:r>
        <w:t xml:space="preserve">264</w:t>
      </w:r>
      <w:r>
        <w:t xml:space="preserve"> </w:t>
      </w:r>
      <w:r>
        <w:t xml:space="preserve">(2008)</w:t>
      </w:r>
      <w:r>
        <w:t xml:space="preserve">   </w:t>
      </w:r>
      <w:r>
        <w:tab/>
      </w:r>
      <w:r>
        <w:t xml:space="preserve">10, 26</w:t>
      </w:r>
    </w:p>
    <w:p>
      <w:pPr>
        <w:keepLines/>
        <w:tabs>
          <w:tab w:val="right" w:leader="dot" w:pos="9360"/>
        </w:tabs>
        <w:spacing w:before="144" w:after="0" w:line="276" w:lineRule="exact"/>
        <w:ind w:left="576" w:right="1120" w:hanging="576"/>
      </w:pPr>
      <w:r>
        <w:rPr>
          <w:i/>
          <w:iCs/>
        </w:rPr>
        <w:t xml:space="preserve">Dennis</w:t>
      </w:r>
      <w:r>
        <w:rPr>
          <w:i/>
          <w:iCs/>
        </w:rPr>
        <w:t xml:space="preserve"> </w:t>
      </w:r>
      <w:r>
        <w:rPr>
          <w:i/>
          <w:iCs/>
        </w:rPr>
        <w:t xml:space="preserve">v.</w:t>
      </w:r>
      <w:r>
        <w:rPr>
          <w:i/>
          <w:iCs/>
        </w:rPr>
        <w:t xml:space="preserve"> </w:t>
      </w:r>
      <w:r>
        <w:rPr>
          <w:i/>
          <w:iCs/>
        </w:rPr>
        <w:t xml:space="preserve">Vannoy</w:t>
      </w:r>
      <w:r>
        <w:t xml:space="preserve"> </w:t>
      </w:r>
      <w:r>
        <w:t xml:space="preserve">2019</w:t>
        <w:noBreakHyphen/>
        <w:t xml:space="preserve">01794</w:t>
      </w:r>
      <w:r>
        <w:t xml:space="preserve"> </w:t>
      </w:r>
      <w:r>
        <w:t xml:space="preserve">(La.</w:t>
      </w:r>
      <w:r>
        <w:t xml:space="preserve"> </w:t>
      </w:r>
      <w:r>
        <w:t xml:space="preserve">07/24/20);</w:t>
      </w:r>
      <w:r>
        <w:t xml:space="preserve"> </w:t>
      </w:r>
      <w:r>
        <w:t xml:space="preserve">299</w:t>
      </w:r>
      <w:r>
        <w:t xml:space="preserve"> </w:t>
      </w:r>
      <w:r>
        <w:t xml:space="preserve">So.3d</w:t>
      </w:r>
      <w:r>
        <w:t xml:space="preserve"> </w:t>
      </w:r>
      <w:r>
        <w:t xml:space="preserve">54</w:t>
      </w:r>
      <w:r>
        <w:t xml:space="preserve">   </w:t>
      </w:r>
      <w:r>
        <w:tab/>
      </w:r>
      <w:r>
        <w:t xml:space="preserve">31, 32</w:t>
      </w:r>
    </w:p>
    <w:p>
      <w:pPr>
        <w:keepLines/>
        <w:tabs>
          <w:tab w:val="right" w:leader="dot" w:pos="9360"/>
        </w:tabs>
        <w:spacing w:before="144" w:after="0" w:line="276" w:lineRule="exact"/>
        <w:ind w:left="576" w:right="1120" w:hanging="576"/>
      </w:pPr>
      <w:r>
        <w:rPr>
          <w:i/>
          <w:iCs/>
        </w:rPr>
        <w:t xml:space="preserve">Descamps</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570</w:t>
      </w:r>
      <w:r>
        <w:t xml:space="preserve"> </w:t>
      </w:r>
      <w:r>
        <w:t xml:space="preserve">U.S.</w:t>
      </w:r>
      <w:r>
        <w:t xml:space="preserve"> </w:t>
      </w:r>
      <w:r>
        <w:t xml:space="preserve">254</w:t>
      </w:r>
      <w:r>
        <w:t xml:space="preserve"> </w:t>
      </w:r>
      <w:r>
        <w:t xml:space="preserve">(2013)</w:t>
      </w:r>
      <w:r>
        <w:t xml:space="preserve">   </w:t>
      </w:r>
      <w:r>
        <w:tab/>
      </w:r>
      <w:r>
        <w:t xml:space="preserve">23</w:t>
      </w:r>
    </w:p>
    <w:p>
      <w:pPr>
        <w:keepLines/>
        <w:tabs>
          <w:tab w:val="right" w:leader="dot" w:pos="9360"/>
        </w:tabs>
        <w:spacing w:before="144" w:after="0" w:line="276" w:lineRule="exact"/>
        <w:ind w:left="576" w:right="1120" w:hanging="576"/>
      </w:pPr>
      <w:r>
        <w:rPr>
          <w:i/>
          <w:iCs/>
        </w:rPr>
        <w:t xml:space="preserve">Duncan</w:t>
      </w:r>
      <w:r>
        <w:rPr>
          <w:i/>
          <w:iCs/>
        </w:rPr>
        <w:t xml:space="preserve"> </w:t>
      </w:r>
      <w:r>
        <w:rPr>
          <w:i/>
          <w:iCs/>
        </w:rPr>
        <w:t xml:space="preserve">v.</w:t>
      </w:r>
      <w:r>
        <w:rPr>
          <w:i/>
          <w:iCs/>
        </w:rPr>
        <w:t xml:space="preserve"> </w:t>
      </w:r>
      <w:r>
        <w:rPr>
          <w:i/>
          <w:iCs/>
        </w:rPr>
        <w:t xml:space="preserve">Louisiana</w:t>
      </w:r>
      <w:r>
        <w:t xml:space="preserve"> </w:t>
      </w:r>
      <w:r>
        <w:t xml:space="preserve">391</w:t>
      </w:r>
      <w:r>
        <w:t xml:space="preserve"> </w:t>
      </w:r>
      <w:r>
        <w:t xml:space="preserve">U.S.</w:t>
      </w:r>
      <w:r>
        <w:t xml:space="preserve"> </w:t>
      </w:r>
      <w:r>
        <w:t xml:space="preserve">145</w:t>
      </w:r>
      <w:r>
        <w:t xml:space="preserve"> </w:t>
      </w:r>
      <w:r>
        <w:t xml:space="preserve">(1968)</w:t>
      </w:r>
      <w:r>
        <w:t xml:space="preserve">   </w:t>
      </w:r>
      <w:r>
        <w:tab/>
      </w:r>
      <w:r>
        <w:t xml:space="preserve">12, 14, 23</w:t>
      </w:r>
    </w:p>
    <w:p>
      <w:pPr>
        <w:keepLines/>
        <w:tabs>
          <w:tab w:val="right" w:leader="dot" w:pos="9360"/>
        </w:tabs>
        <w:spacing w:before="144" w:after="0" w:line="276" w:lineRule="exact"/>
        <w:ind w:left="576" w:right="1920" w:hanging="576"/>
      </w:pPr>
      <w:r>
        <w:rPr>
          <w:i/>
          <w:iCs/>
        </w:rPr>
        <w:t xml:space="preserve">Edwards</w:t>
      </w:r>
      <w:r>
        <w:rPr>
          <w:i/>
          <w:iCs/>
        </w:rPr>
        <w:t xml:space="preserve"> </w:t>
      </w:r>
      <w:r>
        <w:rPr>
          <w:i/>
          <w:iCs/>
        </w:rPr>
        <w:t xml:space="preserve">v.</w:t>
      </w:r>
      <w:r>
        <w:rPr>
          <w:i/>
          <w:iCs/>
        </w:rPr>
        <w:t xml:space="preserve"> </w:t>
      </w:r>
      <w:r>
        <w:rPr>
          <w:i/>
          <w:iCs/>
        </w:rPr>
        <w:t xml:space="preserve">Vannoy</w:t>
      </w:r>
      <w:r>
        <w:t xml:space="preserve"> </w:t>
      </w:r>
      <w:r>
        <w:t xml:space="preserve">141</w:t>
      </w:r>
      <w:r>
        <w:t xml:space="preserve"> </w:t>
      </w:r>
      <w:r>
        <w:t xml:space="preserve">S.</w:t>
      </w:r>
      <w:r>
        <w:t xml:space="preserve"> </w:t>
      </w:r>
      <w:r>
        <w:t xml:space="preserve">Ct.</w:t>
      </w:r>
      <w:r>
        <w:t xml:space="preserve"> </w:t>
      </w:r>
      <w:r>
        <w:t xml:space="preserve">1547</w:t>
      </w:r>
      <w:r>
        <w:t xml:space="preserve"> </w:t>
      </w:r>
      <w:r>
        <w:t xml:space="preserve">(2021)</w:t>
      </w:r>
      <w:r>
        <w:t xml:space="preserve">   </w:t>
      </w:r>
      <w:r>
        <w:tab/>
      </w:r>
      <w:r>
        <w:t xml:space="preserve">5, 10, 15, 22, 24, 26</w:t>
      </w:r>
    </w:p>
    <w:p>
      <w:pPr>
        <w:keepLines/>
        <w:tabs>
          <w:tab w:val="right" w:leader="dot" w:pos="9360"/>
        </w:tabs>
        <w:spacing w:before="144" w:after="0" w:line="276" w:lineRule="exact"/>
        <w:ind w:left="576" w:right="1120" w:hanging="576"/>
      </w:pPr>
      <w:r>
        <w:rPr>
          <w:i/>
          <w:iCs/>
        </w:rPr>
        <w:t xml:space="preserve">Espinoza</w:t>
      </w:r>
      <w:r>
        <w:rPr>
          <w:i/>
          <w:iCs/>
        </w:rPr>
        <w:t xml:space="preserve"> </w:t>
      </w:r>
      <w:r>
        <w:rPr>
          <w:i/>
          <w:iCs/>
        </w:rPr>
        <w:t xml:space="preserve">v.</w:t>
      </w:r>
      <w:r>
        <w:rPr>
          <w:i/>
          <w:iCs/>
        </w:rPr>
        <w:t xml:space="preserve"> </w:t>
      </w:r>
      <w:r>
        <w:rPr>
          <w:i/>
          <w:iCs/>
        </w:rPr>
        <w:t xml:space="preserve">Mont.</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Revenue</w:t>
      </w:r>
      <w:r>
        <w:t xml:space="preserve"> </w:t>
      </w:r>
      <w:r>
        <w:t xml:space="preserve">140</w:t>
      </w:r>
      <w:r>
        <w:t xml:space="preserve"> </w:t>
      </w:r>
      <w:r>
        <w:t xml:space="preserve">S.</w:t>
      </w:r>
      <w:r>
        <w:t xml:space="preserve"> </w:t>
      </w:r>
      <w:r>
        <w:t xml:space="preserve">Ct.</w:t>
      </w:r>
      <w:r>
        <w:t xml:space="preserve"> </w:t>
      </w:r>
      <w:r>
        <w:t xml:space="preserve">2246</w:t>
      </w:r>
      <w:r>
        <w:t xml:space="preserve"> </w:t>
      </w:r>
      <w:r>
        <w:t xml:space="preserve">(2020)</w:t>
      </w:r>
      <w:r>
        <w:t xml:space="preserve"> </w:t>
      </w:r>
      <w:r>
        <w:t xml:space="preserve">(Alito,</w:t>
      </w:r>
      <w:r>
        <w:t xml:space="preserve"> </w:t>
      </w:r>
      <w:r>
        <w:t xml:space="preserve">J.,</w:t>
      </w:r>
      <w:r>
        <w:t xml:space="preserve"> </w:t>
      </w:r>
      <w:r>
        <w:t xml:space="preserve">concurring)</w:t>
      </w:r>
      <w:r>
        <w:t xml:space="preserve">   </w:t>
      </w:r>
      <w:r>
        <w:tab/>
      </w:r>
      <w:r>
        <w:t xml:space="preserve">13</w:t>
      </w:r>
    </w:p>
    <w:p>
      <w:pPr>
        <w:keepLines/>
        <w:tabs>
          <w:tab w:val="right" w:leader="dot" w:pos="9360"/>
        </w:tabs>
        <w:spacing w:before="144" w:after="0" w:line="276" w:lineRule="exact"/>
        <w:ind w:left="576" w:right="1120" w:hanging="576"/>
      </w:pPr>
      <w:r>
        <w:rPr>
          <w:i/>
          <w:iCs/>
        </w:rPr>
        <w:t xml:space="preserve">Falconer</w:t>
      </w:r>
      <w:r>
        <w:rPr>
          <w:i/>
          <w:iCs/>
        </w:rPr>
        <w:t xml:space="preserve"> </w:t>
      </w:r>
      <w:r>
        <w:rPr>
          <w:i/>
          <w:iCs/>
        </w:rPr>
        <w:t xml:space="preserve">v.</w:t>
      </w:r>
      <w:r>
        <w:rPr>
          <w:i/>
          <w:iCs/>
        </w:rPr>
        <w:t xml:space="preserve"> </w:t>
      </w:r>
      <w:r>
        <w:rPr>
          <w:i/>
          <w:iCs/>
        </w:rPr>
        <w:t xml:space="preserve">Lane</w:t>
      </w:r>
      <w:r>
        <w:t xml:space="preserve"> </w:t>
      </w:r>
      <w:r>
        <w:t xml:space="preserve">905</w:t>
      </w:r>
      <w:r>
        <w:t xml:space="preserve"> </w:t>
      </w:r>
      <w:r>
        <w:t xml:space="preserve">F.2d</w:t>
      </w:r>
      <w:r>
        <w:t xml:space="preserve"> </w:t>
      </w:r>
      <w:r>
        <w:t xml:space="preserve">1129</w:t>
      </w:r>
      <w:r>
        <w:t xml:space="preserve"> </w:t>
      </w:r>
      <w:r>
        <w:t xml:space="preserve">(7th</w:t>
      </w:r>
      <w:r>
        <w:t xml:space="preserve"> </w:t>
      </w:r>
      <w:r>
        <w:t xml:space="preserve">Cir.</w:t>
      </w:r>
      <w:r>
        <w:t xml:space="preserve"> </w:t>
      </w:r>
      <w:r>
        <w:t xml:space="preserve">1990)</w:t>
      </w:r>
      <w:r>
        <w:t xml:space="preserve">   </w:t>
      </w:r>
      <w:r>
        <w:tab/>
      </w:r>
      <w:r>
        <w:t xml:space="preserve">16</w:t>
      </w:r>
    </w:p>
    <w:p>
      <w:pPr>
        <w:keepLines/>
        <w:tabs>
          <w:tab w:val="right" w:leader="dot" w:pos="9360"/>
        </w:tabs>
        <w:spacing w:before="144" w:after="0" w:line="276" w:lineRule="exact"/>
        <w:ind w:left="576" w:right="1120" w:hanging="576"/>
      </w:pPr>
      <w:r>
        <w:rPr>
          <w:i/>
          <w:iCs/>
        </w:rPr>
        <w:t xml:space="preserve">Gideon</w:t>
      </w:r>
      <w:r>
        <w:rPr>
          <w:i/>
          <w:iCs/>
        </w:rPr>
        <w:t xml:space="preserve"> </w:t>
      </w:r>
      <w:r>
        <w:rPr>
          <w:i/>
          <w:iCs/>
        </w:rPr>
        <w:t xml:space="preserve">v.</w:t>
      </w:r>
      <w:r>
        <w:rPr>
          <w:i/>
          <w:iCs/>
        </w:rPr>
        <w:t xml:space="preserve"> </w:t>
      </w:r>
      <w:r>
        <w:rPr>
          <w:i/>
          <w:iCs/>
        </w:rPr>
        <w:t xml:space="preserve">Wainwright</w:t>
      </w:r>
      <w:r>
        <w:t xml:space="preserve"> </w:t>
      </w:r>
      <w:r>
        <w:t xml:space="preserve">372</w:t>
      </w:r>
      <w:r>
        <w:t xml:space="preserve"> </w:t>
      </w:r>
      <w:r>
        <w:t xml:space="preserve">U.S.</w:t>
      </w:r>
      <w:r>
        <w:t xml:space="preserve"> </w:t>
      </w:r>
      <w:r>
        <w:t xml:space="preserve">335</w:t>
      </w:r>
      <w:r>
        <w:t xml:space="preserve"> </w:t>
      </w:r>
      <w:r>
        <w:t xml:space="preserve">(1963)</w:t>
      </w:r>
      <w:r>
        <w:t xml:space="preserve">   </w:t>
      </w:r>
      <w:r>
        <w:tab/>
      </w:r>
      <w:r>
        <w:t xml:space="preserve">9, 21, 22</w:t>
      </w:r>
    </w:p>
    <w:p>
      <w:pPr>
        <w:keepLines/>
        <w:tabs>
          <w:tab w:val="right" w:leader="dot" w:pos="9360"/>
        </w:tabs>
        <w:spacing w:before="144" w:after="0" w:line="276" w:lineRule="exact"/>
        <w:ind w:left="576" w:right="1120" w:hanging="576"/>
      </w:pPr>
      <w:r>
        <w:rPr>
          <w:i/>
          <w:iCs/>
        </w:rPr>
        <w:t xml:space="preserve">Gilmore</w:t>
      </w:r>
      <w:r>
        <w:rPr>
          <w:i/>
          <w:iCs/>
        </w:rPr>
        <w:t xml:space="preserve"> </w:t>
      </w:r>
      <w:r>
        <w:rPr>
          <w:i/>
          <w:iCs/>
        </w:rPr>
        <w:t xml:space="preserve">v.</w:t>
      </w:r>
      <w:r>
        <w:rPr>
          <w:i/>
          <w:iCs/>
        </w:rPr>
        <w:t xml:space="preserve"> </w:t>
      </w:r>
      <w:r>
        <w:rPr>
          <w:i/>
          <w:iCs/>
        </w:rPr>
        <w:t xml:space="preserve">Taylor</w:t>
      </w:r>
      <w:r>
        <w:t xml:space="preserve"> </w:t>
      </w:r>
      <w:r>
        <w:t xml:space="preserve">508</w:t>
      </w:r>
      <w:r>
        <w:t xml:space="preserve"> </w:t>
      </w:r>
      <w:r>
        <w:t xml:space="preserve">U.S.</w:t>
      </w:r>
      <w:r>
        <w:t xml:space="preserve"> </w:t>
      </w:r>
      <w:r>
        <w:t xml:space="preserve">333</w:t>
      </w:r>
      <w:r>
        <w:t xml:space="preserve"> </w:t>
      </w:r>
      <w:r>
        <w:t xml:space="preserve">(1993)</w:t>
      </w:r>
      <w:r>
        <w:t xml:space="preserve">   </w:t>
      </w:r>
      <w:r>
        <w:tab/>
      </w:r>
      <w:r>
        <w:t xml:space="preserve">16, 21</w:t>
      </w:r>
    </w:p>
    <w:p>
      <w:pPr>
        <w:keepLines/>
        <w:tabs>
          <w:tab w:val="right" w:leader="dot" w:pos="9360"/>
        </w:tabs>
        <w:spacing w:before="144" w:after="0" w:line="276" w:lineRule="exact"/>
        <w:ind w:left="576" w:right="1120" w:hanging="576"/>
      </w:pPr>
      <w:r>
        <w:rPr>
          <w:i/>
          <w:iCs/>
        </w:rPr>
        <w:t xml:space="preserve">Givens</w:t>
      </w:r>
      <w:r>
        <w:rPr>
          <w:i/>
          <w:iCs/>
        </w:rPr>
        <w:t xml:space="preserve"> </w:t>
      </w:r>
      <w:r>
        <w:rPr>
          <w:i/>
          <w:iCs/>
        </w:rPr>
        <w:t xml:space="preserve">v.</w:t>
      </w:r>
      <w:r>
        <w:rPr>
          <w:i/>
          <w:iCs/>
        </w:rPr>
        <w:t xml:space="preserve"> </w:t>
      </w:r>
      <w:r>
        <w:rPr>
          <w:i/>
          <w:iCs/>
        </w:rPr>
        <w:t xml:space="preserve">State</w:t>
      </w:r>
      <w:r>
        <w:t xml:space="preserve"> </w:t>
      </w:r>
      <w:r>
        <w:t xml:space="preserve">2020</w:t>
        <w:noBreakHyphen/>
        <w:t xml:space="preserve">00268</w:t>
      </w:r>
      <w:r>
        <w:t xml:space="preserve"> </w:t>
      </w:r>
      <w:r>
        <w:t xml:space="preserve">(La.</w:t>
      </w:r>
      <w:r>
        <w:t xml:space="preserve"> </w:t>
      </w:r>
      <w:r>
        <w:t xml:space="preserve">10/06/20),</w:t>
      </w:r>
      <w:r>
        <w:t xml:space="preserve"> </w:t>
      </w:r>
      <w:r>
        <w:t xml:space="preserve">2020</w:t>
      </w:r>
      <w:r>
        <w:t xml:space="preserve"> </w:t>
      </w:r>
      <w:r>
        <w:t xml:space="preserve">WL</w:t>
      </w:r>
      <w:r>
        <w:t xml:space="preserve"> </w:t>
      </w:r>
      <w:r>
        <w:t xml:space="preserve">5904873</w:t>
      </w:r>
      <w:r>
        <w:t xml:space="preserve">   </w:t>
      </w:r>
      <w:r>
        <w:tab/>
      </w:r>
      <w:r>
        <w:t xml:space="preserve">31</w:t>
      </w:r>
    </w:p>
    <w:p>
      <w:pPr>
        <w:keepLines/>
        <w:tabs>
          <w:tab w:val="right" w:leader="dot" w:pos="9360"/>
        </w:tabs>
        <w:spacing w:before="144" w:after="0" w:line="276" w:lineRule="exact"/>
        <w:ind w:left="576" w:right="1120" w:hanging="576"/>
      </w:pPr>
      <w:r>
        <w:rPr>
          <w:i/>
          <w:iCs/>
        </w:rPr>
        <w:t xml:space="preserve">Griffith</w:t>
      </w:r>
      <w:r>
        <w:rPr>
          <w:i/>
          <w:iCs/>
        </w:rPr>
        <w:t xml:space="preserve"> </w:t>
      </w:r>
      <w:r>
        <w:rPr>
          <w:i/>
          <w:iCs/>
        </w:rPr>
        <w:t xml:space="preserve">v.</w:t>
      </w:r>
      <w:r>
        <w:rPr>
          <w:i/>
          <w:iCs/>
        </w:rPr>
        <w:t xml:space="preserve"> </w:t>
      </w:r>
      <w:r>
        <w:rPr>
          <w:i/>
          <w:iCs/>
        </w:rPr>
        <w:t xml:space="preserve">Kentucky</w:t>
      </w:r>
      <w:r>
        <w:t xml:space="preserve"> </w:t>
      </w:r>
      <w:r>
        <w:t xml:space="preserve">479</w:t>
      </w:r>
      <w:r>
        <w:t xml:space="preserve"> </w:t>
      </w:r>
      <w:r>
        <w:t xml:space="preserve">U.S.</w:t>
      </w:r>
      <w:r>
        <w:t xml:space="preserve"> </w:t>
      </w:r>
      <w:r>
        <w:t xml:space="preserve">314</w:t>
      </w:r>
      <w:r>
        <w:t xml:space="preserve"> </w:t>
      </w:r>
      <w:r>
        <w:t xml:space="preserve">(1987)</w:t>
      </w:r>
      <w:r>
        <w:t xml:space="preserve">   </w:t>
      </w:r>
      <w:r>
        <w:tab/>
      </w:r>
      <w:r>
        <w:t xml:space="preserve">20</w:t>
      </w:r>
    </w:p>
    <w:p>
      <w:pPr>
        <w:keepLines/>
        <w:tabs>
          <w:tab w:val="right" w:leader="dot" w:pos="9360"/>
        </w:tabs>
        <w:spacing w:before="144" w:after="0" w:line="276" w:lineRule="exact"/>
        <w:ind w:left="576" w:right="1120" w:hanging="576"/>
      </w:pPr>
      <w:r>
        <w:rPr>
          <w:i/>
          <w:iCs/>
        </w:rPr>
        <w:t xml:space="preserve">Hernandez</w:t>
      </w:r>
      <w:r>
        <w:rPr>
          <w:i/>
          <w:iCs/>
        </w:rPr>
        <w:t xml:space="preserve"> </w:t>
      </w:r>
      <w:r>
        <w:rPr>
          <w:i/>
          <w:iCs/>
        </w:rPr>
        <w:t xml:space="preserve">v.</w:t>
      </w:r>
      <w:r>
        <w:rPr>
          <w:i/>
          <w:iCs/>
        </w:rPr>
        <w:t xml:space="preserve"> </w:t>
      </w:r>
      <w:r>
        <w:rPr>
          <w:i/>
          <w:iCs/>
        </w:rPr>
        <w:t xml:space="preserve">Vannoy</w:t>
      </w:r>
      <w:r>
        <w:t xml:space="preserve"> </w:t>
      </w:r>
      <w:r>
        <w:t xml:space="preserve">2019</w:t>
        <w:noBreakHyphen/>
        <w:t xml:space="preserve">02034</w:t>
      </w:r>
      <w:r>
        <w:t xml:space="preserve"> </w:t>
      </w:r>
      <w:r>
        <w:t xml:space="preserve">(La.</w:t>
      </w:r>
      <w:r>
        <w:t xml:space="preserve"> </w:t>
      </w:r>
      <w:r>
        <w:t xml:space="preserve">08/14/20);</w:t>
      </w:r>
      <w:r>
        <w:t xml:space="preserve"> </w:t>
      </w:r>
      <w:r>
        <w:t xml:space="preserve">300</w:t>
      </w:r>
      <w:r>
        <w:t xml:space="preserve"> </w:t>
      </w:r>
      <w:r>
        <w:t xml:space="preserve">So.3d</w:t>
      </w:r>
      <w:r>
        <w:t xml:space="preserve"> </w:t>
      </w:r>
      <w:r>
        <w:t xml:space="preserve">857</w:t>
      </w:r>
      <w:r>
        <w:t xml:space="preserve">   </w:t>
      </w:r>
      <w:r>
        <w:tab/>
      </w:r>
      <w:r>
        <w:t xml:space="preserve">31, 32</w:t>
      </w:r>
    </w:p>
    <w:p>
      <w:pPr>
        <w:keepLines/>
        <w:tabs>
          <w:tab w:val="right" w:leader="dot" w:pos="9360"/>
        </w:tabs>
        <w:spacing w:before="144" w:after="0" w:line="276" w:lineRule="exact"/>
        <w:ind w:left="576" w:right="1120" w:hanging="576"/>
      </w:pPr>
      <w:r>
        <w:rPr>
          <w:i/>
          <w:iCs/>
        </w:rPr>
        <w:t xml:space="preserve">In</w:t>
      </w:r>
      <w:r>
        <w:rPr>
          <w:i/>
          <w:iCs/>
        </w:rPr>
        <w:t xml:space="preserve"> </w:t>
      </w:r>
      <w:r>
        <w:rPr>
          <w:i/>
          <w:iCs/>
        </w:rPr>
        <w:t xml:space="preserve">re</w:t>
      </w:r>
      <w:r>
        <w:rPr>
          <w:i/>
          <w:iCs/>
        </w:rPr>
        <w:t xml:space="preserve"> </w:t>
      </w:r>
      <w:r>
        <w:rPr>
          <w:i/>
          <w:iCs/>
        </w:rPr>
        <w:t xml:space="preserve">Winship</w:t>
      </w:r>
      <w:r>
        <w:t xml:space="preserve"> </w:t>
      </w:r>
      <w:r>
        <w:t xml:space="preserve">397</w:t>
      </w:r>
      <w:r>
        <w:t xml:space="preserve"> </w:t>
      </w:r>
      <w:r>
        <w:t xml:space="preserve">U.S.</w:t>
      </w:r>
      <w:r>
        <w:t xml:space="preserve"> </w:t>
      </w:r>
      <w:r>
        <w:t xml:space="preserve">358</w:t>
      </w:r>
      <w:r>
        <w:t xml:space="preserve"> </w:t>
      </w:r>
      <w:r>
        <w:t xml:space="preserve">(1970)</w:t>
      </w:r>
      <w:r>
        <w:t xml:space="preserve">   </w:t>
      </w:r>
      <w:r>
        <w:tab/>
      </w:r>
      <w:r>
        <w:t xml:space="preserve">16, 24</w:t>
      </w:r>
    </w:p>
    <w:p>
      <w:pPr>
        <w:keepLines/>
        <w:tabs>
          <w:tab w:val="right" w:leader="dot" w:pos="9360"/>
        </w:tabs>
        <w:spacing w:before="144" w:after="0" w:line="276" w:lineRule="exact"/>
        <w:ind w:left="576" w:right="1120" w:hanging="576"/>
      </w:pPr>
      <w:r>
        <w:rPr>
          <w:i/>
          <w:iCs/>
        </w:rPr>
        <w:t xml:space="preserve">Ivan</w:t>
      </w:r>
      <w:r>
        <w:rPr>
          <w:i/>
          <w:iCs/>
        </w:rPr>
        <w:t xml:space="preserve"> </w:t>
      </w:r>
      <w:r>
        <w:rPr>
          <w:i/>
          <w:iCs/>
        </w:rPr>
        <w:t xml:space="preserve">V.</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York</w:t>
      </w:r>
      <w:r>
        <w:t xml:space="preserve"> </w:t>
      </w:r>
      <w:r>
        <w:t xml:space="preserve">407</w:t>
      </w:r>
      <w:r>
        <w:t xml:space="preserve"> </w:t>
      </w:r>
      <w:r>
        <w:t xml:space="preserve">U.S.</w:t>
      </w:r>
      <w:r>
        <w:t xml:space="preserve"> </w:t>
      </w:r>
      <w:r>
        <w:t xml:space="preserve">203</w:t>
      </w:r>
      <w:r>
        <w:t xml:space="preserve"> </w:t>
      </w:r>
      <w:r>
        <w:t xml:space="preserve">(1972)</w:t>
      </w:r>
      <w:r>
        <w:t xml:space="preserve">   </w:t>
      </w:r>
      <w:r>
        <w:tab/>
      </w:r>
      <w:r>
        <w:t xml:space="preserve">16, 24</w:t>
      </w:r>
    </w:p>
    <w:p>
      <w:pPr>
        <w:keepLines/>
        <w:tabs>
          <w:tab w:val="right" w:leader="dot" w:pos="9360"/>
        </w:tabs>
        <w:spacing w:before="144" w:after="0" w:line="276" w:lineRule="exact"/>
        <w:ind w:left="576" w:right="1120" w:hanging="576"/>
      </w:pPr>
      <w:r>
        <w:rPr>
          <w:i/>
          <w:iCs/>
        </w:rPr>
        <w:t xml:space="preserve">Johnson</w:t>
      </w:r>
      <w:r>
        <w:rPr>
          <w:i/>
          <w:iCs/>
        </w:rPr>
        <w:t xml:space="preserve"> </w:t>
      </w:r>
      <w:r>
        <w:rPr>
          <w:i/>
          <w:iCs/>
        </w:rPr>
        <w:t xml:space="preserve">v.</w:t>
      </w:r>
      <w:r>
        <w:rPr>
          <w:i/>
          <w:iCs/>
        </w:rPr>
        <w:t xml:space="preserve"> </w:t>
      </w:r>
      <w:r>
        <w:rPr>
          <w:i/>
          <w:iCs/>
        </w:rPr>
        <w:t xml:space="preserve">Louisiana</w:t>
      </w:r>
      <w:r>
        <w:t xml:space="preserve"> </w:t>
      </w:r>
      <w:r>
        <w:t xml:space="preserve">406</w:t>
      </w:r>
      <w:r>
        <w:t xml:space="preserve"> </w:t>
      </w:r>
      <w:r>
        <w:t xml:space="preserve">U.S.</w:t>
      </w:r>
      <w:r>
        <w:t xml:space="preserve"> </w:t>
      </w:r>
      <w:r>
        <w:t xml:space="preserve">356</w:t>
      </w:r>
      <w:r>
        <w:t xml:space="preserve"> </w:t>
      </w:r>
      <w:r>
        <w:t xml:space="preserve">(1972)</w:t>
      </w:r>
      <w:r>
        <w:t xml:space="preserve">   </w:t>
      </w:r>
      <w:r>
        <w:tab/>
      </w:r>
      <w:r>
        <w:t xml:space="preserve">23</w:t>
      </w:r>
    </w:p>
    <w:p>
      <w:pPr>
        <w:keepLines/>
        <w:tabs>
          <w:tab w:val="right" w:leader="dot" w:pos="9360"/>
        </w:tabs>
        <w:spacing w:before="144" w:after="0" w:line="276" w:lineRule="exact"/>
        <w:ind w:left="576" w:right="1120" w:hanging="576"/>
      </w:pPr>
      <w:r>
        <w:rPr>
          <w:i/>
          <w:iCs/>
        </w:rPr>
        <w:t xml:space="preserve">Johnson</w:t>
      </w:r>
      <w:r>
        <w:rPr>
          <w:i/>
          <w:iCs/>
        </w:rPr>
        <w:t xml:space="preserve"> </w:t>
      </w:r>
      <w:r>
        <w:rPr>
          <w:i/>
          <w:iCs/>
        </w:rPr>
        <w:t xml:space="preserve">v.</w:t>
      </w:r>
      <w:r>
        <w:rPr>
          <w:i/>
          <w:iCs/>
        </w:rPr>
        <w:t xml:space="preserve"> </w:t>
      </w:r>
      <w:r>
        <w:rPr>
          <w:i/>
          <w:iCs/>
        </w:rPr>
        <w:t xml:space="preserve">Zerbst</w:t>
      </w:r>
      <w:r>
        <w:t xml:space="preserve"> </w:t>
      </w:r>
      <w:r>
        <w:t xml:space="preserve">304</w:t>
      </w:r>
      <w:r>
        <w:t xml:space="preserve"> </w:t>
      </w:r>
      <w:r>
        <w:t xml:space="preserve">U.S.</w:t>
      </w:r>
      <w:r>
        <w:t xml:space="preserve"> </w:t>
      </w:r>
      <w:r>
        <w:t xml:space="preserve">458</w:t>
      </w:r>
      <w:r>
        <w:t xml:space="preserve"> </w:t>
      </w:r>
      <w:r>
        <w:t xml:space="preserve">(1938)</w:t>
      </w:r>
      <w:r>
        <w:t xml:space="preserve">   </w:t>
      </w:r>
      <w:r>
        <w:tab/>
      </w:r>
      <w:r>
        <w:t xml:space="preserve">21</w:t>
      </w:r>
    </w:p>
    <w:p>
      <w:pPr>
        <w:keepLines/>
        <w:tabs>
          <w:tab w:val="right" w:leader="dot" w:pos="9360"/>
        </w:tabs>
        <w:spacing w:before="144" w:after="0" w:line="276" w:lineRule="exact"/>
        <w:ind w:left="576" w:right="1120" w:hanging="576"/>
      </w:pPr>
      <w:r>
        <w:rPr>
          <w:i/>
          <w:iCs/>
        </w:rPr>
        <w:t xml:space="preserve">Jones</w:t>
      </w:r>
      <w:r>
        <w:rPr>
          <w:i/>
          <w:iCs/>
        </w:rPr>
        <w:t xml:space="preserve"> </w:t>
      </w:r>
      <w:r>
        <w:rPr>
          <w:i/>
          <w:iCs/>
        </w:rPr>
        <w:t xml:space="preserve">v.</w:t>
      </w:r>
      <w:r>
        <w:rPr>
          <w:i/>
          <w:iCs/>
        </w:rPr>
        <w:t xml:space="preserve"> </w:t>
      </w:r>
      <w:r>
        <w:rPr>
          <w:i/>
          <w:iCs/>
        </w:rPr>
        <w:t xml:space="preserve">State</w:t>
      </w:r>
      <w:r>
        <w:t xml:space="preserve"> </w:t>
      </w:r>
      <w:r>
        <w:t xml:space="preserve">2019</w:t>
        <w:noBreakHyphen/>
        <w:t xml:space="preserve">01900</w:t>
      </w:r>
      <w:r>
        <w:t xml:space="preserve"> </w:t>
      </w:r>
      <w:r>
        <w:t xml:space="preserve">(La.</w:t>
      </w:r>
      <w:r>
        <w:t xml:space="preserve"> </w:t>
      </w:r>
      <w:r>
        <w:t xml:space="preserve">06/03/20);</w:t>
      </w:r>
      <w:r>
        <w:t xml:space="preserve"> </w:t>
      </w:r>
      <w:r>
        <w:t xml:space="preserve">296</w:t>
      </w:r>
      <w:r>
        <w:t xml:space="preserve"> </w:t>
      </w:r>
      <w:r>
        <w:t xml:space="preserve">So.</w:t>
      </w:r>
      <w:r>
        <w:t xml:space="preserve"> </w:t>
      </w:r>
      <w:r>
        <w:t xml:space="preserve">3d</w:t>
      </w:r>
      <w:r>
        <w:t xml:space="preserve"> </w:t>
      </w:r>
      <w:r>
        <w:t xml:space="preserve">1060</w:t>
      </w:r>
      <w:r>
        <w:t xml:space="preserve">   </w:t>
      </w:r>
      <w:r>
        <w:tab/>
      </w:r>
      <w:r>
        <w:t xml:space="preserve">31, 32</w:t>
      </w:r>
    </w:p>
    <w:p>
      <w:pPr>
        <w:keepLines/>
        <w:tabs>
          <w:tab w:val="right" w:leader="dot" w:pos="9360"/>
        </w:tabs>
        <w:spacing w:before="144" w:after="0" w:line="276" w:lineRule="exact"/>
        <w:ind w:left="576" w:right="1120" w:hanging="576"/>
      </w:pPr>
      <w:r>
        <w:rPr>
          <w:i/>
          <w:iCs/>
        </w:rPr>
        <w:t xml:space="preserve">Joseph</w:t>
      </w:r>
      <w:r>
        <w:rPr>
          <w:i/>
          <w:iCs/>
        </w:rPr>
        <w:t xml:space="preserve"> </w:t>
      </w:r>
      <w:r>
        <w:rPr>
          <w:i/>
          <w:iCs/>
        </w:rPr>
        <w:t xml:space="preserve">v.</w:t>
      </w:r>
      <w:r>
        <w:rPr>
          <w:i/>
          <w:iCs/>
        </w:rPr>
        <w:t xml:space="preserve"> </w:t>
      </w:r>
      <w:r>
        <w:rPr>
          <w:i/>
          <w:iCs/>
        </w:rPr>
        <w:t xml:space="preserve">State</w:t>
      </w:r>
      <w:r>
        <w:t xml:space="preserve"> </w:t>
      </w:r>
      <w:r>
        <w:t xml:space="preserve">2020</w:t>
        <w:noBreakHyphen/>
        <w:t xml:space="preserve">01989</w:t>
      </w:r>
      <w:r>
        <w:t xml:space="preserve"> </w:t>
      </w:r>
      <w:r>
        <w:t xml:space="preserve">(La.</w:t>
      </w:r>
      <w:r>
        <w:t xml:space="preserve"> </w:t>
      </w:r>
      <w:r>
        <w:t xml:space="preserve">08/14/20);</w:t>
      </w:r>
      <w:r>
        <w:t xml:space="preserve"> </w:t>
      </w:r>
      <w:r>
        <w:t xml:space="preserve">300</w:t>
      </w:r>
      <w:r>
        <w:t xml:space="preserve"> </w:t>
      </w:r>
      <w:r>
        <w:t xml:space="preserve">So.3d</w:t>
      </w:r>
      <w:r>
        <w:t xml:space="preserve"> </w:t>
      </w:r>
      <w:r>
        <w:t xml:space="preserve">824</w:t>
      </w:r>
      <w:r>
        <w:t xml:space="preserve">   </w:t>
      </w:r>
      <w:r>
        <w:tab/>
      </w:r>
      <w:r>
        <w:t xml:space="preserve">31</w:t>
      </w:r>
    </w:p>
    <w:p>
      <w:pPr>
        <w:keepLines/>
        <w:tabs>
          <w:tab w:val="right" w:leader="dot" w:pos="9360"/>
        </w:tabs>
        <w:spacing w:before="144" w:after="0" w:line="276" w:lineRule="exact"/>
        <w:ind w:left="576" w:right="1120" w:hanging="576"/>
      </w:pPr>
      <w:r>
        <w:rPr>
          <w:i/>
          <w:iCs/>
        </w:rPr>
        <w:t xml:space="preserve">Kuhn</w:t>
      </w:r>
      <w:r>
        <w:rPr>
          <w:i/>
          <w:iCs/>
        </w:rPr>
        <w:t xml:space="preserve"> </w:t>
      </w:r>
      <w:r>
        <w:rPr>
          <w:i/>
          <w:iCs/>
        </w:rPr>
        <w:t xml:space="preserve">v.</w:t>
      </w:r>
      <w:r>
        <w:rPr>
          <w:i/>
          <w:iCs/>
        </w:rPr>
        <w:t xml:space="preserve"> </w:t>
      </w:r>
      <w:r>
        <w:rPr>
          <w:i/>
          <w:iCs/>
        </w:rPr>
        <w:t xml:space="preserve">Fairmont</w:t>
      </w:r>
      <w:r>
        <w:rPr>
          <w:i/>
          <w:iCs/>
        </w:rPr>
        <w:t xml:space="preserve"> </w:t>
      </w:r>
      <w:r>
        <w:rPr>
          <w:i/>
          <w:iCs/>
        </w:rPr>
        <w:t xml:space="preserve">Coal</w:t>
      </w:r>
      <w:r>
        <w:rPr>
          <w:i/>
          <w:iCs/>
        </w:rPr>
        <w:t xml:space="preserve"> </w:t>
      </w:r>
      <w:r>
        <w:rPr>
          <w:i/>
          <w:iCs/>
        </w:rPr>
        <w:t xml:space="preserve">Co.</w:t>
      </w:r>
      <w:r>
        <w:t xml:space="preserve"> </w:t>
      </w:r>
      <w:r>
        <w:t xml:space="preserve">215</w:t>
      </w:r>
      <w:r>
        <w:t xml:space="preserve"> </w:t>
      </w:r>
      <w:r>
        <w:t xml:space="preserve">U.S.</w:t>
      </w:r>
      <w:r>
        <w:t xml:space="preserve"> </w:t>
      </w:r>
      <w:r>
        <w:t xml:space="preserve">349</w:t>
      </w:r>
      <w:r>
        <w:t xml:space="preserve"> </w:t>
      </w:r>
      <w:r>
        <w:t xml:space="preserve">(1910)</w:t>
      </w:r>
      <w:r>
        <w:t xml:space="preserve"> </w:t>
      </w:r>
      <w:r>
        <w:t xml:space="preserve">(Holmes,</w:t>
      </w:r>
      <w:r>
        <w:t xml:space="preserve"> </w:t>
      </w:r>
      <w:r>
        <w:t xml:space="preserve">J.,</w:t>
      </w:r>
      <w:r>
        <w:t xml:space="preserve"> </w:t>
      </w:r>
      <w:r>
        <w:t xml:space="preserve">dissenting)</w:t>
      </w:r>
      <w:r>
        <w:t xml:space="preserve">   </w:t>
      </w:r>
      <w:r>
        <w:tab/>
      </w:r>
      <w:r>
        <w:t xml:space="preserve">19</w:t>
      </w:r>
    </w:p>
    <w:p>
      <w:pPr>
        <w:keepLines/>
        <w:tabs>
          <w:tab w:val="right" w:leader="dot" w:pos="9360"/>
        </w:tabs>
        <w:spacing w:before="144" w:after="0" w:line="276" w:lineRule="exact"/>
        <w:ind w:left="576" w:right="1120" w:hanging="576"/>
      </w:pPr>
      <w:r>
        <w:rPr>
          <w:i/>
          <w:iCs/>
        </w:rPr>
        <w:t xml:space="preserve">Lawson</w:t>
      </w:r>
      <w:r>
        <w:rPr>
          <w:i/>
          <w:iCs/>
        </w:rPr>
        <w:t xml:space="preserve"> </w:t>
      </w:r>
      <w:r>
        <w:rPr>
          <w:i/>
          <w:iCs/>
        </w:rPr>
        <w:t xml:space="preserve">v.</w:t>
      </w:r>
      <w:r>
        <w:rPr>
          <w:i/>
          <w:iCs/>
        </w:rPr>
        <w:t xml:space="preserve"> </w:t>
      </w:r>
      <w:r>
        <w:rPr>
          <w:i/>
          <w:iCs/>
        </w:rPr>
        <w:t xml:space="preserve">State</w:t>
      </w:r>
      <w:r>
        <w:t xml:space="preserve"> </w:t>
      </w:r>
      <w:r>
        <w:t xml:space="preserve">2019</w:t>
        <w:noBreakHyphen/>
        <w:t xml:space="preserve">02074</w:t>
      </w:r>
      <w:r>
        <w:t xml:space="preserve"> </w:t>
      </w:r>
      <w:r>
        <w:t xml:space="preserve">(La.</w:t>
      </w:r>
      <w:r>
        <w:t xml:space="preserve"> </w:t>
      </w:r>
      <w:r>
        <w:t xml:space="preserve">08/14/20);</w:t>
      </w:r>
      <w:r>
        <w:t xml:space="preserve"> </w:t>
      </w:r>
      <w:r>
        <w:t xml:space="preserve">300</w:t>
      </w:r>
      <w:r>
        <w:t xml:space="preserve"> </w:t>
      </w:r>
      <w:r>
        <w:t xml:space="preserve">So.3d</w:t>
      </w:r>
      <w:r>
        <w:t xml:space="preserve"> </w:t>
      </w:r>
      <w:r>
        <w:t xml:space="preserve">858</w:t>
      </w:r>
      <w:r>
        <w:t xml:space="preserve">   </w:t>
      </w:r>
      <w:r>
        <w:tab/>
      </w:r>
      <w:r>
        <w:t xml:space="preserve">31</w:t>
      </w:r>
    </w:p>
    <w:p>
      <w:pPr>
        <w:keepLines/>
        <w:tabs>
          <w:tab w:val="right" w:leader="dot" w:pos="9360"/>
        </w:tabs>
        <w:spacing w:before="144" w:after="0" w:line="276" w:lineRule="exact"/>
        <w:ind w:left="576" w:right="1120" w:hanging="576"/>
      </w:pPr>
      <w:r>
        <w:rPr>
          <w:i/>
          <w:iCs/>
        </w:rPr>
        <w:t xml:space="preserve">Linkletter</w:t>
      </w:r>
      <w:r>
        <w:rPr>
          <w:i/>
          <w:iCs/>
        </w:rPr>
        <w:t xml:space="preserve"> </w:t>
      </w:r>
      <w:r>
        <w:rPr>
          <w:i/>
          <w:iCs/>
        </w:rPr>
        <w:t xml:space="preserve">v.</w:t>
      </w:r>
      <w:r>
        <w:rPr>
          <w:i/>
          <w:iCs/>
        </w:rPr>
        <w:t xml:space="preserve"> </w:t>
      </w:r>
      <w:r>
        <w:rPr>
          <w:i/>
          <w:iCs/>
        </w:rPr>
        <w:t xml:space="preserve">Walker</w:t>
      </w:r>
      <w:r>
        <w:t xml:space="preserve"> </w:t>
      </w:r>
      <w:r>
        <w:t xml:space="preserve">381</w:t>
      </w:r>
      <w:r>
        <w:t xml:space="preserve"> </w:t>
      </w:r>
      <w:r>
        <w:t xml:space="preserve">U.S.</w:t>
      </w:r>
      <w:r>
        <w:t xml:space="preserve"> </w:t>
      </w:r>
      <w:r>
        <w:t xml:space="preserve">618</w:t>
      </w:r>
      <w:r>
        <w:t xml:space="preserve"> </w:t>
      </w:r>
      <w:r>
        <w:t xml:space="preserve">(1965)</w:t>
      </w:r>
      <w:r>
        <w:t xml:space="preserve">   </w:t>
      </w:r>
      <w:r>
        <w:tab/>
      </w:r>
      <w:r>
        <w:t xml:space="preserve">20</w:t>
      </w:r>
    </w:p>
    <w:p>
      <w:pPr>
        <w:keepLines/>
        <w:tabs>
          <w:tab w:val="right" w:leader="dot" w:pos="9360"/>
        </w:tabs>
        <w:spacing w:before="144" w:after="0" w:line="276" w:lineRule="exact"/>
        <w:ind w:left="576" w:right="1120" w:hanging="576"/>
      </w:pPr>
      <w:r>
        <w:rPr>
          <w:i/>
          <w:iCs/>
        </w:rPr>
        <w:t xml:space="preserve">Mackey</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401</w:t>
      </w:r>
      <w:r>
        <w:t xml:space="preserve"> </w:t>
      </w:r>
      <w:r>
        <w:t xml:space="preserve">U.S.</w:t>
      </w:r>
      <w:r>
        <w:t xml:space="preserve"> </w:t>
      </w:r>
      <w:r>
        <w:t xml:space="preserve">667</w:t>
      </w:r>
      <w:r>
        <w:t xml:space="preserve"> </w:t>
      </w:r>
      <w:r>
        <w:t xml:space="preserve">(1971)</w:t>
      </w:r>
      <w:r>
        <w:t xml:space="preserve">   </w:t>
      </w:r>
      <w:r>
        <w:tab/>
      </w:r>
      <w:r>
        <w:t xml:space="preserve">30</w:t>
      </w:r>
    </w:p>
    <w:p>
      <w:pPr>
        <w:keepLines/>
        <w:tabs>
          <w:tab w:val="right" w:leader="dot" w:pos="9360"/>
        </w:tabs>
        <w:spacing w:before="144" w:after="0" w:line="276" w:lineRule="exact"/>
        <w:ind w:left="576" w:right="1120" w:hanging="576"/>
      </w:pPr>
      <w:r>
        <w:rPr>
          <w:i/>
          <w:iCs/>
        </w:rPr>
        <w:t xml:space="preserve">Malloy</w:t>
      </w:r>
      <w:r>
        <w:rPr>
          <w:i/>
          <w:iCs/>
        </w:rPr>
        <w:t xml:space="preserve"> </w:t>
      </w:r>
      <w:r>
        <w:rPr>
          <w:i/>
          <w:iCs/>
        </w:rPr>
        <w:t xml:space="preserve">v.</w:t>
      </w:r>
      <w:r>
        <w:rPr>
          <w:i/>
          <w:iCs/>
        </w:rPr>
        <w:t xml:space="preserve"> </w:t>
      </w:r>
      <w:r>
        <w:rPr>
          <w:i/>
          <w:iCs/>
        </w:rPr>
        <w:t xml:space="preserve">Hogan</w:t>
      </w:r>
      <w:r>
        <w:t xml:space="preserve"> </w:t>
      </w:r>
      <w:r>
        <w:t xml:space="preserve">378</w:t>
      </w:r>
      <w:r>
        <w:t xml:space="preserve"> </w:t>
      </w:r>
      <w:r>
        <w:t xml:space="preserve">U.S.</w:t>
      </w:r>
      <w:r>
        <w:t xml:space="preserve"> </w:t>
      </w:r>
      <w:r>
        <w:t xml:space="preserve">1</w:t>
      </w:r>
      <w:r>
        <w:t xml:space="preserve"> </w:t>
      </w:r>
      <w:r>
        <w:t xml:space="preserve">(1964)</w:t>
      </w:r>
      <w:r>
        <w:t xml:space="preserve">   </w:t>
      </w:r>
      <w:r>
        <w:tab/>
      </w:r>
      <w:r>
        <w:t xml:space="preserve">23</w:t>
      </w:r>
    </w:p>
    <w:p>
      <w:pPr>
        <w:keepLines/>
        <w:tabs>
          <w:tab w:val="right" w:leader="dot" w:pos="9360"/>
        </w:tabs>
        <w:spacing w:before="144" w:after="0" w:line="276" w:lineRule="exact"/>
        <w:ind w:left="576" w:right="1120" w:hanging="576"/>
      </w:pPr>
      <w:r>
        <w:rPr>
          <w:i/>
          <w:iCs/>
        </w:rPr>
        <w:t xml:space="preserve">Maloney</w:t>
      </w:r>
      <w:r>
        <w:rPr>
          <w:i/>
          <w:iCs/>
        </w:rPr>
        <w:t xml:space="preserve"> </w:t>
      </w:r>
      <w:r>
        <w:rPr>
          <w:i/>
          <w:iCs/>
        </w:rPr>
        <w:t xml:space="preserve">Cinque,</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Pacific</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Ltd.</w:t>
      </w:r>
      <w:r>
        <w:t xml:space="preserve"> </w:t>
      </w:r>
      <w:r>
        <w:t xml:space="preserve">10</w:t>
        <w:noBreakHyphen/>
        <w:t xml:space="preserve">1164</w:t>
      </w:r>
      <w:r>
        <w:t xml:space="preserve"> </w:t>
      </w:r>
      <w:r>
        <w:t xml:space="preserve">(La.</w:t>
      </w:r>
      <w:r>
        <w:t xml:space="preserve"> </w:t>
      </w:r>
      <w:r>
        <w:t xml:space="preserve">05/21/10);</w:t>
      </w:r>
      <w:r>
        <w:t xml:space="preserve"> </w:t>
      </w:r>
      <w:r>
        <w:t xml:space="preserve">36</w:t>
      </w:r>
      <w:r>
        <w:t xml:space="preserve"> </w:t>
      </w:r>
      <w:r>
        <w:t xml:space="preserve">So.3d</w:t>
      </w:r>
      <w:r>
        <w:t xml:space="preserve"> </w:t>
      </w:r>
      <w:r>
        <w:t xml:space="preserve">236</w:t>
      </w:r>
      <w:r>
        <w:t xml:space="preserve">   </w:t>
      </w:r>
      <w:r>
        <w:tab/>
      </w:r>
      <w:r>
        <w:t xml:space="preserve">32</w:t>
      </w:r>
    </w:p>
    <w:p>
      <w:pPr>
        <w:keepLines/>
        <w:tabs>
          <w:tab w:val="right" w:leader="dot" w:pos="9360"/>
        </w:tabs>
        <w:spacing w:before="144" w:after="0" w:line="276" w:lineRule="exact"/>
        <w:ind w:left="576" w:right="1120" w:hanging="576"/>
      </w:pPr>
      <w:r>
        <w:rPr>
          <w:i/>
          <w:iCs/>
        </w:rPr>
        <w:t xml:space="preserve">Maxwell</w:t>
      </w:r>
      <w:r>
        <w:rPr>
          <w:i/>
          <w:iCs/>
        </w:rPr>
        <w:t xml:space="preserve"> </w:t>
      </w:r>
      <w:r>
        <w:rPr>
          <w:i/>
          <w:iCs/>
        </w:rPr>
        <w:t xml:space="preserve">v.</w:t>
      </w:r>
      <w:r>
        <w:rPr>
          <w:i/>
          <w:iCs/>
        </w:rPr>
        <w:t xml:space="preserve"> </w:t>
      </w:r>
      <w:r>
        <w:rPr>
          <w:i/>
          <w:iCs/>
        </w:rPr>
        <w:t xml:space="preserve">Dow</w:t>
      </w:r>
      <w:r>
        <w:t xml:space="preserve"> </w:t>
      </w:r>
      <w:r>
        <w:t xml:space="preserve">176</w:t>
      </w:r>
      <w:r>
        <w:t xml:space="preserve"> </w:t>
      </w:r>
      <w:r>
        <w:t xml:space="preserve">U.S.</w:t>
      </w:r>
      <w:r>
        <w:t xml:space="preserve"> </w:t>
      </w:r>
      <w:r>
        <w:t xml:space="preserve">581</w:t>
      </w:r>
      <w:r>
        <w:t xml:space="preserve"> </w:t>
      </w:r>
      <w:r>
        <w:t xml:space="preserve">(1900)</w:t>
      </w:r>
      <w:r>
        <w:t xml:space="preserve">   </w:t>
      </w:r>
      <w:r>
        <w:tab/>
      </w:r>
      <w:r>
        <w:t xml:space="preserve">23</w:t>
      </w:r>
    </w:p>
    <w:p>
      <w:pPr>
        <w:keepLines/>
        <w:tabs>
          <w:tab w:val="right" w:leader="dot" w:pos="9360"/>
        </w:tabs>
        <w:spacing w:before="144" w:after="0" w:line="276" w:lineRule="exact"/>
        <w:ind w:left="576" w:right="1120" w:hanging="576"/>
      </w:pPr>
      <w:r>
        <w:rPr>
          <w:i/>
          <w:iCs/>
        </w:rPr>
        <w:t xml:space="preserve">McCleskey</w:t>
      </w:r>
      <w:r>
        <w:rPr>
          <w:i/>
          <w:iCs/>
        </w:rPr>
        <w:t xml:space="preserve"> </w:t>
      </w:r>
      <w:r>
        <w:rPr>
          <w:i/>
          <w:iCs/>
        </w:rPr>
        <w:t xml:space="preserve">v.</w:t>
      </w:r>
      <w:r>
        <w:rPr>
          <w:i/>
          <w:iCs/>
        </w:rPr>
        <w:t xml:space="preserve"> </w:t>
      </w:r>
      <w:r>
        <w:rPr>
          <w:i/>
          <w:iCs/>
        </w:rPr>
        <w:t xml:space="preserve">Zant</w:t>
      </w:r>
      <w:r>
        <w:t xml:space="preserve"> </w:t>
      </w:r>
      <w:r>
        <w:t xml:space="preserve">499</w:t>
      </w:r>
      <w:r>
        <w:t xml:space="preserve"> </w:t>
      </w:r>
      <w:r>
        <w:t xml:space="preserve">U.S.</w:t>
      </w:r>
      <w:r>
        <w:t xml:space="preserve"> </w:t>
      </w:r>
      <w:r>
        <w:t xml:space="preserve">467</w:t>
      </w:r>
      <w:r>
        <w:t xml:space="preserve"> </w:t>
      </w:r>
      <w:r>
        <w:t xml:space="preserve">(1991)</w:t>
      </w:r>
      <w:r>
        <w:t xml:space="preserve">   </w:t>
      </w:r>
      <w:r>
        <w:tab/>
      </w:r>
      <w:r>
        <w:t xml:space="preserve">20</w:t>
      </w:r>
    </w:p>
    <w:p>
      <w:pPr>
        <w:keepLines/>
        <w:tabs>
          <w:tab w:val="right" w:leader="dot" w:pos="9360"/>
        </w:tabs>
        <w:spacing w:before="144" w:after="0" w:line="276" w:lineRule="exact"/>
        <w:ind w:left="576" w:right="1120" w:hanging="576"/>
      </w:pPr>
      <w:r>
        <w:rPr>
          <w:i/>
          <w:iCs/>
        </w:rPr>
        <w:t xml:space="preserve">Mills</w:t>
      </w:r>
      <w:r>
        <w:rPr>
          <w:i/>
          <w:iCs/>
        </w:rPr>
        <w:t xml:space="preserve"> </w:t>
      </w:r>
      <w:r>
        <w:rPr>
          <w:i/>
          <w:iCs/>
        </w:rPr>
        <w:t xml:space="preserve">v.</w:t>
      </w:r>
      <w:r>
        <w:rPr>
          <w:i/>
          <w:iCs/>
        </w:rPr>
        <w:t xml:space="preserve"> </w:t>
      </w:r>
      <w:r>
        <w:rPr>
          <w:i/>
          <w:iCs/>
        </w:rPr>
        <w:t xml:space="preserve">Maryland</w:t>
      </w:r>
      <w:r>
        <w:t xml:space="preserve"> </w:t>
      </w:r>
      <w:r>
        <w:t xml:space="preserve">486</w:t>
      </w:r>
      <w:r>
        <w:t xml:space="preserve"> </w:t>
      </w:r>
      <w:r>
        <w:t xml:space="preserve">U.S.</w:t>
      </w:r>
      <w:r>
        <w:t xml:space="preserve"> </w:t>
      </w:r>
      <w:r>
        <w:t xml:space="preserve">367</w:t>
      </w:r>
      <w:r>
        <w:t xml:space="preserve"> </w:t>
      </w:r>
      <w:r>
        <w:t xml:space="preserve">(1988)</w:t>
      </w:r>
      <w:r>
        <w:t xml:space="preserve">   </w:t>
      </w:r>
      <w:r>
        <w:tab/>
      </w:r>
      <w:r>
        <w:t xml:space="preserve">15</w:t>
      </w:r>
    </w:p>
    <w:p>
      <w:pPr>
        <w:keepLines/>
        <w:tabs>
          <w:tab w:val="right" w:leader="dot" w:pos="9360"/>
        </w:tabs>
        <w:spacing w:before="144" w:after="0" w:line="276" w:lineRule="exact"/>
        <w:ind w:left="576" w:right="1120" w:hanging="576"/>
      </w:pPr>
      <w:r>
        <w:rPr>
          <w:i/>
          <w:iCs/>
        </w:rPr>
        <w:t xml:space="preserve">Montgomery</w:t>
      </w:r>
      <w:r>
        <w:rPr>
          <w:i/>
          <w:iCs/>
        </w:rPr>
        <w:t xml:space="preserve"> </w:t>
      </w:r>
      <w:r>
        <w:rPr>
          <w:i/>
          <w:iCs/>
        </w:rPr>
        <w:t xml:space="preserve">v.</w:t>
      </w:r>
      <w:r>
        <w:rPr>
          <w:i/>
          <w:iCs/>
        </w:rPr>
        <w:t xml:space="preserve"> </w:t>
      </w:r>
      <w:r>
        <w:rPr>
          <w:i/>
          <w:iCs/>
        </w:rPr>
        <w:t xml:space="preserve">Louisiana</w:t>
      </w:r>
      <w:r>
        <w:t xml:space="preserve"> </w:t>
      </w:r>
      <w:r>
        <w:t xml:space="preserve">577</w:t>
      </w:r>
      <w:r>
        <w:t xml:space="preserve"> </w:t>
      </w:r>
      <w:r>
        <w:t xml:space="preserve">U.S.</w:t>
      </w:r>
      <w:r>
        <w:t xml:space="preserve"> </w:t>
      </w:r>
      <w:r>
        <w:t xml:space="preserve">190</w:t>
      </w:r>
      <w:r>
        <w:t xml:space="preserve"> </w:t>
      </w:r>
      <w:r>
        <w:t xml:space="preserve">(2016)</w:t>
      </w:r>
      <w:r>
        <w:t xml:space="preserve">   </w:t>
      </w:r>
      <w:r>
        <w:tab/>
      </w:r>
      <w:r>
        <w:t xml:space="preserve">25</w:t>
      </w:r>
    </w:p>
    <w:p>
      <w:pPr>
        <w:keepLines/>
        <w:tabs>
          <w:tab w:val="right" w:leader="dot" w:pos="9360"/>
        </w:tabs>
        <w:spacing w:before="144" w:after="0" w:line="276" w:lineRule="exact"/>
        <w:ind w:left="576" w:right="1120" w:hanging="576"/>
      </w:pPr>
      <w:r>
        <w:rPr>
          <w:i/>
          <w:iCs/>
        </w:rPr>
        <w:t xml:space="preserve">Moore</w:t>
      </w:r>
      <w:r>
        <w:rPr>
          <w:i/>
          <w:iCs/>
        </w:rPr>
        <w:t xml:space="preserve"> </w:t>
      </w:r>
      <w:r>
        <w:rPr>
          <w:i/>
          <w:iCs/>
        </w:rPr>
        <w:t xml:space="preserve">v.</w:t>
      </w:r>
      <w:r>
        <w:rPr>
          <w:i/>
          <w:iCs/>
        </w:rPr>
        <w:t xml:space="preserve"> </w:t>
      </w:r>
      <w:r>
        <w:rPr>
          <w:i/>
          <w:iCs/>
        </w:rPr>
        <w:t xml:space="preserve">RLCC</w:t>
      </w:r>
      <w:r>
        <w:rPr>
          <w:i/>
          <w:iCs/>
        </w:rPr>
        <w:t xml:space="preserve"> </w:t>
      </w:r>
      <w:r>
        <w:rPr>
          <w:i/>
          <w:iCs/>
        </w:rPr>
        <w:t xml:space="preserve">Techs.</w:t>
      </w:r>
      <w:r>
        <w:t xml:space="preserve"> </w:t>
      </w:r>
      <w:r>
        <w:t xml:space="preserve">95</w:t>
        <w:noBreakHyphen/>
        <w:t xml:space="preserve">2621</w:t>
      </w:r>
      <w:r>
        <w:t xml:space="preserve"> </w:t>
      </w:r>
      <w:r>
        <w:t xml:space="preserve">(La.</w:t>
      </w:r>
      <w:r>
        <w:t xml:space="preserve"> </w:t>
      </w:r>
      <w:r>
        <w:t xml:space="preserve">02/28/96);</w:t>
      </w:r>
      <w:r>
        <w:t xml:space="preserve"> </w:t>
      </w:r>
      <w:r>
        <w:t xml:space="preserve">668</w:t>
      </w:r>
      <w:r>
        <w:t xml:space="preserve"> </w:t>
      </w:r>
      <w:r>
        <w:t xml:space="preserve">So.2d</w:t>
      </w:r>
      <w:r>
        <w:t xml:space="preserve"> </w:t>
      </w:r>
      <w:r>
        <w:t xml:space="preserve">1135</w:t>
      </w:r>
      <w:r>
        <w:t xml:space="preserve">   </w:t>
      </w:r>
      <w:r>
        <w:tab/>
      </w:r>
      <w:r>
        <w:t xml:space="preserve">28</w:t>
      </w:r>
    </w:p>
    <w:p>
      <w:pPr>
        <w:keepLines/>
        <w:tabs>
          <w:tab w:val="right" w:leader="dot" w:pos="9360"/>
        </w:tabs>
        <w:spacing w:before="144" w:after="0" w:line="276" w:lineRule="exact"/>
        <w:ind w:left="576" w:right="1120" w:hanging="576"/>
      </w:pPr>
      <w:r>
        <w:rPr>
          <w:i/>
          <w:iCs/>
        </w:rPr>
        <w:t xml:space="preserve">New</w:t>
      </w:r>
      <w:r>
        <w:rPr>
          <w:i/>
          <w:iCs/>
        </w:rPr>
        <w:t xml:space="preserve"> </w:t>
      </w:r>
      <w:r>
        <w:rPr>
          <w:i/>
          <w:iCs/>
        </w:rPr>
        <w:t xml:space="preserve">Orleans</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Comm’rs</w:t>
      </w:r>
      <w:r>
        <w:t xml:space="preserve"> </w:t>
      </w:r>
      <w:r>
        <w:t xml:space="preserve">93-C</w:t>
        <w:noBreakHyphen/>
        <w:t xml:space="preserve">0690</w:t>
      </w:r>
      <w:r>
        <w:t xml:space="preserve"> </w:t>
      </w:r>
      <w:r>
        <w:t xml:space="preserve">(La.</w:t>
      </w:r>
      <w:r>
        <w:t xml:space="preserve"> </w:t>
      </w:r>
      <w:r>
        <w:t xml:space="preserve">07/05/94);</w:t>
      </w:r>
      <w:r>
        <w:t xml:space="preserve"> </w:t>
      </w:r>
      <w:r>
        <w:t xml:space="preserve">640</w:t>
      </w:r>
      <w:r>
        <w:t xml:space="preserve"> </w:t>
      </w:r>
      <w:r>
        <w:t xml:space="preserve">So.2d</w:t>
      </w:r>
      <w:r>
        <w:t xml:space="preserve"> </w:t>
      </w:r>
      <w:r>
        <w:t xml:space="preserve">237</w:t>
      </w:r>
      <w:r>
        <w:t xml:space="preserve">   </w:t>
      </w:r>
      <w:r>
        <w:tab/>
      </w:r>
      <w:r>
        <w:t xml:space="preserve">28</w:t>
      </w:r>
    </w:p>
    <w:p>
      <w:pPr>
        <w:keepLines/>
        <w:tabs>
          <w:tab w:val="right" w:leader="dot" w:pos="9360"/>
        </w:tabs>
        <w:spacing w:before="144" w:after="0" w:line="276" w:lineRule="exact"/>
        <w:ind w:left="576" w:right="1120" w:hanging="576"/>
      </w:pPr>
      <w:r>
        <w:rPr>
          <w:i/>
          <w:iCs/>
        </w:rPr>
        <w:t xml:space="preserve">O’Dell</w:t>
      </w:r>
      <w:r>
        <w:rPr>
          <w:i/>
          <w:iCs/>
        </w:rPr>
        <w:t xml:space="preserve"> </w:t>
      </w:r>
      <w:r>
        <w:rPr>
          <w:i/>
          <w:iCs/>
        </w:rPr>
        <w:t xml:space="preserve">v.</w:t>
      </w:r>
      <w:r>
        <w:rPr>
          <w:i/>
          <w:iCs/>
        </w:rPr>
        <w:t xml:space="preserve"> </w:t>
      </w:r>
      <w:r>
        <w:rPr>
          <w:i/>
          <w:iCs/>
        </w:rPr>
        <w:t xml:space="preserve">Netherland</w:t>
      </w:r>
      <w:r>
        <w:t xml:space="preserve"> </w:t>
      </w:r>
      <w:r>
        <w:t xml:space="preserve">521</w:t>
      </w:r>
      <w:r>
        <w:t xml:space="preserve"> </w:t>
      </w:r>
      <w:r>
        <w:t xml:space="preserve">U.S.</w:t>
      </w:r>
      <w:r>
        <w:t xml:space="preserve"> </w:t>
      </w:r>
      <w:r>
        <w:t xml:space="preserve">151</w:t>
      </w:r>
      <w:r>
        <w:t xml:space="preserve"> </w:t>
      </w:r>
      <w:r>
        <w:t xml:space="preserve">(1997)</w:t>
      </w:r>
      <w:r>
        <w:t xml:space="preserve">   </w:t>
      </w:r>
      <w:r>
        <w:tab/>
      </w:r>
      <w:r>
        <w:t xml:space="preserve">16, 21</w:t>
      </w:r>
    </w:p>
    <w:p>
      <w:pPr>
        <w:keepLines/>
        <w:tabs>
          <w:tab w:val="right" w:leader="dot" w:pos="9360"/>
        </w:tabs>
        <w:spacing w:before="144" w:after="0" w:line="276" w:lineRule="exact"/>
        <w:ind w:left="576" w:right="1120" w:hanging="576"/>
      </w:pPr>
      <w:r>
        <w:rPr>
          <w:i/>
          <w:iCs/>
        </w:rPr>
        <w:t xml:space="preserve">Padilla</w:t>
      </w:r>
      <w:r>
        <w:rPr>
          <w:i/>
          <w:iCs/>
        </w:rPr>
        <w:t xml:space="preserve"> </w:t>
      </w:r>
      <w:r>
        <w:rPr>
          <w:i/>
          <w:iCs/>
        </w:rPr>
        <w:t xml:space="preserve">v.</w:t>
      </w:r>
      <w:r>
        <w:rPr>
          <w:i/>
          <w:iCs/>
        </w:rPr>
        <w:t xml:space="preserve"> </w:t>
      </w:r>
      <w:r>
        <w:rPr>
          <w:i/>
          <w:iCs/>
        </w:rPr>
        <w:t xml:space="preserve">Kentucky</w:t>
      </w:r>
      <w:r>
        <w:t xml:space="preserve"> </w:t>
      </w:r>
      <w:r>
        <w:t xml:space="preserve">559</w:t>
      </w:r>
      <w:r>
        <w:t xml:space="preserve"> </w:t>
      </w:r>
      <w:r>
        <w:t xml:space="preserve">U.S.</w:t>
      </w:r>
      <w:r>
        <w:t xml:space="preserve"> </w:t>
      </w:r>
      <w:r>
        <w:t xml:space="preserve">356</w:t>
      </w:r>
      <w:r>
        <w:t xml:space="preserve"> </w:t>
      </w:r>
      <w:r>
        <w:t xml:space="preserve">(2010)</w:t>
      </w:r>
      <w:r>
        <w:t xml:space="preserve">   </w:t>
      </w:r>
      <w:r>
        <w:tab/>
      </w:r>
      <w:r>
        <w:t xml:space="preserve">25</w:t>
      </w:r>
    </w:p>
    <w:p>
      <w:pPr>
        <w:keepLines/>
        <w:tabs>
          <w:tab w:val="right" w:leader="dot" w:pos="9360"/>
        </w:tabs>
        <w:spacing w:before="144" w:after="0" w:line="276" w:lineRule="exact"/>
        <w:ind w:left="576" w:right="1120" w:hanging="576"/>
      </w:pPr>
      <w:r>
        <w:rPr>
          <w:i/>
          <w:iCs/>
        </w:rPr>
        <w:t xml:space="preserve">Patton</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281</w:t>
      </w:r>
      <w:r>
        <w:t xml:space="preserve"> </w:t>
      </w:r>
      <w:r>
        <w:t xml:space="preserve">U.S.</w:t>
      </w:r>
      <w:r>
        <w:t xml:space="preserve"> </w:t>
      </w:r>
      <w:r>
        <w:t xml:space="preserve">276</w:t>
      </w:r>
      <w:r>
        <w:t xml:space="preserve"> </w:t>
      </w:r>
      <w:r>
        <w:t xml:space="preserve">(1930)</w:t>
      </w:r>
      <w:r>
        <w:t xml:space="preserve">   </w:t>
      </w:r>
      <w:r>
        <w:tab/>
      </w:r>
      <w:r>
        <w:t xml:space="preserve">23</w:t>
      </w:r>
    </w:p>
    <w:p>
      <w:pPr>
        <w:keepLines/>
        <w:tabs>
          <w:tab w:val="right" w:leader="dot" w:pos="9360"/>
        </w:tabs>
        <w:spacing w:before="144" w:after="0" w:line="276" w:lineRule="exact"/>
        <w:ind w:left="576" w:right="1120" w:hanging="576"/>
      </w:pPr>
      <w:r>
        <w:rPr>
          <w:i/>
          <w:iCs/>
        </w:rPr>
        <w:t xml:space="preserve">People</w:t>
      </w:r>
      <w:r>
        <w:rPr>
          <w:i/>
          <w:iCs/>
        </w:rPr>
        <w:t xml:space="preserve"> </w:t>
      </w:r>
      <w:r>
        <w:rPr>
          <w:i/>
          <w:iCs/>
        </w:rPr>
        <w:t xml:space="preserve">v.</w:t>
      </w:r>
      <w:r>
        <w:rPr>
          <w:i/>
          <w:iCs/>
        </w:rPr>
        <w:t xml:space="preserve"> </w:t>
      </w:r>
      <w:r>
        <w:rPr>
          <w:i/>
          <w:iCs/>
        </w:rPr>
        <w:t xml:space="preserve">Denton</w:t>
      </w:r>
      <w:r>
        <w:t xml:space="preserve"> </w:t>
      </w:r>
      <w:r>
        <w:t xml:space="preserve">2</w:t>
      </w:r>
      <w:r>
        <w:t xml:space="preserve"> </w:t>
      </w:r>
      <w:r>
        <w:t xml:space="preserve">Johns.</w:t>
      </w:r>
      <w:r>
        <w:t xml:space="preserve"> </w:t>
      </w:r>
      <w:r>
        <w:t xml:space="preserve">Cas.</w:t>
      </w:r>
      <w:r>
        <w:t xml:space="preserve"> </w:t>
      </w:r>
      <w:r>
        <w:t xml:space="preserve">275</w:t>
      </w:r>
      <w:r>
        <w:t xml:space="preserve"> </w:t>
      </w:r>
      <w:r>
        <w:t xml:space="preserve">(N.Y.</w:t>
      </w:r>
      <w:r>
        <w:t xml:space="preserve"> </w:t>
      </w:r>
      <w:r>
        <w:t xml:space="preserve">1801)</w:t>
      </w:r>
      <w:r>
        <w:t xml:space="preserve">   </w:t>
      </w:r>
      <w:r>
        <w:tab/>
      </w:r>
      <w:r>
        <w:t xml:space="preserve">22</w:t>
      </w:r>
    </w:p>
    <w:p>
      <w:pPr>
        <w:keepLines/>
        <w:tabs>
          <w:tab w:val="right" w:leader="dot" w:pos="9360"/>
        </w:tabs>
        <w:spacing w:before="144" w:after="0" w:line="276" w:lineRule="exact"/>
        <w:ind w:left="576" w:right="1120" w:hanging="576"/>
      </w:pPr>
      <w:r>
        <w:rPr>
          <w:i/>
          <w:iCs/>
        </w:rPr>
        <w:t xml:space="preserve">Plessy</w:t>
      </w:r>
      <w:r>
        <w:rPr>
          <w:i/>
          <w:iCs/>
        </w:rPr>
        <w:t xml:space="preserve"> </w:t>
      </w:r>
      <w:r>
        <w:rPr>
          <w:i/>
          <w:iCs/>
        </w:rPr>
        <w:t xml:space="preserve">v.</w:t>
      </w:r>
      <w:r>
        <w:rPr>
          <w:i/>
          <w:iCs/>
        </w:rPr>
        <w:t xml:space="preserve"> </w:t>
      </w:r>
      <w:r>
        <w:rPr>
          <w:i/>
          <w:iCs/>
        </w:rPr>
        <w:t xml:space="preserve">Ferguson</w:t>
      </w:r>
      <w:r>
        <w:t xml:space="preserve"> </w:t>
      </w:r>
      <w:r>
        <w:t xml:space="preserve">163</w:t>
      </w:r>
      <w:r>
        <w:t xml:space="preserve"> </w:t>
      </w:r>
      <w:r>
        <w:t xml:space="preserve">U.S.</w:t>
      </w:r>
      <w:r>
        <w:t xml:space="preserve"> </w:t>
      </w:r>
      <w:r>
        <w:t xml:space="preserve">537</w:t>
      </w:r>
      <w:r>
        <w:t xml:space="preserve"> </w:t>
      </w:r>
      <w:r>
        <w:t xml:space="preserve">(1896)</w:t>
      </w:r>
      <w:r>
        <w:t xml:space="preserve">   </w:t>
      </w:r>
      <w:r>
        <w:tab/>
      </w:r>
      <w:r>
        <w:t xml:space="preserve">1, 3</w:t>
      </w:r>
    </w:p>
    <w:p>
      <w:pPr>
        <w:keepLines/>
        <w:tabs>
          <w:tab w:val="right" w:leader="dot" w:pos="9360"/>
        </w:tabs>
        <w:spacing w:before="144" w:after="0" w:line="276" w:lineRule="exact"/>
        <w:ind w:left="576" w:right="1120" w:hanging="576"/>
      </w:pPr>
      <w:r>
        <w:rPr>
          <w:i/>
          <w:iCs/>
        </w:rPr>
        <w:t xml:space="preserve">Powell</w:t>
      </w:r>
      <w:r>
        <w:rPr>
          <w:i/>
          <w:iCs/>
        </w:rPr>
        <w:t xml:space="preserve"> </w:t>
      </w:r>
      <w:r>
        <w:rPr>
          <w:i/>
          <w:iCs/>
        </w:rPr>
        <w:t xml:space="preserve">v.</w:t>
      </w:r>
      <w:r>
        <w:rPr>
          <w:i/>
          <w:iCs/>
        </w:rPr>
        <w:t xml:space="preserve"> </w:t>
      </w:r>
      <w:r>
        <w:rPr>
          <w:i/>
          <w:iCs/>
        </w:rPr>
        <w:t xml:space="preserve">State</w:t>
      </w:r>
      <w:r>
        <w:t xml:space="preserve"> </w:t>
      </w:r>
      <w:r>
        <w:t xml:space="preserve">153</w:t>
      </w:r>
      <w:r>
        <w:t xml:space="preserve"> </w:t>
      </w:r>
      <w:r>
        <w:t xml:space="preserve">A.3d</w:t>
      </w:r>
      <w:r>
        <w:t xml:space="preserve"> </w:t>
      </w:r>
      <w:r>
        <w:t xml:space="preserve">69</w:t>
      </w:r>
      <w:r>
        <w:t xml:space="preserve"> </w:t>
      </w:r>
      <w:r>
        <w:t xml:space="preserve">(Del.</w:t>
      </w:r>
      <w:r>
        <w:t xml:space="preserve"> </w:t>
      </w:r>
      <w:r>
        <w:t xml:space="preserve">2016)</w:t>
      </w:r>
      <w:r>
        <w:t xml:space="preserve">   </w:t>
      </w:r>
      <w:r>
        <w:tab/>
      </w:r>
      <w:r>
        <w:t xml:space="preserve">24, 26</w:t>
      </w:r>
    </w:p>
    <w:p>
      <w:pPr>
        <w:keepLines/>
        <w:tabs>
          <w:tab w:val="right" w:leader="dot" w:pos="9360"/>
        </w:tabs>
        <w:spacing w:before="144" w:after="0" w:line="276" w:lineRule="exact"/>
        <w:ind w:left="576" w:right="1120" w:hanging="576"/>
      </w:pPr>
      <w:r>
        <w:rPr>
          <w:i/>
          <w:iCs/>
        </w:rPr>
        <w:t xml:space="preserve">Quantum</w:t>
      </w:r>
      <w:r>
        <w:rPr>
          <w:i/>
          <w:iCs/>
        </w:rPr>
        <w:t xml:space="preserve"> </w:t>
      </w:r>
      <w:r>
        <w:rPr>
          <w:i/>
          <w:iCs/>
        </w:rPr>
        <w:t xml:space="preserve">Res.</w:t>
      </w:r>
      <w:r>
        <w:rPr>
          <w:i/>
          <w:iCs/>
        </w:rPr>
        <w:t xml:space="preserve"> </w:t>
      </w:r>
      <w:r>
        <w:rPr>
          <w:i/>
          <w:iCs/>
        </w:rPr>
        <w:t xml:space="preserve">Mgmt.,</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Pirate</w:t>
      </w:r>
      <w:r>
        <w:rPr>
          <w:i/>
          <w:iCs/>
        </w:rPr>
        <w:t xml:space="preserve"> </w:t>
      </w:r>
      <w:r>
        <w:rPr>
          <w:i/>
          <w:iCs/>
        </w:rPr>
        <w:t xml:space="preserve">Lake</w:t>
      </w:r>
      <w:r>
        <w:rPr>
          <w:i/>
          <w:iCs/>
        </w:rPr>
        <w:t xml:space="preserve"> </w:t>
      </w:r>
      <w:r>
        <w:rPr>
          <w:i/>
          <w:iCs/>
        </w:rPr>
        <w:t xml:space="preserve">Oil</w:t>
      </w:r>
      <w:r>
        <w:rPr>
          <w:i/>
          <w:iCs/>
        </w:rPr>
        <w:t xml:space="preserve"> </w:t>
      </w:r>
      <w:r>
        <w:rPr>
          <w:i/>
          <w:iCs/>
        </w:rPr>
        <w:t xml:space="preserve">Corp.</w:t>
      </w:r>
      <w:r>
        <w:t xml:space="preserve"> </w:t>
      </w:r>
      <w:r>
        <w:t xml:space="preserve">2012–1472</w:t>
      </w:r>
      <w:r>
        <w:t xml:space="preserve"> </w:t>
      </w:r>
      <w:r>
        <w:t xml:space="preserve">(La.</w:t>
      </w:r>
      <w:r>
        <w:t xml:space="preserve"> </w:t>
      </w:r>
      <w:r>
        <w:t xml:space="preserve">03/19/13);</w:t>
      </w:r>
      <w:r>
        <w:t xml:space="preserve"> </w:t>
      </w:r>
      <w:r>
        <w:t xml:space="preserve">112</w:t>
      </w:r>
      <w:r>
        <w:t xml:space="preserve"> </w:t>
      </w:r>
      <w:r>
        <w:t xml:space="preserve">So.</w:t>
      </w:r>
      <w:r>
        <w:t xml:space="preserve"> </w:t>
      </w:r>
      <w:r>
        <w:t xml:space="preserve">3d</w:t>
      </w:r>
      <w:r>
        <w:t xml:space="preserve"> </w:t>
      </w:r>
      <w:r>
        <w:t xml:space="preserve">209</w:t>
      </w:r>
      <w:r>
        <w:t xml:space="preserve">   </w:t>
      </w:r>
      <w:r>
        <w:tab/>
      </w:r>
      <w:r>
        <w:t xml:space="preserve">20</w:t>
      </w:r>
    </w:p>
    <w:p>
      <w:pPr>
        <w:keepLines/>
        <w:tabs>
          <w:tab w:val="right" w:leader="dot" w:pos="9360"/>
        </w:tabs>
        <w:spacing w:before="144" w:after="0" w:line="276" w:lineRule="exact"/>
        <w:ind w:left="576" w:right="1120" w:hanging="576"/>
      </w:pPr>
      <w:r>
        <w:rPr>
          <w:i/>
          <w:iCs/>
        </w:rPr>
        <w:t xml:space="preserve">Ramos</w:t>
      </w:r>
      <w:r>
        <w:rPr>
          <w:i/>
          <w:iCs/>
        </w:rPr>
        <w:t xml:space="preserve"> </w:t>
      </w:r>
      <w:r>
        <w:rPr>
          <w:i/>
          <w:iCs/>
        </w:rPr>
        <w:t xml:space="preserve">v.</w:t>
      </w:r>
      <w:r>
        <w:rPr>
          <w:i/>
          <w:iCs/>
        </w:rPr>
        <w:t xml:space="preserve"> </w:t>
      </w:r>
      <w:r>
        <w:rPr>
          <w:i/>
          <w:iCs/>
        </w:rPr>
        <w:t xml:space="preserve">Louisiana</w:t>
      </w:r>
      <w:r>
        <w:t xml:space="preserve"> </w:t>
      </w:r>
      <w:r>
        <w:t xml:space="preserve">140</w:t>
      </w:r>
      <w:r>
        <w:t xml:space="preserve"> </w:t>
      </w:r>
      <w:r>
        <w:t xml:space="preserve">S.</w:t>
      </w:r>
      <w:r>
        <w:t xml:space="preserve"> </w:t>
      </w:r>
      <w:r>
        <w:t xml:space="preserve">Ct.</w:t>
      </w:r>
      <w:r>
        <w:t xml:space="preserve"> </w:t>
      </w:r>
      <w:r>
        <w:t xml:space="preserve">1390</w:t>
      </w:r>
      <w:r>
        <w:t xml:space="preserve"> </w:t>
      </w:r>
      <w:r>
        <w:t xml:space="preserve">(2020)</w:t>
      </w:r>
      <w:r>
        <w:t xml:space="preserve">   </w:t>
      </w:r>
      <w:r>
        <w:tab/>
      </w:r>
      <w:r>
        <w:rPr>
          <w:i/>
          <w:iCs/>
        </w:rPr>
        <w:t xml:space="preserve">passim</w:t>
      </w:r>
    </w:p>
    <w:p>
      <w:pPr>
        <w:keepLines/>
        <w:tabs>
          <w:tab w:val="right" w:leader="dot" w:pos="9360"/>
        </w:tabs>
        <w:spacing w:before="144" w:after="0" w:line="276" w:lineRule="exact"/>
        <w:ind w:left="576" w:right="1120" w:hanging="576"/>
      </w:pPr>
      <w:r>
        <w:rPr>
          <w:i/>
          <w:iCs/>
        </w:rPr>
        <w:t xml:space="preserve">Reddick</w:t>
      </w:r>
      <w:r>
        <w:rPr>
          <w:i/>
          <w:iCs/>
        </w:rPr>
        <w:t xml:space="preserve"> </w:t>
      </w:r>
      <w:r>
        <w:rPr>
          <w:i/>
          <w:iCs/>
        </w:rPr>
        <w:t xml:space="preserve">v.</w:t>
      </w:r>
      <w:r>
        <w:rPr>
          <w:i/>
          <w:iCs/>
        </w:rPr>
        <w:t xml:space="preserve"> </w:t>
      </w:r>
      <w:r>
        <w:rPr>
          <w:i/>
          <w:iCs/>
        </w:rPr>
        <w:t xml:space="preserve">State</w:t>
      </w:r>
      <w:r>
        <w:t xml:space="preserve"> </w:t>
      </w:r>
      <w:r>
        <w:t xml:space="preserve">2021</w:t>
        <w:noBreakHyphen/>
        <w:t xml:space="preserve">0589</w:t>
      </w:r>
      <w:r>
        <w:t xml:space="preserve"> </w:t>
      </w:r>
      <w:r>
        <w:t xml:space="preserve">(La.</w:t>
      </w:r>
      <w:r>
        <w:t xml:space="preserve"> </w:t>
      </w:r>
      <w:r>
        <w:t xml:space="preserve">App.</w:t>
      </w:r>
      <w:r>
        <w:t xml:space="preserve"> </w:t>
      </w:r>
      <w:r>
        <w:t xml:space="preserve">4</w:t>
      </w:r>
      <w:r>
        <w:t xml:space="preserve"> </w:t>
      </w:r>
      <w:r>
        <w:t xml:space="preserve">Cir.</w:t>
      </w:r>
      <w:r>
        <w:t xml:space="preserve"> </w:t>
      </w:r>
      <w:r>
        <w:t xml:space="preserve">11/18/21)</w:t>
      </w:r>
      <w:r>
        <w:t xml:space="preserve">   </w:t>
      </w:r>
      <w:r>
        <w:tab/>
      </w:r>
      <w:r>
        <w:t xml:space="preserve">19</w:t>
      </w:r>
    </w:p>
    <w:p>
      <w:pPr>
        <w:keepLines/>
        <w:tabs>
          <w:tab w:val="right" w:leader="dot" w:pos="9360"/>
        </w:tabs>
        <w:spacing w:before="144" w:after="0" w:line="276" w:lineRule="exact"/>
        <w:ind w:left="576" w:right="1120" w:hanging="576"/>
      </w:pPr>
      <w:r>
        <w:rPr>
          <w:i/>
          <w:iCs/>
        </w:rPr>
        <w:t xml:space="preserve">Respublica</w:t>
      </w:r>
      <w:r>
        <w:rPr>
          <w:i/>
          <w:iCs/>
        </w:rPr>
        <w:t xml:space="preserve"> </w:t>
      </w:r>
      <w:r>
        <w:rPr>
          <w:i/>
          <w:iCs/>
        </w:rPr>
        <w:t xml:space="preserve">v.</w:t>
      </w:r>
      <w:r>
        <w:rPr>
          <w:i/>
          <w:iCs/>
        </w:rPr>
        <w:t xml:space="preserve"> </w:t>
      </w:r>
      <w:r>
        <w:rPr>
          <w:i/>
          <w:iCs/>
        </w:rPr>
        <w:t xml:space="preserve">Oswald</w:t>
      </w:r>
      <w:r>
        <w:t xml:space="preserve"> </w:t>
      </w:r>
      <w:r>
        <w:t xml:space="preserve">1</w:t>
      </w:r>
      <w:r>
        <w:t xml:space="preserve"> </w:t>
      </w:r>
      <w:r>
        <w:t xml:space="preserve">U.S.</w:t>
      </w:r>
      <w:r>
        <w:t xml:space="preserve"> </w:t>
      </w:r>
      <w:r>
        <w:t xml:space="preserve">319</w:t>
      </w:r>
      <w:r>
        <w:t xml:space="preserve"> </w:t>
      </w:r>
      <w:r>
        <w:t xml:space="preserve">(Pa.</w:t>
      </w:r>
      <w:r>
        <w:t xml:space="preserve"> </w:t>
      </w:r>
      <w:r>
        <w:t xml:space="preserve">1788)</w:t>
      </w:r>
      <w:r>
        <w:t xml:space="preserve">   </w:t>
      </w:r>
      <w:r>
        <w:tab/>
      </w:r>
      <w:r>
        <w:t xml:space="preserve">22</w:t>
      </w:r>
    </w:p>
    <w:p>
      <w:pPr>
        <w:keepLines/>
        <w:tabs>
          <w:tab w:val="right" w:leader="dot" w:pos="9360"/>
        </w:tabs>
        <w:spacing w:before="144" w:after="0" w:line="276" w:lineRule="exact"/>
        <w:ind w:left="576" w:right="1120" w:hanging="576"/>
      </w:pPr>
      <w:r>
        <w:rPr>
          <w:i/>
          <w:iCs/>
        </w:rPr>
        <w:t xml:space="preserve">Rhoades</w:t>
      </w:r>
      <w:r>
        <w:rPr>
          <w:i/>
          <w:iCs/>
        </w:rPr>
        <w:t xml:space="preserve"> </w:t>
      </w:r>
      <w:r>
        <w:rPr>
          <w:i/>
          <w:iCs/>
        </w:rPr>
        <w:t xml:space="preserve">v.</w:t>
      </w:r>
      <w:r>
        <w:rPr>
          <w:i/>
          <w:iCs/>
        </w:rPr>
        <w:t xml:space="preserve"> </w:t>
      </w:r>
      <w:r>
        <w:rPr>
          <w:i/>
          <w:iCs/>
        </w:rPr>
        <w:t xml:space="preserve">State</w:t>
      </w:r>
      <w:r>
        <w:t xml:space="preserve"> </w:t>
      </w:r>
      <w:r>
        <w:t xml:space="preserve">233</w:t>
      </w:r>
      <w:r>
        <w:t xml:space="preserve"> </w:t>
      </w:r>
      <w:r>
        <w:t xml:space="preserve">P.3d</w:t>
      </w:r>
      <w:r>
        <w:t xml:space="preserve"> </w:t>
      </w:r>
      <w:r>
        <w:t xml:space="preserve">61</w:t>
      </w:r>
      <w:r>
        <w:t xml:space="preserve"> </w:t>
      </w:r>
      <w:r>
        <w:t xml:space="preserve">(Idaho</w:t>
      </w:r>
      <w:r>
        <w:t xml:space="preserve"> </w:t>
      </w:r>
      <w:r>
        <w:t xml:space="preserve">2010)</w:t>
      </w:r>
      <w:r>
        <w:t xml:space="preserve">   </w:t>
      </w:r>
      <w:r>
        <w:tab/>
      </w:r>
      <w:r>
        <w:t xml:space="preserve">24</w:t>
      </w:r>
    </w:p>
    <w:p>
      <w:pPr>
        <w:keepLines/>
        <w:tabs>
          <w:tab w:val="right" w:leader="dot" w:pos="9360"/>
        </w:tabs>
        <w:spacing w:before="144" w:after="0" w:line="276" w:lineRule="exact"/>
        <w:ind w:left="576" w:right="1120" w:hanging="576"/>
      </w:pPr>
      <w:r>
        <w:rPr>
          <w:i/>
          <w:iCs/>
        </w:rPr>
        <w:t xml:space="preserve">Richardson</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526</w:t>
      </w:r>
      <w:r>
        <w:t xml:space="preserve"> </w:t>
      </w:r>
      <w:r>
        <w:t xml:space="preserve">U.S.</w:t>
      </w:r>
      <w:r>
        <w:t xml:space="preserve"> </w:t>
      </w:r>
      <w:r>
        <w:t xml:space="preserve">813</w:t>
      </w:r>
      <w:r>
        <w:t xml:space="preserve"> </w:t>
      </w:r>
      <w:r>
        <w:t xml:space="preserve">(1999)</w:t>
      </w:r>
      <w:r>
        <w:t xml:space="preserve">   </w:t>
      </w:r>
      <w:r>
        <w:tab/>
      </w:r>
      <w:r>
        <w:t xml:space="preserve">23</w:t>
      </w:r>
    </w:p>
    <w:p>
      <w:pPr>
        <w:keepLines/>
        <w:tabs>
          <w:tab w:val="right" w:leader="dot" w:pos="9360"/>
        </w:tabs>
        <w:spacing w:before="144" w:after="0" w:line="276" w:lineRule="exact"/>
        <w:ind w:left="576" w:right="1120" w:hanging="576"/>
      </w:pPr>
      <w:r>
        <w:rPr>
          <w:i/>
          <w:iCs/>
        </w:rPr>
        <w:t xml:space="preserve">Ring</w:t>
      </w:r>
      <w:r>
        <w:rPr>
          <w:i/>
          <w:iCs/>
        </w:rPr>
        <w:t xml:space="preserve"> </w:t>
      </w:r>
      <w:r>
        <w:rPr>
          <w:i/>
          <w:iCs/>
        </w:rPr>
        <w:t xml:space="preserve">v.</w:t>
      </w:r>
      <w:r>
        <w:rPr>
          <w:i/>
          <w:iCs/>
        </w:rPr>
        <w:t xml:space="preserve"> </w:t>
      </w:r>
      <w:r>
        <w:rPr>
          <w:i/>
          <w:iCs/>
        </w:rPr>
        <w:t xml:space="preserve">Arizona</w:t>
      </w:r>
      <w:r>
        <w:t xml:space="preserve"> </w:t>
      </w:r>
      <w:r>
        <w:t xml:space="preserve">536</w:t>
      </w:r>
      <w:r>
        <w:t xml:space="preserve"> </w:t>
      </w:r>
      <w:r>
        <w:t xml:space="preserve">U.S.</w:t>
      </w:r>
      <w:r>
        <w:t xml:space="preserve"> </w:t>
      </w:r>
      <w:r>
        <w:t xml:space="preserve">584</w:t>
      </w:r>
      <w:r>
        <w:t xml:space="preserve"> </w:t>
      </w:r>
      <w:r>
        <w:t xml:space="preserve">(2002)</w:t>
      </w:r>
      <w:r>
        <w:t xml:space="preserve">   </w:t>
      </w:r>
      <w:r>
        <w:tab/>
      </w:r>
      <w:r>
        <w:t xml:space="preserve">15</w:t>
      </w:r>
    </w:p>
    <w:p>
      <w:pPr>
        <w:keepLines/>
        <w:tabs>
          <w:tab w:val="right" w:leader="dot" w:pos="9360"/>
        </w:tabs>
        <w:spacing w:before="144" w:after="0" w:line="276" w:lineRule="exact"/>
        <w:ind w:left="576" w:right="1120" w:hanging="576"/>
      </w:pPr>
      <w:r>
        <w:rPr>
          <w:i/>
          <w:iCs/>
        </w:rPr>
        <w:t xml:space="preserve">Robinson</w:t>
      </w:r>
      <w:r>
        <w:rPr>
          <w:i/>
          <w:iCs/>
        </w:rPr>
        <w:t xml:space="preserve"> </w:t>
      </w:r>
      <w:r>
        <w:rPr>
          <w:i/>
          <w:iCs/>
        </w:rPr>
        <w:t xml:space="preserve">v.</w:t>
      </w:r>
      <w:r>
        <w:rPr>
          <w:i/>
          <w:iCs/>
        </w:rPr>
        <w:t xml:space="preserve"> </w:t>
      </w:r>
      <w:r>
        <w:rPr>
          <w:i/>
          <w:iCs/>
        </w:rPr>
        <w:t xml:space="preserve">Neil</w:t>
      </w:r>
      <w:r>
        <w:t xml:space="preserve"> </w:t>
      </w:r>
      <w:r>
        <w:t xml:space="preserve">409</w:t>
      </w:r>
      <w:r>
        <w:t xml:space="preserve"> </w:t>
      </w:r>
      <w:r>
        <w:t xml:space="preserve">U.S.</w:t>
      </w:r>
      <w:r>
        <w:t xml:space="preserve"> </w:t>
      </w:r>
      <w:r>
        <w:t xml:space="preserve">505</w:t>
      </w:r>
      <w:r>
        <w:t xml:space="preserve"> </w:t>
      </w:r>
      <w:r>
        <w:t xml:space="preserve">(1973)</w:t>
      </w:r>
      <w:r>
        <w:t xml:space="preserve">   </w:t>
      </w:r>
      <w:r>
        <w:tab/>
      </w:r>
      <w:r>
        <w:t xml:space="preserve">20</w:t>
      </w:r>
    </w:p>
    <w:p>
      <w:pPr>
        <w:keepLines/>
        <w:tabs>
          <w:tab w:val="right" w:leader="dot" w:pos="9360"/>
        </w:tabs>
        <w:spacing w:before="144" w:after="0" w:line="276" w:lineRule="exact"/>
        <w:ind w:left="576" w:right="1120" w:hanging="576"/>
      </w:pPr>
      <w:r>
        <w:rPr>
          <w:i/>
          <w:iCs/>
        </w:rPr>
        <w:t xml:space="preserve">S.</w:t>
      </w:r>
      <w:r>
        <w:rPr>
          <w:i/>
          <w:iCs/>
        </w:rPr>
        <w:t xml:space="preserve"> </w:t>
      </w:r>
      <w:r>
        <w:rPr>
          <w:i/>
          <w:iCs/>
        </w:rPr>
        <w:t xml:space="preserve">Union</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567</w:t>
      </w:r>
      <w:r>
        <w:t xml:space="preserve"> </w:t>
      </w:r>
      <w:r>
        <w:t xml:space="preserve">U.S.</w:t>
      </w:r>
      <w:r>
        <w:t xml:space="preserve"> </w:t>
      </w:r>
      <w:r>
        <w:t xml:space="preserve">343</w:t>
      </w:r>
      <w:r>
        <w:t xml:space="preserve"> </w:t>
      </w:r>
      <w:r>
        <w:t xml:space="preserve">(2012)</w:t>
      </w:r>
      <w:r>
        <w:t xml:space="preserve">   </w:t>
      </w:r>
      <w:r>
        <w:tab/>
      </w:r>
      <w:r>
        <w:t xml:space="preserve">23</w:t>
      </w:r>
    </w:p>
    <w:p>
      <w:pPr>
        <w:keepLines/>
        <w:tabs>
          <w:tab w:val="right" w:leader="dot" w:pos="9360"/>
        </w:tabs>
        <w:spacing w:before="144" w:after="0" w:line="276" w:lineRule="exact"/>
        <w:ind w:left="576" w:right="1120" w:hanging="576"/>
      </w:pPr>
      <w:r>
        <w:rPr>
          <w:i/>
          <w:iCs/>
        </w:rPr>
        <w:t xml:space="preserve">Sawyer</w:t>
      </w:r>
      <w:r>
        <w:rPr>
          <w:i/>
          <w:iCs/>
        </w:rPr>
        <w:t xml:space="preserve"> </w:t>
      </w:r>
      <w:r>
        <w:rPr>
          <w:i/>
          <w:iCs/>
        </w:rPr>
        <w:t xml:space="preserve">v.</w:t>
      </w:r>
      <w:r>
        <w:rPr>
          <w:i/>
          <w:iCs/>
        </w:rPr>
        <w:t xml:space="preserve"> </w:t>
      </w:r>
      <w:r>
        <w:rPr>
          <w:i/>
          <w:iCs/>
        </w:rPr>
        <w:t xml:space="preserve">Smith</w:t>
      </w:r>
      <w:r>
        <w:t xml:space="preserve"> </w:t>
      </w:r>
      <w:r>
        <w:t xml:space="preserve">497</w:t>
      </w:r>
      <w:r>
        <w:t xml:space="preserve"> </w:t>
      </w:r>
      <w:r>
        <w:t xml:space="preserve">U.S.</w:t>
      </w:r>
      <w:r>
        <w:t xml:space="preserve"> </w:t>
      </w:r>
      <w:r>
        <w:t xml:space="preserve">227</w:t>
      </w:r>
      <w:r>
        <w:t xml:space="preserve"> </w:t>
      </w:r>
      <w:r>
        <w:t xml:space="preserve">(1990)</w:t>
      </w:r>
      <w:r>
        <w:t xml:space="preserve">   </w:t>
      </w:r>
      <w:r>
        <w:tab/>
      </w:r>
      <w:r>
        <w:t xml:space="preserve">21</w:t>
      </w:r>
    </w:p>
    <w:p>
      <w:pPr>
        <w:keepLines/>
        <w:tabs>
          <w:tab w:val="right" w:leader="dot" w:pos="9360"/>
        </w:tabs>
        <w:spacing w:before="144" w:after="0" w:line="276" w:lineRule="exact"/>
        <w:ind w:left="576" w:right="1120" w:hanging="576"/>
      </w:pPr>
      <w:r>
        <w:rPr>
          <w:i/>
          <w:iCs/>
        </w:rPr>
        <w:t xml:space="preserve">Sibley</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Supervisors</w:t>
      </w:r>
      <w:r>
        <w:rPr>
          <w:i/>
          <w:iCs/>
        </w:rPr>
        <w:t xml:space="preserve"> </w:t>
      </w:r>
      <w:r>
        <w:rPr>
          <w:i/>
          <w:iCs/>
        </w:rPr>
        <w:t xml:space="preserve">of</w:t>
      </w:r>
      <w:r>
        <w:rPr>
          <w:i/>
          <w:iCs/>
        </w:rPr>
        <w:t xml:space="preserve"> </w:t>
      </w:r>
      <w:r>
        <w:rPr>
          <w:i/>
          <w:iCs/>
        </w:rPr>
        <w:t xml:space="preserve">La.</w:t>
      </w:r>
      <w:r>
        <w:rPr>
          <w:i/>
          <w:iCs/>
        </w:rPr>
        <w:t xml:space="preserve"> </w:t>
      </w:r>
      <w:r>
        <w:rPr>
          <w:i/>
          <w:iCs/>
        </w:rPr>
        <w:t xml:space="preserve">State</w:t>
      </w:r>
      <w:r>
        <w:rPr>
          <w:i/>
          <w:iCs/>
        </w:rPr>
        <w:t xml:space="preserve"> </w:t>
      </w:r>
      <w:r>
        <w:rPr>
          <w:i/>
          <w:iCs/>
        </w:rPr>
        <w:t xml:space="preserve">Univ.</w:t>
      </w:r>
      <w:r>
        <w:t xml:space="preserve"> </w:t>
      </w:r>
      <w:r>
        <w:t xml:space="preserve">477</w:t>
      </w:r>
      <w:r>
        <w:t xml:space="preserve"> </w:t>
      </w:r>
      <w:r>
        <w:t xml:space="preserve">So.2d</w:t>
      </w:r>
      <w:r>
        <w:t xml:space="preserve"> </w:t>
      </w:r>
      <w:r>
        <w:t xml:space="preserve">1094</w:t>
      </w:r>
      <w:r>
        <w:t xml:space="preserve"> </w:t>
      </w:r>
      <w:r>
        <w:t xml:space="preserve">(La.</w:t>
      </w:r>
      <w:r>
        <w:t xml:space="preserve"> </w:t>
      </w:r>
      <w:r>
        <w:t xml:space="preserve">1985)</w:t>
      </w:r>
      <w:r>
        <w:t xml:space="preserve">   </w:t>
      </w:r>
      <w:r>
        <w:tab/>
      </w:r>
      <w:r>
        <w:t xml:space="preserve">27, 28</w:t>
      </w:r>
    </w:p>
    <w:p>
      <w:pPr>
        <w:keepLines/>
        <w:tabs>
          <w:tab w:val="right" w:leader="dot" w:pos="9360"/>
        </w:tabs>
        <w:spacing w:before="144" w:after="0" w:line="276" w:lineRule="exact"/>
        <w:ind w:left="576" w:right="1120" w:hanging="576"/>
      </w:pPr>
      <w:r>
        <w:rPr>
          <w:i/>
          <w:iCs/>
        </w:rPr>
        <w:t xml:space="preserve">Silva</w:t>
      </w:r>
      <w:r>
        <w:rPr>
          <w:i/>
          <w:iCs/>
        </w:rPr>
        <w:t xml:space="preserve"> </w:t>
      </w:r>
      <w:r>
        <w:rPr>
          <w:i/>
          <w:iCs/>
        </w:rPr>
        <w:t xml:space="preserve">v.</w:t>
      </w:r>
      <w:r>
        <w:rPr>
          <w:i/>
          <w:iCs/>
        </w:rPr>
        <w:t xml:space="preserve"> </w:t>
      </w:r>
      <w:r>
        <w:rPr>
          <w:i/>
          <w:iCs/>
        </w:rPr>
        <w:t xml:space="preserve">Vannoy</w:t>
      </w:r>
      <w:r>
        <w:t xml:space="preserve"> </w:t>
      </w:r>
      <w:r>
        <w:t xml:space="preserve">2019</w:t>
        <w:noBreakHyphen/>
        <w:t xml:space="preserve">01861</w:t>
      </w:r>
      <w:r>
        <w:t xml:space="preserve"> </w:t>
      </w:r>
      <w:r>
        <w:t xml:space="preserve">(La.</w:t>
      </w:r>
      <w:r>
        <w:t xml:space="preserve"> </w:t>
      </w:r>
      <w:r>
        <w:t xml:space="preserve">06/03/20);</w:t>
      </w:r>
      <w:r>
        <w:t xml:space="preserve"> </w:t>
      </w:r>
      <w:r>
        <w:t xml:space="preserve">296</w:t>
      </w:r>
      <w:r>
        <w:t xml:space="preserve"> </w:t>
      </w:r>
      <w:r>
        <w:t xml:space="preserve">So.3d</w:t>
      </w:r>
      <w:r>
        <w:t xml:space="preserve"> </w:t>
      </w:r>
      <w:r>
        <w:t xml:space="preserve">1033</w:t>
      </w:r>
      <w:r>
        <w:t xml:space="preserve">   </w:t>
      </w:r>
      <w:r>
        <w:tab/>
      </w:r>
      <w:r>
        <w:t xml:space="preserve">31</w:t>
      </w:r>
    </w:p>
    <w:p>
      <w:pPr>
        <w:keepLines/>
        <w:tabs>
          <w:tab w:val="right" w:leader="dot" w:pos="9360"/>
        </w:tabs>
        <w:spacing w:before="144" w:after="0" w:line="276" w:lineRule="exact"/>
        <w:ind w:left="576" w:right="1120" w:hanging="576"/>
      </w:pPr>
      <w:r>
        <w:rPr>
          <w:i/>
          <w:iCs/>
        </w:rPr>
        <w:t xml:space="preserve">Simmons</w:t>
      </w:r>
      <w:r>
        <w:rPr>
          <w:i/>
          <w:iCs/>
        </w:rPr>
        <w:t xml:space="preserve"> </w:t>
      </w:r>
      <w:r>
        <w:rPr>
          <w:i/>
          <w:iCs/>
        </w:rPr>
        <w:t xml:space="preserve">v.</w:t>
      </w:r>
      <w:r>
        <w:rPr>
          <w:i/>
          <w:iCs/>
        </w:rPr>
        <w:t xml:space="preserve"> </w:t>
      </w:r>
      <w:r>
        <w:rPr>
          <w:i/>
          <w:iCs/>
        </w:rPr>
        <w:t xml:space="preserve">South</w:t>
      </w:r>
      <w:r>
        <w:rPr>
          <w:i/>
          <w:iCs/>
        </w:rPr>
        <w:t xml:space="preserve"> </w:t>
      </w:r>
      <w:r>
        <w:rPr>
          <w:i/>
          <w:iCs/>
        </w:rPr>
        <w:t xml:space="preserve">Carolina</w:t>
      </w:r>
      <w:r>
        <w:t xml:space="preserve"> </w:t>
      </w:r>
      <w:r>
        <w:t xml:space="preserve">512</w:t>
      </w:r>
      <w:r>
        <w:t xml:space="preserve"> </w:t>
      </w:r>
      <w:r>
        <w:t xml:space="preserve">U.S.</w:t>
      </w:r>
      <w:r>
        <w:t xml:space="preserve"> </w:t>
      </w:r>
      <w:r>
        <w:t xml:space="preserve">154</w:t>
      </w:r>
      <w:r>
        <w:t xml:space="preserve"> </w:t>
      </w:r>
      <w:r>
        <w:t xml:space="preserve">(1994)</w:t>
      </w:r>
      <w:r>
        <w:t xml:space="preserve">   </w:t>
      </w:r>
      <w:r>
        <w:tab/>
      </w:r>
      <w:r>
        <w:t xml:space="preserve">16</w:t>
      </w:r>
    </w:p>
    <w:p>
      <w:pPr>
        <w:keepLines/>
        <w:tabs>
          <w:tab w:val="right" w:leader="dot" w:pos="9360"/>
        </w:tabs>
        <w:spacing w:before="144" w:after="0" w:line="276" w:lineRule="exact"/>
        <w:ind w:left="576" w:right="1120" w:hanging="576"/>
      </w:pPr>
      <w:r>
        <w:rPr>
          <w:i/>
          <w:iCs/>
        </w:rPr>
        <w:t xml:space="preserve">St.</w:t>
      </w:r>
      <w:r>
        <w:rPr>
          <w:i/>
          <w:iCs/>
        </w:rPr>
        <w:t xml:space="preserve"> </w:t>
      </w:r>
      <w:r>
        <w:rPr>
          <w:i/>
          <w:iCs/>
        </w:rPr>
        <w:t xml:space="preserve">Tammany</w:t>
      </w:r>
      <w:r>
        <w:rPr>
          <w:i/>
          <w:iCs/>
        </w:rPr>
        <w:t xml:space="preserve"> </w:t>
      </w:r>
      <w:r>
        <w:rPr>
          <w:i/>
          <w:iCs/>
        </w:rPr>
        <w:t xml:space="preserve">Manor</w:t>
      </w:r>
      <w:r>
        <w:rPr>
          <w:i/>
          <w:iCs/>
        </w:rPr>
        <w:t xml:space="preserve"> </w:t>
      </w:r>
      <w:r>
        <w:rPr>
          <w:i/>
          <w:iCs/>
        </w:rPr>
        <w:t xml:space="preserve">v.</w:t>
      </w:r>
      <w:r>
        <w:rPr>
          <w:i/>
          <w:iCs/>
        </w:rPr>
        <w:t xml:space="preserve"> </w:t>
      </w:r>
      <w:r>
        <w:rPr>
          <w:i/>
          <w:iCs/>
        </w:rPr>
        <w:t xml:space="preserve">Spartan</w:t>
      </w:r>
      <w:r>
        <w:rPr>
          <w:i/>
          <w:iCs/>
        </w:rPr>
        <w:t xml:space="preserve"> </w:t>
      </w:r>
      <w:r>
        <w:rPr>
          <w:i/>
          <w:iCs/>
        </w:rPr>
        <w:t xml:space="preserve">Bldg.</w:t>
      </w:r>
      <w:r>
        <w:rPr>
          <w:i/>
          <w:iCs/>
        </w:rPr>
        <w:t xml:space="preserve"> </w:t>
      </w:r>
      <w:r>
        <w:rPr>
          <w:i/>
          <w:iCs/>
        </w:rPr>
        <w:t xml:space="preserve">Corp.</w:t>
      </w:r>
      <w:r>
        <w:t xml:space="preserve"> </w:t>
      </w:r>
      <w:r>
        <w:t xml:space="preserve">509</w:t>
      </w:r>
      <w:r>
        <w:t xml:space="preserve"> </w:t>
      </w:r>
      <w:r>
        <w:t xml:space="preserve">So.2d</w:t>
      </w:r>
      <w:r>
        <w:t xml:space="preserve"> </w:t>
      </w:r>
      <w:r>
        <w:t xml:space="preserve">424</w:t>
      </w:r>
      <w:r>
        <w:t xml:space="preserve"> </w:t>
      </w:r>
      <w:r>
        <w:t xml:space="preserve">(La.</w:t>
      </w:r>
      <w:r>
        <w:t xml:space="preserve"> </w:t>
      </w:r>
      <w:r>
        <w:t xml:space="preserve">1987)</w:t>
      </w:r>
      <w:r>
        <w:t xml:space="preserve">   </w:t>
      </w:r>
      <w:r>
        <w:tab/>
      </w:r>
      <w:r>
        <w:t xml:space="preserve">32</w:t>
      </w:r>
    </w:p>
    <w:p>
      <w:pPr>
        <w:keepLines/>
        <w:tabs>
          <w:tab w:val="right" w:leader="dot" w:pos="9360"/>
        </w:tabs>
        <w:spacing w:before="144" w:after="0" w:line="276" w:lineRule="exact"/>
        <w:ind w:left="576" w:right="1440" w:hanging="576"/>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Taylor</w:t>
      </w:r>
      <w:r>
        <w:rPr>
          <w:i/>
          <w:iCs/>
        </w:rPr>
        <w:t xml:space="preserve"> </w:t>
      </w:r>
      <w:r>
        <w:rPr>
          <w:i/>
          <w:iCs/>
        </w:rPr>
        <w:t xml:space="preserve">v.</w:t>
      </w:r>
      <w:r>
        <w:rPr>
          <w:i/>
          <w:iCs/>
        </w:rPr>
        <w:t xml:space="preserve"> </w:t>
      </w:r>
      <w:r>
        <w:rPr>
          <w:i/>
          <w:iCs/>
        </w:rPr>
        <w:t xml:space="preserve">Whitley</w:t>
      </w:r>
      <w:r>
        <w:t xml:space="preserve"> </w:t>
      </w:r>
      <w:r>
        <w:t xml:space="preserve">606</w:t>
      </w:r>
      <w:r>
        <w:t xml:space="preserve"> </w:t>
      </w:r>
      <w:r>
        <w:t xml:space="preserve">So.</w:t>
      </w:r>
      <w:r>
        <w:t xml:space="preserve"> </w:t>
      </w:r>
      <w:r>
        <w:t xml:space="preserve">2d</w:t>
      </w:r>
      <w:r>
        <w:t xml:space="preserve"> </w:t>
      </w:r>
      <w:r>
        <w:t xml:space="preserve">1292</w:t>
      </w:r>
      <w:r>
        <w:t xml:space="preserve"> </w:t>
      </w:r>
      <w:r>
        <w:t xml:space="preserve">(La.</w:t>
      </w:r>
      <w:r>
        <w:t xml:space="preserve"> </w:t>
      </w:r>
      <w:r>
        <w:t xml:space="preserve">1992)</w:t>
      </w:r>
      <w:r>
        <w:t xml:space="preserve">   </w:t>
      </w:r>
      <w:r>
        <w:tab/>
      </w:r>
      <w:r>
        <w:t xml:space="preserve">1, 9, 16, 20, 27</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Ardoin</w:t>
      </w:r>
      <w:r>
        <w:t xml:space="preserve"> </w:t>
      </w:r>
      <w:r>
        <w:t xml:space="preserve">51</w:t>
      </w:r>
      <w:r>
        <w:t xml:space="preserve"> </w:t>
      </w:r>
      <w:r>
        <w:t xml:space="preserve">La.</w:t>
      </w:r>
      <w:r>
        <w:t xml:space="preserve"> </w:t>
      </w:r>
      <w:r>
        <w:t xml:space="preserve">Ann.</w:t>
      </w:r>
      <w:r>
        <w:t xml:space="preserve"> </w:t>
      </w:r>
      <w:r>
        <w:t xml:space="preserve">169,</w:t>
      </w:r>
      <w:r>
        <w:t xml:space="preserve"> </w:t>
      </w:r>
      <w:r>
        <w:t xml:space="preserve">24</w:t>
      </w:r>
      <w:r>
        <w:t xml:space="preserve"> </w:t>
      </w:r>
      <w:r>
        <w:t xml:space="preserve">So.</w:t>
      </w:r>
      <w:r>
        <w:t xml:space="preserve"> </w:t>
      </w:r>
      <w:r>
        <w:t xml:space="preserve">802</w:t>
      </w:r>
      <w:r>
        <w:t xml:space="preserve"> </w:t>
      </w:r>
      <w:r>
        <w:t xml:space="preserve">(Sup.</w:t>
      </w:r>
      <w:r>
        <w:t xml:space="preserve"> </w:t>
      </w:r>
      <w:r>
        <w:t xml:space="preserve">1899)</w:t>
      </w:r>
      <w:r>
        <w:t xml:space="preserve">   </w:t>
      </w:r>
      <w:r>
        <w:tab/>
      </w:r>
      <w:r>
        <w:t xml:space="preserve">22</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Barrett</w:t>
      </w:r>
      <w:r>
        <w:t xml:space="preserve"> </w:t>
      </w:r>
      <w:r>
        <w:t xml:space="preserve">2019</w:t>
        <w:noBreakHyphen/>
        <w:t xml:space="preserve">01718</w:t>
      </w:r>
      <w:r>
        <w:t xml:space="preserve"> </w:t>
      </w:r>
      <w:r>
        <w:t xml:space="preserve">(La.</w:t>
      </w:r>
      <w:r>
        <w:t xml:space="preserve"> </w:t>
      </w:r>
      <w:r>
        <w:t xml:space="preserve">08/14/20);</w:t>
      </w:r>
      <w:r>
        <w:t xml:space="preserve"> </w:t>
      </w:r>
      <w:r>
        <w:t xml:space="preserve">300</w:t>
      </w:r>
      <w:r>
        <w:t xml:space="preserve"> </w:t>
      </w:r>
      <w:r>
        <w:t xml:space="preserve">So.3d</w:t>
      </w:r>
      <w:r>
        <w:t xml:space="preserve"> </w:t>
      </w:r>
      <w:r>
        <w:t xml:space="preserve">827</w:t>
      </w:r>
      <w:r>
        <w:t xml:space="preserve">   </w:t>
      </w:r>
      <w:r>
        <w:tab/>
      </w:r>
      <w:r>
        <w:t xml:space="preserve">31</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Baxley</w:t>
      </w:r>
      <w:r>
        <w:t xml:space="preserve"> </w:t>
      </w:r>
      <w:r>
        <w:t xml:space="preserve">94</w:t>
        <w:noBreakHyphen/>
        <w:t xml:space="preserve">2982</w:t>
      </w:r>
      <w:r>
        <w:t xml:space="preserve"> </w:t>
      </w:r>
      <w:r>
        <w:t xml:space="preserve">(La.</w:t>
      </w:r>
      <w:r>
        <w:t xml:space="preserve"> </w:t>
      </w:r>
      <w:r>
        <w:t xml:space="preserve">05/22/95);</w:t>
      </w:r>
      <w:r>
        <w:t xml:space="preserve"> </w:t>
      </w:r>
      <w:r>
        <w:t xml:space="preserve">656</w:t>
      </w:r>
      <w:r>
        <w:t xml:space="preserve"> </w:t>
      </w:r>
      <w:r>
        <w:t xml:space="preserve">So.2d</w:t>
      </w:r>
      <w:r>
        <w:t xml:space="preserve"> </w:t>
      </w:r>
      <w:r>
        <w:t xml:space="preserve">973</w:t>
      </w:r>
      <w:r>
        <w:t xml:space="preserve">   </w:t>
      </w:r>
      <w:r>
        <w:tab/>
      </w:r>
      <w:r>
        <w:t xml:space="preserve">28</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Brooks</w:t>
      </w:r>
      <w:r>
        <w:t xml:space="preserve"> </w:t>
      </w:r>
      <w:r>
        <w:t xml:space="preserve">2020</w:t>
        <w:noBreakHyphen/>
        <w:t xml:space="preserve">00378</w:t>
      </w:r>
      <w:r>
        <w:t xml:space="preserve"> </w:t>
      </w:r>
      <w:r>
        <w:t xml:space="preserve">(La.</w:t>
      </w:r>
      <w:r>
        <w:t xml:space="preserve"> </w:t>
      </w:r>
      <w:r>
        <w:t xml:space="preserve">10/14/20),</w:t>
      </w:r>
      <w:r>
        <w:t xml:space="preserve"> </w:t>
      </w:r>
      <w:r>
        <w:t xml:space="preserve">2020</w:t>
      </w:r>
      <w:r>
        <w:t xml:space="preserve"> </w:t>
      </w:r>
      <w:r>
        <w:t xml:space="preserve">WL</w:t>
      </w:r>
      <w:r>
        <w:t xml:space="preserve"> </w:t>
      </w:r>
      <w:r>
        <w:t xml:space="preserve">6059695</w:t>
      </w:r>
      <w:r>
        <w:t xml:space="preserve">   </w:t>
      </w:r>
      <w:r>
        <w:tab/>
      </w:r>
      <w:r>
        <w:t xml:space="preserve">31, 32</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Broussard</w:t>
      </w:r>
      <w:r>
        <w:t xml:space="preserve"> </w:t>
      </w:r>
      <w:r>
        <w:t xml:space="preserve">490</w:t>
      </w:r>
      <w:r>
        <w:t xml:space="preserve"> </w:t>
      </w:r>
      <w:r>
        <w:t xml:space="preserve">So.2d</w:t>
      </w:r>
      <w:r>
        <w:t xml:space="preserve"> </w:t>
      </w:r>
      <w:r>
        <w:t xml:space="preserve">273</w:t>
      </w:r>
      <w:r>
        <w:t xml:space="preserve"> </w:t>
      </w:r>
      <w:r>
        <w:t xml:space="preserve">(La.</w:t>
      </w:r>
      <w:r>
        <w:t xml:space="preserve"> </w:t>
      </w:r>
      <w:r>
        <w:t xml:space="preserve">1986)</w:t>
      </w:r>
      <w:r>
        <w:t xml:space="preserve">   </w:t>
      </w:r>
      <w:r>
        <w:tab/>
      </w:r>
      <w:r>
        <w:t xml:space="preserve">25</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Brown</w:t>
      </w:r>
      <w:r>
        <w:t xml:space="preserve"> </w:t>
      </w:r>
      <w:r>
        <w:t xml:space="preserve">2020</w:t>
        <w:noBreakHyphen/>
        <w:t xml:space="preserve">00276</w:t>
      </w:r>
      <w:r>
        <w:t xml:space="preserve"> </w:t>
      </w:r>
      <w:r>
        <w:t xml:space="preserve">(La.</w:t>
      </w:r>
      <w:r>
        <w:t xml:space="preserve"> </w:t>
      </w:r>
      <w:r>
        <w:t xml:space="preserve">06/22/20);</w:t>
      </w:r>
      <w:r>
        <w:t xml:space="preserve"> </w:t>
      </w:r>
      <w:r>
        <w:t xml:space="preserve">297</w:t>
      </w:r>
      <w:r>
        <w:t xml:space="preserve"> </w:t>
      </w:r>
      <w:r>
        <w:t xml:space="preserve">So.3d</w:t>
      </w:r>
      <w:r>
        <w:t xml:space="preserve"> </w:t>
      </w:r>
      <w:r>
        <w:t xml:space="preserve">721</w:t>
      </w:r>
      <w:r>
        <w:t xml:space="preserve">   </w:t>
      </w:r>
      <w:r>
        <w:tab/>
      </w:r>
      <w:r>
        <w:t xml:space="preserve">31</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Carter</w:t>
      </w:r>
      <w:r>
        <w:t xml:space="preserve"> </w:t>
      </w:r>
      <w:r>
        <w:t xml:space="preserve">2019</w:t>
        <w:noBreakHyphen/>
        <w:t xml:space="preserve">02053</w:t>
      </w:r>
      <w:r>
        <w:t xml:space="preserve"> </w:t>
      </w:r>
      <w:r>
        <w:t xml:space="preserve">(La.</w:t>
      </w:r>
      <w:r>
        <w:t xml:space="preserve"> </w:t>
      </w:r>
      <w:r>
        <w:t xml:space="preserve">08/14/20);</w:t>
      </w:r>
      <w:r>
        <w:t xml:space="preserve"> </w:t>
      </w:r>
      <w:r>
        <w:t xml:space="preserve">300</w:t>
      </w:r>
      <w:r>
        <w:t xml:space="preserve"> </w:t>
      </w:r>
      <w:r>
        <w:t xml:space="preserve">So.3d</w:t>
      </w:r>
      <w:r>
        <w:t xml:space="preserve"> </w:t>
      </w:r>
      <w:r>
        <w:t xml:space="preserve">856</w:t>
      </w:r>
      <w:r>
        <w:t xml:space="preserve">   </w:t>
      </w:r>
      <w:r>
        <w:tab/>
      </w:r>
      <w:r>
        <w:t xml:space="preserve">31</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Cook</w:t>
      </w:r>
      <w:r>
        <w:t xml:space="preserve"> </w:t>
      </w:r>
      <w:r>
        <w:t xml:space="preserve">2020</w:t>
        <w:noBreakHyphen/>
        <w:t xml:space="preserve">00001</w:t>
      </w:r>
      <w:r>
        <w:t xml:space="preserve"> </w:t>
      </w:r>
      <w:r>
        <w:t xml:space="preserve">(La.</w:t>
      </w:r>
      <w:r>
        <w:t xml:space="preserve"> </w:t>
      </w:r>
      <w:r>
        <w:t xml:space="preserve">08/14/20);</w:t>
      </w:r>
      <w:r>
        <w:t xml:space="preserve"> </w:t>
      </w:r>
      <w:r>
        <w:t xml:space="preserve">300</w:t>
      </w:r>
      <w:r>
        <w:t xml:space="preserve"> </w:t>
      </w:r>
      <w:r>
        <w:t xml:space="preserve">So.3d</w:t>
      </w:r>
      <w:r>
        <w:t xml:space="preserve"> </w:t>
      </w:r>
      <w:r>
        <w:t xml:space="preserve">838</w:t>
      </w:r>
      <w:r>
        <w:t xml:space="preserve">   </w:t>
      </w:r>
      <w:r>
        <w:tab/>
      </w:r>
      <w:r>
        <w:t xml:space="preserve">31</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David</w:t>
      </w:r>
      <w:r>
        <w:rPr>
          <w:i/>
          <w:iCs/>
        </w:rPr>
        <w:t xml:space="preserve"> </w:t>
      </w:r>
      <w:r>
        <w:rPr>
          <w:i/>
          <w:iCs/>
        </w:rPr>
        <w:t xml:space="preserve">Brown</w:t>
      </w:r>
      <w:r>
        <w:t xml:space="preserve"> </w:t>
      </w:r>
      <w:r>
        <w:t xml:space="preserve">16</w:t>
        <w:noBreakHyphen/>
        <w:t xml:space="preserve">0998</w:t>
      </w:r>
      <w:r>
        <w:t xml:space="preserve"> </w:t>
      </w:r>
      <w:r>
        <w:t xml:space="preserve">at</w:t>
      </w:r>
      <w:r>
        <w:t xml:space="preserve"> </w:t>
      </w:r>
      <w:r>
        <w:t xml:space="preserve">129</w:t>
      </w:r>
      <w:r>
        <w:t xml:space="preserve"> </w:t>
      </w:r>
      <w:r>
        <w:t xml:space="preserve">(La.</w:t>
      </w:r>
      <w:r>
        <w:t xml:space="preserve"> </w:t>
      </w:r>
      <w:r>
        <w:t xml:space="preserve">01/28/22)</w:t>
      </w:r>
      <w:r>
        <w:t xml:space="preserve">   </w:t>
      </w:r>
      <w:r>
        <w:tab/>
      </w:r>
      <w:r>
        <w:t xml:space="preserve">32</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Doon</w:t>
      </w:r>
      <w:r>
        <w:rPr>
          <w:i/>
          <w:iCs/>
        </w:rPr>
        <w:t xml:space="preserve"> </w:t>
      </w:r>
      <w:r>
        <w:rPr>
          <w:i/>
          <w:iCs/>
        </w:rPr>
        <w:t xml:space="preserve">&amp;</w:t>
      </w:r>
      <w:r>
        <w:rPr>
          <w:i/>
          <w:iCs/>
        </w:rPr>
        <w:t xml:space="preserve"> </w:t>
      </w:r>
      <w:r>
        <w:rPr>
          <w:i/>
          <w:iCs/>
        </w:rPr>
        <w:t xml:space="preserve">Dimond</w:t>
      </w:r>
      <w:r>
        <w:t xml:space="preserve"> </w:t>
      </w:r>
      <w:r>
        <w:t xml:space="preserve">1</w:t>
      </w:r>
      <w:r>
        <w:t xml:space="preserve"> </w:t>
      </w:r>
      <w:r>
        <w:t xml:space="preserve">R.</w:t>
      </w:r>
      <w:r>
        <w:t xml:space="preserve"> </w:t>
      </w:r>
      <w:r>
        <w:t xml:space="preserve">Charlton</w:t>
      </w:r>
      <w:r>
        <w:t xml:space="preserve"> </w:t>
      </w:r>
      <w:r>
        <w:t xml:space="preserve">1</w:t>
      </w:r>
      <w:r>
        <w:t xml:space="preserve"> </w:t>
      </w:r>
      <w:r>
        <w:t xml:space="preserve">(Ga.</w:t>
      </w:r>
      <w:r>
        <w:t xml:space="preserve"> </w:t>
      </w:r>
      <w:r>
        <w:t xml:space="preserve">Super.</w:t>
      </w:r>
      <w:r>
        <w:t xml:space="preserve"> </w:t>
      </w:r>
      <w:r>
        <w:t xml:space="preserve">Ct.</w:t>
      </w:r>
      <w:r>
        <w:t xml:space="preserve"> </w:t>
      </w:r>
      <w:r>
        <w:t xml:space="preserve">1811)</w:t>
      </w:r>
      <w:r>
        <w:t xml:space="preserve">   </w:t>
      </w:r>
      <w:r>
        <w:tab/>
      </w:r>
      <w:r>
        <w:t xml:space="preserve">22</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Dotson</w:t>
      </w:r>
      <w:r>
        <w:t xml:space="preserve"> </w:t>
      </w:r>
      <w:r>
        <w:t xml:space="preserve">2019</w:t>
        <w:noBreakHyphen/>
        <w:t xml:space="preserve">01828</w:t>
      </w:r>
      <w:r>
        <w:t xml:space="preserve"> </w:t>
      </w:r>
      <w:r>
        <w:t xml:space="preserve">(La.</w:t>
      </w:r>
      <w:r>
        <w:t xml:space="preserve"> </w:t>
      </w:r>
      <w:r>
        <w:t xml:space="preserve">06/03/20);</w:t>
      </w:r>
      <w:r>
        <w:t xml:space="preserve"> </w:t>
      </w:r>
      <w:r>
        <w:t xml:space="preserve">296</w:t>
      </w:r>
      <w:r>
        <w:t xml:space="preserve"> </w:t>
      </w:r>
      <w:r>
        <w:t xml:space="preserve">So.3d</w:t>
      </w:r>
      <w:r>
        <w:t xml:space="preserve"> </w:t>
      </w:r>
      <w:r>
        <w:t xml:space="preserve">1059</w:t>
      </w:r>
      <w:r>
        <w:t xml:space="preserve">   </w:t>
      </w:r>
      <w:r>
        <w:tab/>
      </w:r>
      <w:r>
        <w:t xml:space="preserve">31</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Dotson</w:t>
      </w:r>
      <w:r>
        <w:t xml:space="preserve"> </w:t>
      </w:r>
      <w:r>
        <w:t xml:space="preserve">No.</w:t>
      </w:r>
      <w:r>
        <w:t xml:space="preserve"> </w:t>
      </w:r>
      <w:r>
        <w:t xml:space="preserve">514,318</w:t>
      </w:r>
      <w:r>
        <w:t xml:space="preserve"> </w:t>
      </w:r>
      <w:r>
        <w:t xml:space="preserve">(Orleans</w:t>
      </w:r>
      <w:r>
        <w:t xml:space="preserve"> </w:t>
      </w:r>
      <w:r>
        <w:t xml:space="preserve">Parish</w:t>
      </w:r>
      <w:r>
        <w:t xml:space="preserve"> </w:t>
      </w:r>
      <w:r>
        <w:t xml:space="preserve">Criminal</w:t>
      </w:r>
      <w:r>
        <w:t xml:space="preserve"> </w:t>
      </w:r>
      <w:r>
        <w:t xml:space="preserve">District</w:t>
      </w:r>
      <w:r>
        <w:t xml:space="preserve"> </w:t>
      </w:r>
      <w:r>
        <w:t xml:space="preserve">Court</w:t>
      </w:r>
      <w:r>
        <w:t xml:space="preserve"> </w:t>
      </w:r>
      <w:r>
        <w:t xml:space="preserve">03/31/21)</w:t>
      </w:r>
      <w:r>
        <w:t xml:space="preserve">   </w:t>
      </w:r>
      <w:r>
        <w:tab/>
      </w:r>
      <w:r>
        <w:t xml:space="preserve">31</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Eaglin</w:t>
      </w:r>
      <w:r>
        <w:t xml:space="preserve"> </w:t>
      </w:r>
      <w:r>
        <w:t xml:space="preserve">2019</w:t>
        <w:noBreakHyphen/>
        <w:t xml:space="preserve">01952</w:t>
      </w:r>
      <w:r>
        <w:t xml:space="preserve"> </w:t>
      </w:r>
      <w:r>
        <w:t xml:space="preserve">(La.</w:t>
      </w:r>
      <w:r>
        <w:t xml:space="preserve"> </w:t>
      </w:r>
      <w:r>
        <w:t xml:space="preserve">08/14/20);</w:t>
      </w:r>
      <w:r>
        <w:t xml:space="preserve"> </w:t>
      </w:r>
      <w:r>
        <w:t xml:space="preserve">300</w:t>
      </w:r>
      <w:r>
        <w:t xml:space="preserve"> </w:t>
      </w:r>
      <w:r>
        <w:t xml:space="preserve">So.3d</w:t>
      </w:r>
      <w:r>
        <w:t xml:space="preserve"> </w:t>
      </w:r>
      <w:r>
        <w:t xml:space="preserve">840</w:t>
      </w:r>
      <w:r>
        <w:t xml:space="preserve">   </w:t>
      </w:r>
      <w:r>
        <w:tab/>
      </w:r>
      <w:r>
        <w:t xml:space="preserve">31, 32</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Ferreira</w:t>
      </w:r>
      <w:r>
        <w:t xml:space="preserve"> </w:t>
      </w:r>
      <w:r>
        <w:t xml:space="preserve">19</w:t>
        <w:noBreakHyphen/>
        <w:t xml:space="preserve">1929</w:t>
      </w:r>
      <w:r>
        <w:t xml:space="preserve"> </w:t>
      </w:r>
      <w:r>
        <w:t xml:space="preserve">(La.</w:t>
      </w:r>
      <w:r>
        <w:t xml:space="preserve"> </w:t>
      </w:r>
      <w:r>
        <w:t xml:space="preserve">10/14/20);</w:t>
      </w:r>
      <w:r>
        <w:t xml:space="preserve"> </w:t>
      </w:r>
      <w:r>
        <w:t xml:space="preserve">302</w:t>
      </w:r>
      <w:r>
        <w:t xml:space="preserve"> </w:t>
      </w:r>
      <w:r>
        <w:t xml:space="preserve">So.3d</w:t>
      </w:r>
      <w:r>
        <w:t xml:space="preserve"> </w:t>
      </w:r>
      <w:r>
        <w:t xml:space="preserve">1096</w:t>
      </w:r>
      <w:r>
        <w:t xml:space="preserve">   </w:t>
      </w:r>
      <w:r>
        <w:tab/>
      </w:r>
      <w:r>
        <w:t xml:space="preserve">25</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Gipson</w:t>
      </w:r>
      <w:r>
        <w:t xml:space="preserve"> </w:t>
      </w:r>
      <w:r>
        <w:t xml:space="preserve">2019</w:t>
        <w:noBreakHyphen/>
        <w:t xml:space="preserve">01815</w:t>
      </w:r>
      <w:r>
        <w:t xml:space="preserve"> </w:t>
      </w:r>
      <w:r>
        <w:t xml:space="preserve">(La.</w:t>
      </w:r>
      <w:r>
        <w:t xml:space="preserve"> </w:t>
      </w:r>
      <w:r>
        <w:t xml:space="preserve">06/03/20);</w:t>
      </w:r>
      <w:r>
        <w:t xml:space="preserve"> </w:t>
      </w:r>
      <w:r>
        <w:t xml:space="preserve">296</w:t>
      </w:r>
      <w:r>
        <w:t xml:space="preserve"> </w:t>
      </w:r>
      <w:r>
        <w:t xml:space="preserve">So.</w:t>
      </w:r>
      <w:r>
        <w:t xml:space="preserve"> </w:t>
      </w:r>
      <w:r>
        <w:t xml:space="preserve">3d</w:t>
      </w:r>
      <w:r>
        <w:t xml:space="preserve"> </w:t>
      </w:r>
      <w:r>
        <w:t xml:space="preserve">1051</w:t>
      </w:r>
      <w:r>
        <w:t xml:space="preserve"> </w:t>
      </w:r>
      <w:r>
        <w:t xml:space="preserve">(Johnson,</w:t>
      </w:r>
      <w:r>
        <w:t xml:space="preserve"> </w:t>
      </w:r>
      <w:r>
        <w:t xml:space="preserve">J.,</w:t>
      </w:r>
      <w:r>
        <w:t xml:space="preserve"> </w:t>
      </w:r>
      <w:r>
        <w:t xml:space="preserve">dissenting)</w:t>
      </w:r>
      <w:r>
        <w:t xml:space="preserve">   </w:t>
      </w:r>
      <w:r>
        <w:tab/>
      </w:r>
      <w:r>
        <w:t xml:space="preserve">34</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Granger</w:t>
      </w:r>
      <w:r>
        <w:t xml:space="preserve"> </w:t>
      </w:r>
      <w:r>
        <w:t xml:space="preserve">2007</w:t>
        <w:noBreakHyphen/>
        <w:t xml:space="preserve">2285</w:t>
      </w:r>
      <w:r>
        <w:t xml:space="preserve"> </w:t>
      </w:r>
      <w:r>
        <w:t xml:space="preserve">(La.</w:t>
      </w:r>
      <w:r>
        <w:t xml:space="preserve"> </w:t>
      </w:r>
      <w:r>
        <w:t xml:space="preserve">05/21/08);</w:t>
      </w:r>
      <w:r>
        <w:t xml:space="preserve"> </w:t>
      </w:r>
      <w:r>
        <w:t xml:space="preserve">982</w:t>
      </w:r>
      <w:r>
        <w:t xml:space="preserve"> </w:t>
      </w:r>
      <w:r>
        <w:t xml:space="preserve">So.2d</w:t>
      </w:r>
      <w:r>
        <w:t xml:space="preserve"> </w:t>
      </w:r>
      <w:r>
        <w:t xml:space="preserve">779</w:t>
      </w:r>
      <w:r>
        <w:t xml:space="preserve">   </w:t>
      </w:r>
      <w:r>
        <w:tab/>
      </w:r>
      <w:r>
        <w:t xml:space="preserve">27, 28</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Harris</w:t>
      </w:r>
      <w:r>
        <w:t xml:space="preserve"> </w:t>
      </w:r>
      <w:r>
        <w:t xml:space="preserve">2020</w:t>
        <w:noBreakHyphen/>
        <w:t xml:space="preserve">00291</w:t>
      </w:r>
      <w:r>
        <w:t xml:space="preserve"> </w:t>
      </w:r>
      <w:r>
        <w:t xml:space="preserve">(La.</w:t>
      </w:r>
      <w:r>
        <w:t xml:space="preserve"> </w:t>
      </w:r>
      <w:r>
        <w:t xml:space="preserve">09/08/20);</w:t>
      </w:r>
      <w:r>
        <w:t xml:space="preserve"> </w:t>
      </w:r>
      <w:r>
        <w:t xml:space="preserve">301</w:t>
      </w:r>
      <w:r>
        <w:t xml:space="preserve"> </w:t>
      </w:r>
      <w:r>
        <w:t xml:space="preserve">So.3d</w:t>
      </w:r>
      <w:r>
        <w:t xml:space="preserve"> </w:t>
      </w:r>
      <w:r>
        <w:t xml:space="preserve">13</w:t>
      </w:r>
      <w:r>
        <w:t xml:space="preserve">   </w:t>
      </w:r>
      <w:r>
        <w:tab/>
      </w:r>
      <w:r>
        <w:t xml:space="preserve">31</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Hawthorne</w:t>
      </w:r>
      <w:r>
        <w:t xml:space="preserve"> </w:t>
      </w:r>
      <w:r>
        <w:t xml:space="preserve">2020</w:t>
        <w:noBreakHyphen/>
        <w:t xml:space="preserve">00586</w:t>
      </w:r>
      <w:r>
        <w:t xml:space="preserve"> </w:t>
      </w:r>
      <w:r>
        <w:t xml:space="preserve">(La.</w:t>
      </w:r>
      <w:r>
        <w:t xml:space="preserve"> </w:t>
      </w:r>
      <w:r>
        <w:t xml:space="preserve">09/29/20),</w:t>
      </w:r>
      <w:r>
        <w:t xml:space="preserve"> </w:t>
      </w:r>
      <w:r>
        <w:t xml:space="preserve">2020</w:t>
      </w:r>
      <w:r>
        <w:t xml:space="preserve"> </w:t>
      </w:r>
      <w:r>
        <w:t xml:space="preserve">WL</w:t>
      </w:r>
      <w:r>
        <w:t xml:space="preserve"> </w:t>
      </w:r>
      <w:r>
        <w:t xml:space="preserve">5793105</w:t>
      </w:r>
      <w:r>
        <w:t xml:space="preserve">   </w:t>
      </w:r>
      <w:r>
        <w:tab/>
      </w:r>
      <w:r>
        <w:t xml:space="preserve">31</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Jackson</w:t>
      </w:r>
      <w:r>
        <w:t xml:space="preserve"> </w:t>
      </w:r>
      <w:r>
        <w:t xml:space="preserve">202000037</w:t>
      </w:r>
      <w:r>
        <w:t xml:space="preserve"> </w:t>
      </w:r>
      <w:r>
        <w:t xml:space="preserve">(La.</w:t>
      </w:r>
      <w:r>
        <w:t xml:space="preserve"> </w:t>
      </w:r>
      <w:r>
        <w:t xml:space="preserve">09/08/20);</w:t>
      </w:r>
      <w:r>
        <w:t xml:space="preserve"> </w:t>
      </w:r>
      <w:r>
        <w:t xml:space="preserve">301</w:t>
      </w:r>
      <w:r>
        <w:t xml:space="preserve"> </w:t>
      </w:r>
      <w:r>
        <w:t xml:space="preserve">So.3d</w:t>
      </w:r>
      <w:r>
        <w:t xml:space="preserve"> </w:t>
      </w:r>
      <w:r>
        <w:t xml:space="preserve">33</w:t>
      </w:r>
      <w:r>
        <w:t xml:space="preserve">   </w:t>
      </w:r>
      <w:r>
        <w:tab/>
      </w:r>
      <w:r>
        <w:t xml:space="preserve">31</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Johnson</w:t>
      </w:r>
      <w:r>
        <w:t xml:space="preserve"> </w:t>
      </w:r>
      <w:r>
        <w:t xml:space="preserve">2019</w:t>
        <w:noBreakHyphen/>
        <w:t xml:space="preserve">02075</w:t>
      </w:r>
      <w:r>
        <w:t xml:space="preserve"> </w:t>
      </w:r>
      <w:r>
        <w:t xml:space="preserve">(La.</w:t>
      </w:r>
      <w:r>
        <w:t xml:space="preserve"> </w:t>
      </w:r>
      <w:r>
        <w:t xml:space="preserve">08/14/20);</w:t>
      </w:r>
      <w:r>
        <w:t xml:space="preserve"> </w:t>
      </w:r>
      <w:r>
        <w:t xml:space="preserve">300</w:t>
      </w:r>
      <w:r>
        <w:t xml:space="preserve"> </w:t>
      </w:r>
      <w:r>
        <w:t xml:space="preserve">So.3d</w:t>
      </w:r>
      <w:r>
        <w:t xml:space="preserve"> </w:t>
      </w:r>
      <w:r>
        <w:t xml:space="preserve">858</w:t>
      </w:r>
      <w:r>
        <w:t xml:space="preserve">   </w:t>
      </w:r>
      <w:r>
        <w:tab/>
      </w:r>
      <w:r>
        <w:t xml:space="preserve">31</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Johnson</w:t>
      </w:r>
      <w:r>
        <w:t xml:space="preserve"> </w:t>
      </w:r>
      <w:r>
        <w:t xml:space="preserve">2020</w:t>
        <w:noBreakHyphen/>
        <w:t xml:space="preserve">00052</w:t>
      </w:r>
      <w:r>
        <w:t xml:space="preserve"> </w:t>
      </w:r>
      <w:r>
        <w:t xml:space="preserve">(La.</w:t>
      </w:r>
      <w:r>
        <w:t xml:space="preserve"> </w:t>
      </w:r>
      <w:r>
        <w:t xml:space="preserve">09/29/20),</w:t>
      </w:r>
      <w:r>
        <w:t xml:space="preserve"> </w:t>
      </w:r>
      <w:r>
        <w:t xml:space="preserve">2020</w:t>
      </w:r>
      <w:r>
        <w:t xml:space="preserve"> </w:t>
      </w:r>
      <w:r>
        <w:t xml:space="preserve">WL</w:t>
      </w:r>
      <w:r>
        <w:t xml:space="preserve"> </w:t>
      </w:r>
      <w:r>
        <w:t xml:space="preserve">5793805</w:t>
      </w:r>
      <w:r>
        <w:t xml:space="preserve">   </w:t>
      </w:r>
      <w:r>
        <w:tab/>
      </w:r>
      <w:r>
        <w:t xml:space="preserve">31</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Kidd</w:t>
      </w:r>
      <w:r>
        <w:t xml:space="preserve"> </w:t>
      </w:r>
      <w:r>
        <w:t xml:space="preserve">2020</w:t>
        <w:noBreakHyphen/>
        <w:t xml:space="preserve">00055</w:t>
      </w:r>
      <w:r>
        <w:t xml:space="preserve"> </w:t>
      </w:r>
      <w:r>
        <w:t xml:space="preserve">(La.</w:t>
      </w:r>
      <w:r>
        <w:t xml:space="preserve"> </w:t>
      </w:r>
      <w:r>
        <w:t xml:space="preserve">08/14/20);</w:t>
      </w:r>
      <w:r>
        <w:t xml:space="preserve"> </w:t>
      </w:r>
      <w:r>
        <w:t xml:space="preserve">300</w:t>
      </w:r>
      <w:r>
        <w:t xml:space="preserve"> </w:t>
      </w:r>
      <w:r>
        <w:t xml:space="preserve">So.3d</w:t>
      </w:r>
      <w:r>
        <w:t xml:space="preserve"> </w:t>
      </w:r>
      <w:r>
        <w:t xml:space="preserve">828</w:t>
      </w:r>
      <w:r>
        <w:t xml:space="preserve">   </w:t>
      </w:r>
      <w:r>
        <w:tab/>
      </w:r>
      <w:r>
        <w:t xml:space="preserve">31</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Mason</w:t>
      </w:r>
      <w:r>
        <w:t xml:space="preserve"> </w:t>
      </w:r>
      <w:r>
        <w:t xml:space="preserve">2019</w:t>
        <w:noBreakHyphen/>
        <w:t xml:space="preserve">01821</w:t>
      </w:r>
      <w:r>
        <w:t xml:space="preserve"> </w:t>
      </w:r>
      <w:r>
        <w:t xml:space="preserve">(La.</w:t>
      </w:r>
      <w:r>
        <w:t xml:space="preserve"> </w:t>
      </w:r>
      <w:r>
        <w:t xml:space="preserve">08/14/20),</w:t>
      </w:r>
      <w:r>
        <w:t xml:space="preserve"> </w:t>
      </w:r>
      <w:r>
        <w:t xml:space="preserve">2020</w:t>
      </w:r>
      <w:r>
        <w:t xml:space="preserve"> </w:t>
      </w:r>
      <w:r>
        <w:t xml:space="preserve">WL</w:t>
      </w:r>
      <w:r>
        <w:t xml:space="preserve"> </w:t>
      </w:r>
      <w:r>
        <w:t xml:space="preserve">4726952</w:t>
      </w:r>
      <w:r>
        <w:t xml:space="preserve">   </w:t>
      </w:r>
      <w:r>
        <w:tab/>
      </w:r>
      <w:r>
        <w:t xml:space="preserve">31</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Maxie</w:t>
      </w:r>
      <w:r>
        <w:t xml:space="preserve"> </w:t>
      </w:r>
      <w:r>
        <w:t xml:space="preserve">No.</w:t>
      </w:r>
      <w:r>
        <w:t xml:space="preserve"> </w:t>
      </w:r>
      <w:r>
        <w:t xml:space="preserve">13-CR</w:t>
        <w:noBreakHyphen/>
        <w:t xml:space="preserve">72522</w:t>
      </w:r>
      <w:r>
        <w:t xml:space="preserve"> </w:t>
      </w:r>
      <w:r>
        <w:t xml:space="preserve">(La.</w:t>
      </w:r>
      <w:r>
        <w:t xml:space="preserve"> </w:t>
      </w:r>
      <w:r>
        <w:t xml:space="preserve">11th</w:t>
      </w:r>
      <w:r>
        <w:t xml:space="preserve"> </w:t>
      </w:r>
      <w:r>
        <w:t xml:space="preserve">Jud.</w:t>
      </w:r>
      <w:r>
        <w:t xml:space="preserve"> </w:t>
      </w:r>
      <w:r>
        <w:t xml:space="preserve">Dist.,</w:t>
      </w:r>
      <w:r>
        <w:t xml:space="preserve"> </w:t>
      </w:r>
      <w:r>
        <w:t xml:space="preserve">Oct.</w:t>
      </w:r>
      <w:r>
        <w:t xml:space="preserve"> </w:t>
      </w:r>
      <w:r>
        <w:t xml:space="preserve">11,</w:t>
      </w:r>
      <w:r>
        <w:t xml:space="preserve"> </w:t>
      </w:r>
      <w:r>
        <w:t xml:space="preserve">2018)</w:t>
      </w:r>
      <w:r>
        <w:t xml:space="preserve">   </w:t>
      </w:r>
      <w:r>
        <w:tab/>
      </w:r>
      <w:r>
        <w:t xml:space="preserve">3, 12</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McGuire</w:t>
      </w:r>
      <w:r>
        <w:t xml:space="preserve"> </w:t>
      </w:r>
      <w:r>
        <w:t xml:space="preserve">2019</w:t>
        <w:noBreakHyphen/>
        <w:t xml:space="preserve">01632</w:t>
      </w:r>
      <w:r>
        <w:t xml:space="preserve"> </w:t>
      </w:r>
      <w:r>
        <w:t xml:space="preserve">(La.</w:t>
      </w:r>
      <w:r>
        <w:t xml:space="preserve"> </w:t>
      </w:r>
      <w:r>
        <w:t xml:space="preserve">08/14/20);</w:t>
      </w:r>
      <w:r>
        <w:t xml:space="preserve"> </w:t>
      </w:r>
      <w:r>
        <w:t xml:space="preserve">300</w:t>
      </w:r>
      <w:r>
        <w:t xml:space="preserve"> </w:t>
      </w:r>
      <w:r>
        <w:t xml:space="preserve">So.3d</w:t>
      </w:r>
      <w:r>
        <w:t xml:space="preserve"> </w:t>
      </w:r>
      <w:r>
        <w:t xml:space="preserve">830</w:t>
      </w:r>
      <w:r>
        <w:t xml:space="preserve">   </w:t>
      </w:r>
      <w:r>
        <w:tab/>
      </w:r>
      <w:r>
        <w:t xml:space="preserve">31</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McKnight</w:t>
      </w:r>
      <w:r>
        <w:t xml:space="preserve"> </w:t>
      </w:r>
      <w:r>
        <w:t xml:space="preserve">2020</w:t>
        <w:noBreakHyphen/>
        <w:t xml:space="preserve">00873</w:t>
      </w:r>
      <w:r>
        <w:t xml:space="preserve"> </w:t>
      </w:r>
      <w:r>
        <w:t xml:space="preserve">(La.</w:t>
      </w:r>
      <w:r>
        <w:t xml:space="preserve"> </w:t>
      </w:r>
      <w:r>
        <w:t xml:space="preserve">07/17/20);</w:t>
      </w:r>
      <w:r>
        <w:t xml:space="preserve"> </w:t>
      </w:r>
      <w:r>
        <w:t xml:space="preserve">299</w:t>
      </w:r>
      <w:r>
        <w:t xml:space="preserve"> </w:t>
      </w:r>
      <w:r>
        <w:t xml:space="preserve">So.3d</w:t>
      </w:r>
      <w:r>
        <w:t xml:space="preserve"> </w:t>
      </w:r>
      <w:r>
        <w:t xml:space="preserve">64</w:t>
      </w:r>
      <w:r>
        <w:t xml:space="preserve">   </w:t>
      </w:r>
      <w:r>
        <w:tab/>
      </w:r>
      <w:r>
        <w:t xml:space="preserve">31</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Melendez</w:t>
      </w:r>
      <w:r>
        <w:t xml:space="preserve"> </w:t>
      </w:r>
      <w:r>
        <w:t xml:space="preserve">2021</w:t>
        <w:noBreakHyphen/>
        <w:t xml:space="preserve">0597</w:t>
      </w:r>
      <w:r>
        <w:t xml:space="preserve"> </w:t>
      </w:r>
      <w:r>
        <w:t xml:space="preserve">(La.</w:t>
      </w:r>
      <w:r>
        <w:t xml:space="preserve"> </w:t>
      </w:r>
      <w:r>
        <w:t xml:space="preserve">App.</w:t>
      </w:r>
      <w:r>
        <w:t xml:space="preserve"> </w:t>
      </w:r>
      <w:r>
        <w:t xml:space="preserve">4</w:t>
      </w:r>
      <w:r>
        <w:t xml:space="preserve"> </w:t>
      </w:r>
      <w:r>
        <w:t xml:space="preserve">Cir.</w:t>
      </w:r>
      <w:r>
        <w:t xml:space="preserve"> </w:t>
      </w:r>
      <w:r>
        <w:t xml:space="preserve">12/09/21)</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Mims</w:t>
      </w:r>
      <w:r>
        <w:t xml:space="preserve"> </w:t>
      </w:r>
      <w:r>
        <w:t xml:space="preserve">2019</w:t>
        <w:noBreakHyphen/>
        <w:t xml:space="preserve">2088</w:t>
      </w:r>
      <w:r>
        <w:t xml:space="preserve"> </w:t>
      </w:r>
      <w:r>
        <w:t xml:space="preserve">(La.</w:t>
      </w:r>
      <w:r>
        <w:t xml:space="preserve"> </w:t>
      </w:r>
      <w:r>
        <w:t xml:space="preserve">08/14/20);</w:t>
      </w:r>
      <w:r>
        <w:t xml:space="preserve"> </w:t>
      </w:r>
      <w:r>
        <w:t xml:space="preserve">300</w:t>
      </w:r>
      <w:r>
        <w:t xml:space="preserve"> </w:t>
      </w:r>
      <w:r>
        <w:t xml:space="preserve">So.3d</w:t>
      </w:r>
      <w:r>
        <w:t xml:space="preserve"> </w:t>
      </w:r>
      <w:r>
        <w:t xml:space="preserve">867</w:t>
      </w:r>
      <w:r>
        <w:t xml:space="preserve">   </w:t>
      </w:r>
      <w:r>
        <w:tab/>
      </w:r>
      <w:r>
        <w:t xml:space="preserve">31</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Parish</w:t>
      </w:r>
      <w:r>
        <w:t xml:space="preserve"> </w:t>
      </w:r>
      <w:r>
        <w:t xml:space="preserve">2020</w:t>
        <w:noBreakHyphen/>
        <w:t xml:space="preserve">00072</w:t>
      </w:r>
      <w:r>
        <w:t xml:space="preserve"> </w:t>
      </w:r>
      <w:r>
        <w:t xml:space="preserve">(La.</w:t>
      </w:r>
      <w:r>
        <w:t xml:space="preserve"> </w:t>
      </w:r>
      <w:r>
        <w:t xml:space="preserve">08/14/20);</w:t>
      </w:r>
      <w:r>
        <w:t xml:space="preserve"> </w:t>
      </w:r>
      <w:r>
        <w:t xml:space="preserve">300</w:t>
      </w:r>
      <w:r>
        <w:t xml:space="preserve"> </w:t>
      </w:r>
      <w:r>
        <w:t xml:space="preserve">So.3d</w:t>
      </w:r>
      <w:r>
        <w:t xml:space="preserve"> </w:t>
      </w:r>
      <w:r>
        <w:t xml:space="preserve">861</w:t>
      </w:r>
      <w:r>
        <w:t xml:space="preserve">   </w:t>
      </w:r>
      <w:r>
        <w:tab/>
      </w:r>
      <w:r>
        <w:t xml:space="preserve">31</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Pittman</w:t>
      </w:r>
      <w:r>
        <w:t xml:space="preserve"> </w:t>
      </w:r>
      <w:r>
        <w:t xml:space="preserve">2019</w:t>
        <w:noBreakHyphen/>
        <w:t xml:space="preserve">01354</w:t>
      </w:r>
      <w:r>
        <w:t xml:space="preserve"> </w:t>
      </w:r>
      <w:r>
        <w:t xml:space="preserve">(La.</w:t>
      </w:r>
      <w:r>
        <w:t xml:space="preserve"> </w:t>
      </w:r>
      <w:r>
        <w:t xml:space="preserve">08/14/20);</w:t>
      </w:r>
      <w:r>
        <w:t xml:space="preserve"> </w:t>
      </w:r>
      <w:r>
        <w:t xml:space="preserve">300</w:t>
      </w:r>
      <w:r>
        <w:t xml:space="preserve"> </w:t>
      </w:r>
      <w:r>
        <w:t xml:space="preserve">So.3d</w:t>
      </w:r>
      <w:r>
        <w:t xml:space="preserve"> </w:t>
      </w:r>
      <w:r>
        <w:t xml:space="preserve">856</w:t>
      </w:r>
      <w:r>
        <w:t xml:space="preserve">   </w:t>
      </w:r>
      <w:r>
        <w:tab/>
      </w:r>
      <w:r>
        <w:t xml:space="preserve">31</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Sims</w:t>
      </w:r>
      <w:r>
        <w:t xml:space="preserve"> </w:t>
      </w:r>
      <w:r>
        <w:t xml:space="preserve">2020</w:t>
        <w:noBreakHyphen/>
        <w:t xml:space="preserve">00298</w:t>
      </w:r>
      <w:r>
        <w:t xml:space="preserve"> </w:t>
      </w:r>
      <w:r>
        <w:t xml:space="preserve">(La.</w:t>
      </w:r>
      <w:r>
        <w:t xml:space="preserve"> </w:t>
      </w:r>
      <w:r>
        <w:t xml:space="preserve">09/08/20);</w:t>
      </w:r>
      <w:r>
        <w:t xml:space="preserve"> </w:t>
      </w:r>
      <w:r>
        <w:t xml:space="preserve">301</w:t>
      </w:r>
      <w:r>
        <w:t xml:space="preserve"> </w:t>
      </w:r>
      <w:r>
        <w:t xml:space="preserve">So.3d</w:t>
      </w:r>
      <w:r>
        <w:t xml:space="preserve"> </w:t>
      </w:r>
      <w:r>
        <w:t xml:space="preserve">17</w:t>
      </w:r>
      <w:r>
        <w:t xml:space="preserve">   </w:t>
      </w:r>
      <w:r>
        <w:tab/>
      </w:r>
      <w:r>
        <w:t xml:space="preserve">31</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Skipper</w:t>
      </w:r>
      <w:r>
        <w:t xml:space="preserve"> </w:t>
      </w:r>
      <w:r>
        <w:t xml:space="preserve">2020</w:t>
        <w:noBreakHyphen/>
        <w:t xml:space="preserve">00280</w:t>
      </w:r>
      <w:r>
        <w:t xml:space="preserve"> </w:t>
      </w:r>
      <w:r>
        <w:t xml:space="preserve">(La.</w:t>
      </w:r>
      <w:r>
        <w:t xml:space="preserve"> </w:t>
      </w:r>
      <w:r>
        <w:t xml:space="preserve">09/08/20);</w:t>
      </w:r>
      <w:r>
        <w:t xml:space="preserve"> </w:t>
      </w:r>
      <w:r>
        <w:t xml:space="preserve">301</w:t>
      </w:r>
      <w:r>
        <w:t xml:space="preserve"> </w:t>
      </w:r>
      <w:r>
        <w:t xml:space="preserve">So.3d</w:t>
      </w:r>
      <w:r>
        <w:t xml:space="preserve"> </w:t>
      </w:r>
      <w:r>
        <w:t xml:space="preserve">16</w:t>
      </w:r>
      <w:r>
        <w:t xml:space="preserve">   </w:t>
      </w:r>
      <w:r>
        <w:tab/>
      </w:r>
      <w:r>
        <w:t xml:space="preserve">31</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Smith</w:t>
      </w:r>
      <w:r>
        <w:t xml:space="preserve"> </w:t>
      </w:r>
      <w:r>
        <w:t xml:space="preserve">2020</w:t>
        <w:noBreakHyphen/>
        <w:t xml:space="preserve">00621</w:t>
      </w:r>
      <w:r>
        <w:t xml:space="preserve"> </w:t>
      </w:r>
      <w:r>
        <w:t xml:space="preserve">(La.</w:t>
      </w:r>
      <w:r>
        <w:t xml:space="preserve"> </w:t>
      </w:r>
      <w:r>
        <w:t xml:space="preserve">09/29/20),</w:t>
      </w:r>
      <w:r>
        <w:t xml:space="preserve"> </w:t>
      </w:r>
      <w:r>
        <w:t xml:space="preserve">2020</w:t>
      </w:r>
      <w:r>
        <w:t xml:space="preserve"> </w:t>
      </w:r>
      <w:r>
        <w:t xml:space="preserve">WL</w:t>
      </w:r>
      <w:r>
        <w:t xml:space="preserve"> </w:t>
      </w:r>
      <w:r>
        <w:t xml:space="preserve">5793717</w:t>
      </w:r>
      <w:r>
        <w:t xml:space="preserve">   </w:t>
      </w:r>
      <w:r>
        <w:tab/>
      </w:r>
      <w:r>
        <w:t xml:space="preserve">31</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Sonnier</w:t>
      </w:r>
      <w:r>
        <w:t xml:space="preserve"> </w:t>
      </w:r>
      <w:r>
        <w:t xml:space="preserve">2019</w:t>
        <w:noBreakHyphen/>
        <w:t xml:space="preserve">02066</w:t>
      </w:r>
      <w:r>
        <w:t xml:space="preserve"> </w:t>
      </w:r>
      <w:r>
        <w:t xml:space="preserve">(La.</w:t>
      </w:r>
      <w:r>
        <w:t xml:space="preserve"> </w:t>
      </w:r>
      <w:r>
        <w:t xml:space="preserve">08/14/20);</w:t>
      </w:r>
      <w:r>
        <w:t xml:space="preserve"> </w:t>
      </w:r>
      <w:r>
        <w:t xml:space="preserve">300</w:t>
      </w:r>
      <w:r>
        <w:t xml:space="preserve"> </w:t>
      </w:r>
      <w:r>
        <w:t xml:space="preserve">So.3d</w:t>
      </w:r>
      <w:r>
        <w:t xml:space="preserve"> </w:t>
      </w:r>
      <w:r>
        <w:t xml:space="preserve">857</w:t>
      </w:r>
      <w:r>
        <w:t xml:space="preserve">   </w:t>
      </w:r>
      <w:r>
        <w:tab/>
      </w:r>
      <w:r>
        <w:t xml:space="preserve">31</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Spencer</w:t>
      </w:r>
      <w:r>
        <w:t xml:space="preserve"> </w:t>
      </w:r>
      <w:r>
        <w:t xml:space="preserve">2019</w:t>
        <w:noBreakHyphen/>
        <w:t xml:space="preserve">01318</w:t>
      </w:r>
      <w:r>
        <w:t xml:space="preserve"> </w:t>
      </w:r>
      <w:r>
        <w:t xml:space="preserve">(La.</w:t>
      </w:r>
      <w:r>
        <w:t xml:space="preserve"> </w:t>
      </w:r>
      <w:r>
        <w:t xml:space="preserve">08/14/20);</w:t>
      </w:r>
      <w:r>
        <w:t xml:space="preserve"> </w:t>
      </w:r>
      <w:r>
        <w:t xml:space="preserve">300</w:t>
      </w:r>
      <w:r>
        <w:t xml:space="preserve"> </w:t>
      </w:r>
      <w:r>
        <w:t xml:space="preserve">So.3d</w:t>
      </w:r>
      <w:r>
        <w:t xml:space="preserve"> </w:t>
      </w:r>
      <w:r>
        <w:t xml:space="preserve">855</w:t>
      </w:r>
      <w:r>
        <w:t xml:space="preserve">   </w:t>
      </w:r>
      <w:r>
        <w:tab/>
      </w:r>
      <w:r>
        <w:t xml:space="preserve">31</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St.</w:t>
      </w:r>
      <w:r>
        <w:rPr>
          <w:i/>
          <w:iCs/>
        </w:rPr>
        <w:t xml:space="preserve"> </w:t>
      </w:r>
      <w:r>
        <w:rPr>
          <w:i/>
          <w:iCs/>
        </w:rPr>
        <w:t xml:space="preserve">Pierre</w:t>
      </w:r>
      <w:r>
        <w:t xml:space="preserve"> </w:t>
      </w:r>
      <w:r>
        <w:t xml:space="preserve">515</w:t>
      </w:r>
      <w:r>
        <w:t xml:space="preserve"> </w:t>
      </w:r>
      <w:r>
        <w:t xml:space="preserve">So.2d</w:t>
      </w:r>
      <w:r>
        <w:t xml:space="preserve"> </w:t>
      </w:r>
      <w:r>
        <w:t xml:space="preserve">769</w:t>
      </w:r>
      <w:r>
        <w:t xml:space="preserve"> </w:t>
      </w:r>
      <w:r>
        <w:t xml:space="preserve">(La.</w:t>
      </w:r>
      <w:r>
        <w:t xml:space="preserve"> </w:t>
      </w:r>
      <w:r>
        <w:t xml:space="preserve">1987)</w:t>
      </w:r>
      <w:r>
        <w:t xml:space="preserve">   </w:t>
      </w:r>
      <w:r>
        <w:tab/>
      </w:r>
      <w:r>
        <w:t xml:space="preserve">25, 27</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Tate</w:t>
      </w:r>
      <w:r>
        <w:t xml:space="preserve"> </w:t>
      </w:r>
      <w:r>
        <w:t xml:space="preserve">12</w:t>
        <w:noBreakHyphen/>
        <w:t xml:space="preserve">2763</w:t>
      </w:r>
      <w:r>
        <w:t xml:space="preserve"> </w:t>
      </w:r>
      <w:r>
        <w:t xml:space="preserve">(La.</w:t>
      </w:r>
      <w:r>
        <w:t xml:space="preserve"> </w:t>
      </w:r>
      <w:r>
        <w:t xml:space="preserve">11/5/13);</w:t>
      </w:r>
      <w:r>
        <w:t xml:space="preserve"> </w:t>
      </w:r>
      <w:r>
        <w:t xml:space="preserve">130</w:t>
      </w:r>
      <w:r>
        <w:t xml:space="preserve"> </w:t>
      </w:r>
      <w:r>
        <w:t xml:space="preserve">So.3d</w:t>
      </w:r>
      <w:r>
        <w:t xml:space="preserve"> </w:t>
      </w:r>
      <w:r>
        <w:t xml:space="preserve">829</w:t>
      </w:r>
      <w:r>
        <w:t xml:space="preserve">   </w:t>
      </w:r>
      <w:r>
        <w:tab/>
      </w:r>
      <w:r>
        <w:t xml:space="preserve">25</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Waldron</w:t>
      </w:r>
      <w:r>
        <w:t xml:space="preserve"> </w:t>
      </w:r>
      <w:r>
        <w:t xml:space="preserve">2021</w:t>
        <w:noBreakHyphen/>
        <w:t xml:space="preserve">0512</w:t>
      </w:r>
      <w:r>
        <w:t xml:space="preserve"> </w:t>
      </w:r>
      <w:r>
        <w:t xml:space="preserve">(La.</w:t>
      </w:r>
      <w:r>
        <w:t xml:space="preserve"> </w:t>
      </w:r>
      <w:r>
        <w:t xml:space="preserve">App.</w:t>
      </w:r>
      <w:r>
        <w:t xml:space="preserve"> </w:t>
      </w:r>
      <w:r>
        <w:t xml:space="preserve">4</w:t>
      </w:r>
      <w:r>
        <w:t xml:space="preserve"> </w:t>
      </w:r>
      <w:r>
        <w:t xml:space="preserve">Cir.</w:t>
      </w:r>
      <w:r>
        <w:t xml:space="preserve"> </w:t>
      </w:r>
      <w:r>
        <w:t xml:space="preserve">01/24/22)</w:t>
      </w:r>
      <w:r>
        <w:t xml:space="preserve">   </w:t>
      </w:r>
      <w:r>
        <w:tab/>
      </w:r>
      <w:r>
        <w:t xml:space="preserve">20</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Wardlaw</w:t>
      </w:r>
      <w:r>
        <w:t xml:space="preserve"> </w:t>
      </w:r>
      <w:r>
        <w:t xml:space="preserve">2020</w:t>
        <w:noBreakHyphen/>
        <w:t xml:space="preserve">00004</w:t>
      </w:r>
      <w:r>
        <w:t xml:space="preserve"> </w:t>
      </w:r>
      <w:r>
        <w:t xml:space="preserve">(La.</w:t>
      </w:r>
      <w:r>
        <w:t xml:space="preserve"> </w:t>
      </w:r>
      <w:r>
        <w:t xml:space="preserve">08/14/20);</w:t>
      </w:r>
      <w:r>
        <w:t xml:space="preserve"> </w:t>
      </w:r>
      <w:r>
        <w:t xml:space="preserve">300</w:t>
      </w:r>
      <w:r>
        <w:t xml:space="preserve"> </w:t>
      </w:r>
      <w:r>
        <w:t xml:space="preserve">So.3d</w:t>
      </w:r>
      <w:r>
        <w:t xml:space="preserve"> </w:t>
      </w:r>
      <w:r>
        <w:t xml:space="preserve">859</w:t>
      </w:r>
      <w:r>
        <w:t xml:space="preserve">   </w:t>
      </w:r>
      <w:r>
        <w:tab/>
      </w:r>
      <w:r>
        <w:t xml:space="preserve">31</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Whitfield</w:t>
      </w:r>
      <w:r>
        <w:t xml:space="preserve"> </w:t>
      </w:r>
      <w:r>
        <w:t xml:space="preserve">107</w:t>
      </w:r>
      <w:r>
        <w:t xml:space="preserve"> </w:t>
      </w:r>
      <w:r>
        <w:t xml:space="preserve">S.W.3d</w:t>
      </w:r>
      <w:r>
        <w:t xml:space="preserve"> </w:t>
      </w:r>
      <w:r>
        <w:t xml:space="preserve">253</w:t>
      </w:r>
      <w:r>
        <w:t xml:space="preserve"> </w:t>
      </w:r>
      <w:r>
        <w:t xml:space="preserve">(Mo.</w:t>
      </w:r>
      <w:r>
        <w:t xml:space="preserve"> </w:t>
      </w:r>
      <w:r>
        <w:t xml:space="preserve">2003)</w:t>
      </w:r>
      <w:r>
        <w:t xml:space="preserve">   </w:t>
      </w:r>
      <w:r>
        <w:tab/>
      </w:r>
      <w:r>
        <w:t xml:space="preserve">24</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Williams</w:t>
      </w:r>
      <w:r>
        <w:t xml:space="preserve"> </w:t>
      </w:r>
      <w:r>
        <w:t xml:space="preserve">2019</w:t>
        <w:noBreakHyphen/>
        <w:t xml:space="preserve">02010</w:t>
      </w:r>
      <w:r>
        <w:t xml:space="preserve"> </w:t>
      </w:r>
      <w:r>
        <w:t xml:space="preserve">(La.</w:t>
      </w:r>
      <w:r>
        <w:t xml:space="preserve"> </w:t>
      </w:r>
      <w:r>
        <w:t xml:space="preserve">08/14/20);</w:t>
      </w:r>
      <w:r>
        <w:t xml:space="preserve"> </w:t>
      </w:r>
      <w:r>
        <w:t xml:space="preserve">300</w:t>
      </w:r>
      <w:r>
        <w:t xml:space="preserve"> </w:t>
      </w:r>
      <w:r>
        <w:t xml:space="preserve">So.3d</w:t>
      </w:r>
      <w:r>
        <w:t xml:space="preserve"> </w:t>
      </w:r>
      <w:r>
        <w:t xml:space="preserve">856</w:t>
      </w:r>
      <w:r>
        <w:t xml:space="preserve">   </w:t>
      </w:r>
      <w:r>
        <w:tab/>
      </w:r>
      <w:r>
        <w:t xml:space="preserve">31, 32</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Williams</w:t>
      </w:r>
      <w:r>
        <w:t xml:space="preserve"> </w:t>
      </w:r>
      <w:r>
        <w:t xml:space="preserve">2020</w:t>
        <w:noBreakHyphen/>
        <w:t xml:space="preserve">00069</w:t>
      </w:r>
      <w:r>
        <w:t xml:space="preserve"> </w:t>
      </w:r>
      <w:r>
        <w:t xml:space="preserve">(La.</w:t>
      </w:r>
      <w:r>
        <w:t xml:space="preserve"> </w:t>
      </w:r>
      <w:r>
        <w:t xml:space="preserve">08/14/20);</w:t>
      </w:r>
      <w:r>
        <w:t xml:space="preserve"> </w:t>
      </w:r>
      <w:r>
        <w:t xml:space="preserve">300</w:t>
      </w:r>
      <w:r>
        <w:t xml:space="preserve"> </w:t>
      </w:r>
      <w:r>
        <w:t xml:space="preserve">So.3d</w:t>
      </w:r>
      <w:r>
        <w:t xml:space="preserve"> </w:t>
      </w:r>
      <w:r>
        <w:t xml:space="preserve">860</w:t>
      </w:r>
      <w:r>
        <w:t xml:space="preserve">   </w:t>
      </w:r>
      <w:r>
        <w:tab/>
      </w:r>
      <w:r>
        <w:t xml:space="preserve">31</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Withers</w:t>
      </w:r>
      <w:r>
        <w:t xml:space="preserve"> </w:t>
      </w:r>
      <w:r>
        <w:t xml:space="preserve">2020</w:t>
        <w:noBreakHyphen/>
        <w:t xml:space="preserve">00258</w:t>
      </w:r>
      <w:r>
        <w:t xml:space="preserve"> </w:t>
      </w:r>
      <w:r>
        <w:t xml:space="preserve">(La.</w:t>
      </w:r>
      <w:r>
        <w:t xml:space="preserve"> </w:t>
      </w:r>
      <w:r>
        <w:t xml:space="preserve">08/14/20);</w:t>
      </w:r>
      <w:r>
        <w:t xml:space="preserve"> </w:t>
      </w:r>
      <w:r>
        <w:t xml:space="preserve">300</w:t>
      </w:r>
      <w:r>
        <w:t xml:space="preserve"> </w:t>
      </w:r>
      <w:r>
        <w:t xml:space="preserve">So.3d</w:t>
      </w:r>
      <w:r>
        <w:t xml:space="preserve"> </w:t>
      </w:r>
      <w:r>
        <w:t xml:space="preserve">860</w:t>
      </w:r>
      <w:r>
        <w:t xml:space="preserve">   </w:t>
      </w:r>
      <w:r>
        <w:tab/>
      </w:r>
      <w:r>
        <w:t xml:space="preserve">31</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Young</w:t>
      </w:r>
      <w:r>
        <w:t xml:space="preserve"> </w:t>
      </w:r>
      <w:r>
        <w:t xml:space="preserve">2019</w:t>
        <w:noBreakHyphen/>
        <w:t xml:space="preserve">01818</w:t>
      </w:r>
      <w:r>
        <w:t xml:space="preserve"> </w:t>
      </w:r>
      <w:r>
        <w:t xml:space="preserve">(La.</w:t>
      </w:r>
      <w:r>
        <w:t xml:space="preserve"> </w:t>
      </w:r>
      <w:r>
        <w:t xml:space="preserve">06/12/20),</w:t>
      </w:r>
      <w:r>
        <w:t xml:space="preserve"> </w:t>
      </w:r>
      <w:r>
        <w:t xml:space="preserve">2020</w:t>
      </w:r>
      <w:r>
        <w:t xml:space="preserve"> </w:t>
      </w:r>
      <w:r>
        <w:t xml:space="preserve">WL</w:t>
      </w:r>
      <w:r>
        <w:t xml:space="preserve"> </w:t>
      </w:r>
      <w:r>
        <w:t xml:space="preserve">3424876</w:t>
      </w:r>
      <w:r>
        <w:t xml:space="preserve">   </w:t>
      </w:r>
      <w:r>
        <w:tab/>
      </w:r>
      <w:r>
        <w:t xml:space="preserve">31</w:t>
      </w:r>
    </w:p>
    <w:p>
      <w:pPr>
        <w:keepLines/>
        <w:tabs>
          <w:tab w:val="right" w:leader="dot" w:pos="9360"/>
        </w:tabs>
        <w:spacing w:before="144" w:after="0" w:line="276" w:lineRule="exact"/>
        <w:ind w:left="576" w:right="1120" w:hanging="576"/>
      </w:pPr>
      <w:r>
        <w:rPr>
          <w:i/>
          <w:iCs/>
        </w:rPr>
        <w:t xml:space="preserve">Stewart</w:t>
      </w:r>
      <w:r>
        <w:rPr>
          <w:i/>
          <w:iCs/>
        </w:rPr>
        <w:t xml:space="preserve"> </w:t>
      </w:r>
      <w:r>
        <w:rPr>
          <w:i/>
          <w:iCs/>
        </w:rPr>
        <w:t xml:space="preserve">v.</w:t>
      </w:r>
      <w:r>
        <w:rPr>
          <w:i/>
          <w:iCs/>
        </w:rPr>
        <w:t xml:space="preserve"> </w:t>
      </w:r>
      <w:r>
        <w:rPr>
          <w:i/>
          <w:iCs/>
        </w:rPr>
        <w:t xml:space="preserve">State</w:t>
      </w:r>
      <w:r>
        <w:t xml:space="preserve"> </w:t>
      </w:r>
      <w:r>
        <w:t xml:space="preserve">95</w:t>
        <w:noBreakHyphen/>
        <w:t xml:space="preserve">2385</w:t>
      </w:r>
      <w:r>
        <w:t xml:space="preserve"> </w:t>
      </w:r>
      <w:r>
        <w:t xml:space="preserve">(La.</w:t>
      </w:r>
      <w:r>
        <w:t xml:space="preserve"> </w:t>
      </w:r>
      <w:r>
        <w:t xml:space="preserve">07/02/96);</w:t>
      </w:r>
      <w:r>
        <w:t xml:space="preserve"> </w:t>
      </w:r>
      <w:r>
        <w:t xml:space="preserve">676</w:t>
      </w:r>
      <w:r>
        <w:t xml:space="preserve"> </w:t>
      </w:r>
      <w:r>
        <w:t xml:space="preserve">So.2d</w:t>
      </w:r>
      <w:r>
        <w:t xml:space="preserve"> </w:t>
      </w:r>
      <w:r>
        <w:t xml:space="preserve">87</w:t>
      </w:r>
      <w:r>
        <w:t xml:space="preserve">   </w:t>
      </w:r>
      <w:r>
        <w:tab/>
      </w:r>
      <w:r>
        <w:t xml:space="preserve">25</w:t>
      </w:r>
    </w:p>
    <w:p>
      <w:pPr>
        <w:keepLines/>
        <w:tabs>
          <w:tab w:val="right" w:leader="dot" w:pos="9360"/>
        </w:tabs>
        <w:spacing w:before="144" w:after="0" w:line="276" w:lineRule="exact"/>
        <w:ind w:left="576" w:right="1120" w:hanging="576"/>
      </w:pPr>
      <w:r>
        <w:rPr>
          <w:i/>
          <w:iCs/>
        </w:rPr>
        <w:t xml:space="preserve">Sullivan</w:t>
      </w:r>
      <w:r>
        <w:rPr>
          <w:i/>
          <w:iCs/>
        </w:rPr>
        <w:t xml:space="preserve"> </w:t>
      </w:r>
      <w:r>
        <w:rPr>
          <w:i/>
          <w:iCs/>
        </w:rPr>
        <w:t xml:space="preserve">v.</w:t>
      </w:r>
      <w:r>
        <w:rPr>
          <w:i/>
          <w:iCs/>
        </w:rPr>
        <w:t xml:space="preserve"> </w:t>
      </w:r>
      <w:r>
        <w:rPr>
          <w:i/>
          <w:iCs/>
        </w:rPr>
        <w:t xml:space="preserve">Louisiana</w:t>
      </w:r>
      <w:r>
        <w:t xml:space="preserve"> </w:t>
      </w:r>
      <w:r>
        <w:t xml:space="preserve">508</w:t>
      </w:r>
      <w:r>
        <w:t xml:space="preserve"> </w:t>
      </w:r>
      <w:r>
        <w:t xml:space="preserve">U.S.</w:t>
      </w:r>
      <w:r>
        <w:t xml:space="preserve"> </w:t>
      </w:r>
      <w:r>
        <w:t xml:space="preserve">275</w:t>
      </w:r>
      <w:r>
        <w:t xml:space="preserve"> </w:t>
      </w:r>
      <w:r>
        <w:t xml:space="preserve">(1993)</w:t>
      </w:r>
      <w:r>
        <w:t xml:space="preserve">   </w:t>
      </w:r>
      <w:r>
        <w:tab/>
      </w:r>
      <w:r>
        <w:t xml:space="preserve">24</w:t>
      </w:r>
    </w:p>
    <w:p>
      <w:pPr>
        <w:keepLines/>
        <w:tabs>
          <w:tab w:val="right" w:leader="dot" w:pos="9360"/>
        </w:tabs>
        <w:spacing w:before="144" w:after="0" w:line="276" w:lineRule="exact"/>
        <w:ind w:left="576" w:right="1200" w:hanging="576"/>
      </w:pPr>
      <w:r>
        <w:rPr>
          <w:i/>
          <w:iCs/>
        </w:rPr>
        <w:t xml:space="preserve">Teague</w:t>
      </w:r>
      <w:r>
        <w:rPr>
          <w:i/>
          <w:iCs/>
        </w:rPr>
        <w:t xml:space="preserve"> </w:t>
      </w:r>
      <w:r>
        <w:rPr>
          <w:i/>
          <w:iCs/>
        </w:rPr>
        <w:t xml:space="preserve">v.</w:t>
      </w:r>
      <w:r>
        <w:rPr>
          <w:i/>
          <w:iCs/>
        </w:rPr>
        <w:t xml:space="preserve"> </w:t>
      </w:r>
      <w:r>
        <w:rPr>
          <w:i/>
          <w:iCs/>
        </w:rPr>
        <w:t xml:space="preserve">Lane</w:t>
      </w:r>
      <w:r>
        <w:t xml:space="preserve"> </w:t>
      </w:r>
      <w:r>
        <w:t xml:space="preserve">489</w:t>
      </w:r>
      <w:r>
        <w:t xml:space="preserve"> </w:t>
      </w:r>
      <w:r>
        <w:t xml:space="preserve">U.S.</w:t>
      </w:r>
      <w:r>
        <w:t xml:space="preserve"> </w:t>
      </w:r>
      <w:r>
        <w:t xml:space="preserve">288</w:t>
      </w:r>
      <w:r>
        <w:t xml:space="preserve"> </w:t>
      </w:r>
      <w:r>
        <w:t xml:space="preserve">(1989)</w:t>
      </w:r>
      <w:r>
        <w:t xml:space="preserve">   </w:t>
      </w:r>
      <w:r>
        <w:tab/>
      </w:r>
      <w:r>
        <w:t xml:space="preserve">9, 15, 20, 30</w:t>
      </w:r>
    </w:p>
    <w:p>
      <w:pPr>
        <w:keepLines/>
        <w:tabs>
          <w:tab w:val="right" w:leader="dot" w:pos="9360"/>
        </w:tabs>
        <w:spacing w:before="144" w:after="0" w:line="276" w:lineRule="exact"/>
        <w:ind w:left="576" w:right="1120" w:hanging="576"/>
      </w:pPr>
      <w:r>
        <w:rPr>
          <w:i/>
          <w:iCs/>
        </w:rPr>
        <w:t xml:space="preserve">Thompson</w:t>
      </w:r>
      <w:r>
        <w:rPr>
          <w:i/>
          <w:iCs/>
        </w:rPr>
        <w:t xml:space="preserve"> </w:t>
      </w:r>
      <w:r>
        <w:rPr>
          <w:i/>
          <w:iCs/>
        </w:rPr>
        <w:t xml:space="preserve">v.</w:t>
      </w:r>
      <w:r>
        <w:rPr>
          <w:i/>
          <w:iCs/>
        </w:rPr>
        <w:t xml:space="preserve"> </w:t>
      </w:r>
      <w:r>
        <w:rPr>
          <w:i/>
          <w:iCs/>
        </w:rPr>
        <w:t xml:space="preserve">Utah</w:t>
      </w:r>
      <w:r>
        <w:t xml:space="preserve"> </w:t>
      </w:r>
      <w:r>
        <w:t xml:space="preserve">170</w:t>
      </w:r>
      <w:r>
        <w:t xml:space="preserve"> </w:t>
      </w:r>
      <w:r>
        <w:t xml:space="preserve">U.S.</w:t>
      </w:r>
      <w:r>
        <w:t xml:space="preserve"> </w:t>
      </w:r>
      <w:r>
        <w:t xml:space="preserve">343</w:t>
      </w:r>
      <w:r>
        <w:t xml:space="preserve"> </w:t>
      </w:r>
      <w:r>
        <w:t xml:space="preserve">(1898)</w:t>
      </w:r>
      <w:r>
        <w:t xml:space="preserve">   </w:t>
      </w:r>
      <w:r>
        <w:tab/>
      </w:r>
      <w:r>
        <w:t xml:space="preserve">22</w:t>
      </w:r>
    </w:p>
    <w:p>
      <w:pPr>
        <w:keepLines/>
        <w:tabs>
          <w:tab w:val="right" w:leader="dot" w:pos="9360"/>
        </w:tabs>
        <w:spacing w:before="144" w:after="0" w:line="276" w:lineRule="exact"/>
        <w:ind w:left="576" w:right="1120" w:hanging="576"/>
      </w:pPr>
      <w:r>
        <w:rPr>
          <w:i/>
          <w:iCs/>
        </w:rPr>
        <w:t xml:space="preserve">Tyler</w:t>
      </w:r>
      <w:r>
        <w:rPr>
          <w:i/>
          <w:iCs/>
        </w:rPr>
        <w:t xml:space="preserve"> </w:t>
      </w:r>
      <w:r>
        <w:rPr>
          <w:i/>
          <w:iCs/>
        </w:rPr>
        <w:t xml:space="preserve">v.</w:t>
      </w:r>
      <w:r>
        <w:rPr>
          <w:i/>
          <w:iCs/>
        </w:rPr>
        <w:t xml:space="preserve"> </w:t>
      </w:r>
      <w:r>
        <w:rPr>
          <w:i/>
          <w:iCs/>
        </w:rPr>
        <w:t xml:space="preserve">Cain</w:t>
      </w:r>
      <w:r>
        <w:t xml:space="preserve"> </w:t>
      </w:r>
      <w:r>
        <w:t xml:space="preserve">533</w:t>
      </w:r>
      <w:r>
        <w:t xml:space="preserve"> </w:t>
      </w:r>
      <w:r>
        <w:t xml:space="preserve">U.S.</w:t>
      </w:r>
      <w:r>
        <w:t xml:space="preserve"> </w:t>
      </w:r>
      <w:r>
        <w:t xml:space="preserve">656</w:t>
      </w:r>
      <w:r>
        <w:t xml:space="preserve"> </w:t>
      </w:r>
      <w:r>
        <w:t xml:space="preserve">(2001)</w:t>
      </w:r>
      <w:r>
        <w:t xml:space="preserve">   </w:t>
      </w:r>
      <w:r>
        <w:tab/>
      </w:r>
      <w:r>
        <w:t xml:space="preserve">16</w:t>
      </w:r>
    </w:p>
    <w:p>
      <w:pPr>
        <w:keepLines/>
        <w:tabs>
          <w:tab w:val="right" w:leader="dot" w:pos="9360"/>
        </w:tabs>
        <w:spacing w:before="144" w:after="0" w:line="276" w:lineRule="exact"/>
        <w:ind w:left="576" w:right="1120" w:hanging="576"/>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Booker</w:t>
      </w:r>
      <w:r>
        <w:t xml:space="preserve"> </w:t>
      </w:r>
      <w:r>
        <w:t xml:space="preserve">543</w:t>
      </w:r>
      <w:r>
        <w:t xml:space="preserve"> </w:t>
      </w:r>
      <w:r>
        <w:t xml:space="preserve">U.S.</w:t>
      </w:r>
      <w:r>
        <w:t xml:space="preserve"> </w:t>
      </w:r>
      <w:r>
        <w:t xml:space="preserve">220</w:t>
      </w:r>
      <w:r>
        <w:t xml:space="preserve"> </w:t>
      </w:r>
      <w:r>
        <w:t xml:space="preserve">(2005)</w:t>
      </w:r>
      <w:r>
        <w:t xml:space="preserve">   </w:t>
      </w:r>
      <w:r>
        <w:tab/>
      </w:r>
      <w:r>
        <w:t xml:space="preserve">23</w:t>
      </w:r>
    </w:p>
    <w:p>
      <w:pPr>
        <w:keepLines/>
        <w:tabs>
          <w:tab w:val="right" w:leader="dot" w:pos="9360"/>
        </w:tabs>
        <w:spacing w:before="144" w:after="0" w:line="276" w:lineRule="exact"/>
        <w:ind w:left="576" w:right="1120" w:hanging="576"/>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Gaudin</w:t>
      </w:r>
      <w:r>
        <w:t xml:space="preserve"> </w:t>
      </w:r>
      <w:r>
        <w:t xml:space="preserve">515</w:t>
      </w:r>
      <w:r>
        <w:t xml:space="preserve"> </w:t>
      </w:r>
      <w:r>
        <w:t xml:space="preserve">U.S.</w:t>
      </w:r>
      <w:r>
        <w:t xml:space="preserve"> </w:t>
      </w:r>
      <w:r>
        <w:t xml:space="preserve">506</w:t>
      </w:r>
      <w:r>
        <w:t xml:space="preserve"> </w:t>
      </w:r>
      <w:r>
        <w:t xml:space="preserve">(1995)</w:t>
      </w:r>
      <w:r>
        <w:t xml:space="preserve">   </w:t>
      </w:r>
      <w:r>
        <w:tab/>
      </w:r>
      <w:r>
        <w:t xml:space="preserve">23</w:t>
      </w:r>
    </w:p>
    <w:p>
      <w:pPr>
        <w:keepLines/>
        <w:tabs>
          <w:tab w:val="right" w:leader="dot" w:pos="9360"/>
        </w:tabs>
        <w:spacing w:before="144" w:after="0" w:line="276" w:lineRule="exact"/>
        <w:ind w:left="576" w:right="1120" w:hanging="576"/>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Haymond</w:t>
      </w:r>
      <w:r>
        <w:t xml:space="preserve"> </w:t>
      </w:r>
      <w:r>
        <w:t xml:space="preserve">139</w:t>
      </w:r>
      <w:r>
        <w:t xml:space="preserve"> </w:t>
      </w:r>
      <w:r>
        <w:t xml:space="preserve">S.</w:t>
      </w:r>
      <w:r>
        <w:t xml:space="preserve"> </w:t>
      </w:r>
      <w:r>
        <w:t xml:space="preserve">Ct.</w:t>
      </w:r>
      <w:r>
        <w:t xml:space="preserve"> </w:t>
      </w:r>
      <w:r>
        <w:t xml:space="preserve">2369</w:t>
      </w:r>
      <w:r>
        <w:t xml:space="preserve"> </w:t>
      </w:r>
      <w:r>
        <w:t xml:space="preserve">(2019)</w:t>
      </w:r>
      <w:r>
        <w:t xml:space="preserve"> </w:t>
      </w:r>
      <w:r>
        <w:t xml:space="preserve">(plurality</w:t>
      </w:r>
      <w:r>
        <w:t xml:space="preserve"> </w:t>
      </w:r>
      <w:r>
        <w:t xml:space="preserve">opinion)</w:t>
      </w:r>
      <w:r>
        <w:t xml:space="preserve">   </w:t>
      </w:r>
      <w:r>
        <w:tab/>
      </w:r>
      <w:r>
        <w:t xml:space="preserve">23</w:t>
      </w:r>
    </w:p>
    <w:p>
      <w:pPr>
        <w:keepLines/>
        <w:tabs>
          <w:tab w:val="right" w:leader="dot" w:pos="9360"/>
        </w:tabs>
        <w:spacing w:before="144" w:after="0" w:line="276" w:lineRule="exact"/>
        <w:ind w:left="576" w:right="1120" w:hanging="576"/>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Louisiana</w:t>
      </w:r>
      <w:r>
        <w:t xml:space="preserve"> </w:t>
      </w:r>
      <w:r>
        <w:t xml:space="preserve">225</w:t>
      </w:r>
      <w:r>
        <w:t xml:space="preserve"> </w:t>
      </w:r>
      <w:r>
        <w:t xml:space="preserve">F.</w:t>
      </w:r>
      <w:r>
        <w:t xml:space="preserve"> </w:t>
      </w:r>
      <w:r>
        <w:t xml:space="preserve">Supp.</w:t>
      </w:r>
      <w:r>
        <w:t xml:space="preserve"> </w:t>
      </w:r>
      <w:r>
        <w:t xml:space="preserve">353</w:t>
      </w:r>
      <w:r>
        <w:t xml:space="preserve"> </w:t>
      </w:r>
      <w:r>
        <w:t xml:space="preserve">(E.D.</w:t>
      </w:r>
      <w:r>
        <w:t xml:space="preserve"> </w:t>
      </w:r>
      <w:r>
        <w:t xml:space="preserve">La.</w:t>
      </w:r>
      <w:r>
        <w:t xml:space="preserve"> </w:t>
      </w:r>
      <w:r>
        <w:t xml:space="preserve">1963),</w:t>
      </w:r>
      <w:r>
        <w:t xml:space="preserve"> </w:t>
      </w:r>
      <w:r>
        <w:t xml:space="preserve">aff’d</w:t>
      </w:r>
      <w:r>
        <w:t xml:space="preserve"> </w:t>
      </w:r>
      <w:r>
        <w:t xml:space="preserve">sub</w:t>
      </w:r>
      <w:r>
        <w:t xml:space="preserve"> </w:t>
      </w:r>
      <w:r>
        <w:t xml:space="preserve">nom.</w:t>
      </w:r>
      <w:r>
        <w:t xml:space="preserve"> </w:t>
      </w:r>
      <w:r>
        <w:t xml:space="preserve">Louisiana</w:t>
      </w:r>
      <w:r>
        <w:t xml:space="preserve"> </w:t>
      </w:r>
      <w:r>
        <w:t xml:space="preserve">v.</w:t>
      </w:r>
      <w:r>
        <w:t xml:space="preserve"> </w:t>
      </w:r>
      <w:r>
        <w:t xml:space="preserve">United</w:t>
      </w:r>
      <w:r>
        <w:t xml:space="preserve"> </w:t>
      </w:r>
      <w:r>
        <w:t xml:space="preserve">States,</w:t>
      </w:r>
      <w:r>
        <w:t xml:space="preserve"> </w:t>
      </w:r>
      <w:r>
        <w:t xml:space="preserve">380</w:t>
      </w:r>
      <w:r>
        <w:t xml:space="preserve"> </w:t>
      </w:r>
      <w:r>
        <w:t xml:space="preserve">U.S.</w:t>
      </w:r>
      <w:r>
        <w:t xml:space="preserve"> </w:t>
      </w:r>
      <w:r>
        <w:t xml:space="preserve">145</w:t>
      </w:r>
      <w:r>
        <w:t xml:space="preserve"> </w:t>
      </w:r>
      <w:r>
        <w:t xml:space="preserve">(1965)</w:t>
      </w:r>
      <w:r>
        <w:t xml:space="preserve">   </w:t>
      </w:r>
      <w:r>
        <w:tab/>
      </w:r>
      <w:r>
        <w:t xml:space="preserve">2, 4</w:t>
      </w:r>
    </w:p>
    <w:p>
      <w:pPr>
        <w:keepLines/>
        <w:tabs>
          <w:tab w:val="right" w:leader="dot" w:pos="9360"/>
        </w:tabs>
        <w:spacing w:before="144" w:after="0" w:line="276" w:lineRule="exact"/>
        <w:ind w:left="576" w:right="1120" w:hanging="576"/>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The</w:t>
      </w:r>
      <w:r>
        <w:rPr>
          <w:i/>
          <w:iCs/>
        </w:rPr>
        <w:t xml:space="preserve"> </w:t>
      </w:r>
      <w:r>
        <w:rPr>
          <w:i/>
          <w:iCs/>
        </w:rPr>
        <w:t xml:space="preserve">Schooner</w:t>
      </w:r>
      <w:r>
        <w:rPr>
          <w:i/>
          <w:iCs/>
        </w:rPr>
        <w:t xml:space="preserve"> </w:t>
      </w:r>
      <w:r>
        <w:rPr>
          <w:i/>
          <w:iCs/>
        </w:rPr>
        <w:t xml:space="preserve">Peggy</w:t>
      </w:r>
      <w:r>
        <w:t xml:space="preserve"> </w:t>
      </w:r>
      <w:r>
        <w:t xml:space="preserve">5</w:t>
      </w:r>
      <w:r>
        <w:t xml:space="preserve"> </w:t>
      </w:r>
      <w:r>
        <w:t xml:space="preserve">U.S.</w:t>
      </w:r>
      <w:r>
        <w:t xml:space="preserve"> </w:t>
      </w:r>
      <w:r>
        <w:t xml:space="preserve">(1</w:t>
      </w:r>
      <w:r>
        <w:t xml:space="preserve"> </w:t>
      </w:r>
      <w:r>
        <w:t xml:space="preserve">Cranch)</w:t>
      </w:r>
      <w:r>
        <w:t xml:space="preserve"> </w:t>
      </w:r>
      <w:r>
        <w:t xml:space="preserve">103</w:t>
      </w:r>
      <w:r>
        <w:t xml:space="preserve"> </w:t>
      </w:r>
      <w:r>
        <w:t xml:space="preserve">(1801)</w:t>
      </w:r>
      <w:r>
        <w:t xml:space="preserve">   </w:t>
      </w:r>
      <w:r>
        <w:tab/>
      </w:r>
      <w:r>
        <w:t xml:space="preserve">19</w:t>
      </w:r>
    </w:p>
    <w:p>
      <w:pPr>
        <w:keepLines/>
        <w:tabs>
          <w:tab w:val="right" w:leader="dot" w:pos="9360"/>
        </w:tabs>
        <w:spacing w:before="144" w:after="0" w:line="276" w:lineRule="exact"/>
        <w:ind w:left="576" w:right="1120" w:hanging="576"/>
      </w:pPr>
      <w:r>
        <w:rPr>
          <w:i/>
          <w:iCs/>
        </w:rPr>
        <w:t xml:space="preserve">Vandenbark</w:t>
      </w:r>
      <w:r>
        <w:rPr>
          <w:i/>
          <w:iCs/>
        </w:rPr>
        <w:t xml:space="preserve"> </w:t>
      </w:r>
      <w:r>
        <w:rPr>
          <w:i/>
          <w:iCs/>
        </w:rPr>
        <w:t xml:space="preserve">v.</w:t>
      </w:r>
      <w:r>
        <w:rPr>
          <w:i/>
          <w:iCs/>
        </w:rPr>
        <w:t xml:space="preserve"> </w:t>
      </w:r>
      <w:r>
        <w:rPr>
          <w:i/>
          <w:iCs/>
        </w:rPr>
        <w:t xml:space="preserve">Owens-Illinois</w:t>
      </w:r>
      <w:r>
        <w:rPr>
          <w:i/>
          <w:iCs/>
        </w:rPr>
        <w:t xml:space="preserve"> </w:t>
      </w:r>
      <w:r>
        <w:rPr>
          <w:i/>
          <w:iCs/>
        </w:rPr>
        <w:t xml:space="preserve">Glass</w:t>
      </w:r>
      <w:r>
        <w:rPr>
          <w:i/>
          <w:iCs/>
        </w:rPr>
        <w:t xml:space="preserve"> </w:t>
      </w:r>
      <w:r>
        <w:rPr>
          <w:i/>
          <w:iCs/>
        </w:rPr>
        <w:t xml:space="preserve">Co.</w:t>
      </w:r>
      <w:r>
        <w:t xml:space="preserve"> </w:t>
      </w:r>
      <w:r>
        <w:t xml:space="preserve">311</w:t>
      </w:r>
      <w:r>
        <w:t xml:space="preserve"> </w:t>
      </w:r>
      <w:r>
        <w:t xml:space="preserve">U.S.</w:t>
      </w:r>
      <w:r>
        <w:t xml:space="preserve"> </w:t>
      </w:r>
      <w:r>
        <w:t xml:space="preserve">538</w:t>
      </w:r>
      <w:r>
        <w:t xml:space="preserve"> </w:t>
      </w:r>
      <w:r>
        <w:t xml:space="preserve">(1941)</w:t>
      </w:r>
      <w:r>
        <w:t xml:space="preserve">   </w:t>
      </w:r>
      <w:r>
        <w:tab/>
      </w:r>
      <w:r>
        <w:t xml:space="preserve">19</w:t>
      </w:r>
    </w:p>
    <w:p>
      <w:pPr>
        <w:keepLines/>
        <w:tabs>
          <w:tab w:val="right" w:leader="dot" w:pos="9360"/>
        </w:tabs>
        <w:spacing w:before="144" w:after="0" w:line="276" w:lineRule="exact"/>
        <w:ind w:left="576" w:right="1120" w:hanging="576"/>
      </w:pPr>
      <w:r>
        <w:rPr>
          <w:i/>
          <w:iCs/>
        </w:rPr>
        <w:t xml:space="preserve">Whorton</w:t>
      </w:r>
      <w:r>
        <w:rPr>
          <w:i/>
          <w:iCs/>
        </w:rPr>
        <w:t xml:space="preserve"> </w:t>
      </w:r>
      <w:r>
        <w:rPr>
          <w:i/>
          <w:iCs/>
        </w:rPr>
        <w:t xml:space="preserve">v.</w:t>
      </w:r>
      <w:r>
        <w:rPr>
          <w:i/>
          <w:iCs/>
        </w:rPr>
        <w:t xml:space="preserve"> </w:t>
      </w:r>
      <w:r>
        <w:rPr>
          <w:i/>
          <w:iCs/>
        </w:rPr>
        <w:t xml:space="preserve">Bockting</w:t>
      </w:r>
      <w:r>
        <w:t xml:space="preserve"> </w:t>
      </w:r>
      <w:r>
        <w:t xml:space="preserve">549</w:t>
      </w:r>
      <w:r>
        <w:t xml:space="preserve"> </w:t>
      </w:r>
      <w:r>
        <w:t xml:space="preserve">U.S.</w:t>
      </w:r>
      <w:r>
        <w:t xml:space="preserve"> </w:t>
      </w:r>
      <w:r>
        <w:t xml:space="preserve">406</w:t>
      </w:r>
      <w:r>
        <w:t xml:space="preserve"> </w:t>
      </w:r>
      <w:r>
        <w:t xml:space="preserve">(2007)</w:t>
      </w:r>
      <w:r>
        <w:t xml:space="preserve">   </w:t>
      </w:r>
      <w:r>
        <w:tab/>
      </w:r>
      <w:r>
        <w:t xml:space="preserve">16, 21</w:t>
      </w:r>
    </w:p>
    <w:p>
      <w:pPr>
        <w:keepNext/>
        <w:keepLines/>
        <w:spacing w:before="264" w:after="120" w:line="276"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144" w:after="0" w:line="276" w:lineRule="exact"/>
        <w:ind w:left="576" w:right="1120" w:hanging="576"/>
      </w:pPr>
      <w:r>
        <w:t xml:space="preserve">LA.</w:t>
      </w:r>
      <w:r>
        <w:t xml:space="preserve"> </w:t>
      </w:r>
      <w:r>
        <w:t xml:space="preserve">CONST.</w:t>
      </w:r>
      <w:r>
        <w:t xml:space="preserve"> </w:t>
      </w:r>
      <w:r>
        <w:t xml:space="preserve">art.</w:t>
      </w:r>
      <w:r>
        <w:t xml:space="preserve"> </w:t>
      </w:r>
      <w:r>
        <w:t xml:space="preserve">1,</w:t>
      </w:r>
      <w:r>
        <w:t xml:space="preserve"> </w:t>
      </w:r>
      <w:r>
        <w:t xml:space="preserve">§</w:t>
      </w:r>
      <w:r>
        <w:t xml:space="preserve"> </w:t>
      </w:r>
      <w:r>
        <w:t xml:space="preserve">3</w:t>
      </w:r>
      <w:r>
        <w:t xml:space="preserve">   </w:t>
      </w:r>
      <w:r>
        <w:tab/>
      </w:r>
      <w:r>
        <w:t xml:space="preserve">1, 27, 28</w:t>
      </w:r>
    </w:p>
    <w:p>
      <w:pPr>
        <w:keepLines/>
        <w:tabs>
          <w:tab w:val="right" w:leader="dot" w:pos="9360"/>
        </w:tabs>
        <w:spacing w:before="144" w:after="0" w:line="276" w:lineRule="exact"/>
        <w:ind w:left="576" w:right="1120" w:hanging="576"/>
      </w:pPr>
      <w:r>
        <w:t xml:space="preserve">LA.</w:t>
      </w:r>
      <w:r>
        <w:t xml:space="preserve"> </w:t>
      </w:r>
      <w:r>
        <w:t xml:space="preserve">CONST.</w:t>
      </w:r>
      <w:r>
        <w:t xml:space="preserve"> </w:t>
      </w:r>
      <w:r>
        <w:t xml:space="preserve">OF</w:t>
      </w:r>
      <w:r>
        <w:t xml:space="preserve"> </w:t>
      </w:r>
      <w:r>
        <w:t xml:space="preserve">1812</w:t>
      </w:r>
      <w:r>
        <w:t xml:space="preserve"> </w:t>
      </w:r>
      <w:r>
        <w:t xml:space="preserve">art.</w:t>
      </w:r>
      <w:r>
        <w:t xml:space="preserve"> </w:t>
      </w:r>
      <w:r>
        <w:t xml:space="preserve">6,</w:t>
      </w:r>
      <w:r>
        <w:t xml:space="preserve"> </w:t>
      </w:r>
      <w:r>
        <w:t xml:space="preserve">§</w:t>
      </w:r>
      <w:r>
        <w:t xml:space="preserve"> </w:t>
      </w:r>
      <w:r>
        <w:t xml:space="preserve">18</w:t>
      </w:r>
      <w:r>
        <w:t xml:space="preserve">   </w:t>
      </w:r>
      <w:r>
        <w:tab/>
      </w:r>
      <w:r>
        <w:t xml:space="preserve">11</w:t>
      </w:r>
    </w:p>
    <w:p>
      <w:pPr>
        <w:keepLines/>
        <w:tabs>
          <w:tab w:val="right" w:leader="dot" w:pos="9360"/>
        </w:tabs>
        <w:spacing w:before="144" w:after="0" w:line="276" w:lineRule="exact"/>
        <w:ind w:left="576" w:right="1120" w:hanging="576"/>
      </w:pPr>
      <w:r>
        <w:t xml:space="preserve">LA.</w:t>
      </w:r>
      <w:r>
        <w:t xml:space="preserve"> </w:t>
      </w:r>
      <w:r>
        <w:t xml:space="preserve">CONST.</w:t>
      </w:r>
      <w:r>
        <w:t xml:space="preserve"> </w:t>
      </w:r>
      <w:r>
        <w:t xml:space="preserve">OF</w:t>
      </w:r>
      <w:r>
        <w:t xml:space="preserve"> </w:t>
      </w:r>
      <w:r>
        <w:t xml:space="preserve">1845</w:t>
      </w:r>
      <w:r>
        <w:t xml:space="preserve"> </w:t>
      </w:r>
      <w:r>
        <w:t xml:space="preserve">Title</w:t>
      </w:r>
      <w:r>
        <w:t xml:space="preserve"> </w:t>
      </w:r>
      <w:r>
        <w:t xml:space="preserve">VI,</w:t>
      </w:r>
      <w:r>
        <w:t xml:space="preserve"> </w:t>
      </w:r>
      <w:r>
        <w:t xml:space="preserve">art.</w:t>
      </w:r>
      <w:r>
        <w:t xml:space="preserve"> </w:t>
      </w:r>
      <w:r>
        <w:t xml:space="preserve">107</w:t>
      </w:r>
      <w:r>
        <w:t xml:space="preserve">   </w:t>
      </w:r>
      <w:r>
        <w:tab/>
      </w:r>
      <w:r>
        <w:t xml:space="preserve">11</w:t>
      </w:r>
    </w:p>
    <w:p>
      <w:pPr>
        <w:keepLines/>
        <w:tabs>
          <w:tab w:val="right" w:leader="dot" w:pos="9360"/>
        </w:tabs>
        <w:spacing w:before="144" w:after="0" w:line="276" w:lineRule="exact"/>
        <w:ind w:left="576" w:right="1120" w:hanging="576"/>
      </w:pPr>
      <w:r>
        <w:t xml:space="preserve">LA.</w:t>
      </w:r>
      <w:r>
        <w:t xml:space="preserve"> </w:t>
      </w:r>
      <w:r>
        <w:t xml:space="preserve">CONST.</w:t>
      </w:r>
      <w:r>
        <w:t xml:space="preserve"> </w:t>
      </w:r>
      <w:r>
        <w:t xml:space="preserve">OF</w:t>
      </w:r>
      <w:r>
        <w:t xml:space="preserve"> </w:t>
      </w:r>
      <w:r>
        <w:t xml:space="preserve">1852</w:t>
      </w:r>
      <w:r>
        <w:t xml:space="preserve"> </w:t>
      </w:r>
      <w:r>
        <w:t xml:space="preserve">Title</w:t>
      </w:r>
      <w:r>
        <w:t xml:space="preserve"> </w:t>
      </w:r>
      <w:r>
        <w:t xml:space="preserve">VI,</w:t>
      </w:r>
      <w:r>
        <w:t xml:space="preserve"> </w:t>
      </w:r>
      <w:r>
        <w:t xml:space="preserve">art.</w:t>
      </w:r>
      <w:r>
        <w:t xml:space="preserve"> </w:t>
      </w:r>
      <w:r>
        <w:t xml:space="preserve">103</w:t>
      </w:r>
      <w:r>
        <w:t xml:space="preserve">   </w:t>
      </w:r>
      <w:r>
        <w:tab/>
      </w:r>
      <w:r>
        <w:t xml:space="preserve">11</w:t>
      </w:r>
    </w:p>
    <w:p>
      <w:pPr>
        <w:keepLines/>
        <w:tabs>
          <w:tab w:val="right" w:leader="dot" w:pos="9360"/>
        </w:tabs>
        <w:spacing w:before="144" w:after="0" w:line="276" w:lineRule="exact"/>
        <w:ind w:left="576" w:right="1120" w:hanging="576"/>
      </w:pPr>
      <w:r>
        <w:t xml:space="preserve">LA.</w:t>
      </w:r>
      <w:r>
        <w:t xml:space="preserve"> </w:t>
      </w:r>
      <w:r>
        <w:t xml:space="preserve">CONST.</w:t>
      </w:r>
      <w:r>
        <w:t xml:space="preserve"> </w:t>
      </w:r>
      <w:r>
        <w:t xml:space="preserve">OF</w:t>
      </w:r>
      <w:r>
        <w:t xml:space="preserve"> </w:t>
      </w:r>
      <w:r>
        <w:t xml:space="preserve">1864</w:t>
      </w:r>
      <w:r>
        <w:t xml:space="preserve"> </w:t>
      </w:r>
      <w:r>
        <w:t xml:space="preserve">Title</w:t>
      </w:r>
      <w:r>
        <w:t xml:space="preserve"> </w:t>
      </w:r>
      <w:r>
        <w:t xml:space="preserve">VI,</w:t>
      </w:r>
      <w:r>
        <w:t xml:space="preserve"> </w:t>
      </w:r>
      <w:r>
        <w:t xml:space="preserve">art.</w:t>
      </w:r>
      <w:r>
        <w:t xml:space="preserve"> </w:t>
      </w:r>
      <w:r>
        <w:t xml:space="preserve">105</w:t>
      </w:r>
      <w:r>
        <w:t xml:space="preserve">   </w:t>
      </w:r>
      <w:r>
        <w:tab/>
      </w:r>
      <w:r>
        <w:t xml:space="preserve">11</w:t>
      </w:r>
    </w:p>
    <w:p>
      <w:pPr>
        <w:keepLines/>
        <w:tabs>
          <w:tab w:val="right" w:leader="dot" w:pos="9360"/>
        </w:tabs>
        <w:spacing w:before="144" w:after="0" w:line="276" w:lineRule="exact"/>
        <w:ind w:left="576" w:right="1120" w:hanging="576"/>
      </w:pPr>
      <w:r>
        <w:t xml:space="preserve">LA.</w:t>
      </w:r>
      <w:r>
        <w:t xml:space="preserve"> </w:t>
      </w:r>
      <w:r>
        <w:t xml:space="preserve">CONST.</w:t>
      </w:r>
      <w:r>
        <w:t xml:space="preserve"> </w:t>
      </w:r>
      <w:r>
        <w:t xml:space="preserve">OF</w:t>
      </w:r>
      <w:r>
        <w:t xml:space="preserve"> </w:t>
      </w:r>
      <w:r>
        <w:t xml:space="preserve">1868</w:t>
      </w:r>
      <w:r>
        <w:t xml:space="preserve"> </w:t>
      </w:r>
      <w:r>
        <w:t xml:space="preserve">Title</w:t>
      </w:r>
      <w:r>
        <w:t xml:space="preserve"> </w:t>
      </w:r>
      <w:r>
        <w:t xml:space="preserve">I,</w:t>
      </w:r>
      <w:r>
        <w:t xml:space="preserve"> </w:t>
      </w:r>
      <w:r>
        <w:t xml:space="preserve">art.</w:t>
      </w:r>
      <w:r>
        <w:t xml:space="preserve"> </w:t>
      </w:r>
      <w:r>
        <w:t xml:space="preserve">6</w:t>
      </w:r>
      <w:r>
        <w:t xml:space="preserve">   </w:t>
      </w:r>
      <w:r>
        <w:tab/>
      </w:r>
      <w:r>
        <w:t xml:space="preserve">11</w:t>
      </w:r>
    </w:p>
    <w:p>
      <w:pPr>
        <w:keepLines/>
        <w:tabs>
          <w:tab w:val="right" w:leader="dot" w:pos="9360"/>
        </w:tabs>
        <w:spacing w:before="144" w:after="0" w:line="276" w:lineRule="exact"/>
        <w:ind w:left="576" w:right="1120" w:hanging="576"/>
      </w:pPr>
      <w:r>
        <w:t xml:space="preserve">LA.</w:t>
      </w:r>
      <w:r>
        <w:t xml:space="preserve"> </w:t>
      </w:r>
      <w:r>
        <w:t xml:space="preserve">CONST.</w:t>
      </w:r>
      <w:r>
        <w:t xml:space="preserve"> </w:t>
      </w:r>
      <w:r>
        <w:t xml:space="preserve">OF</w:t>
      </w:r>
      <w:r>
        <w:t xml:space="preserve"> </w:t>
      </w:r>
      <w:r>
        <w:t xml:space="preserve">1879</w:t>
      </w:r>
      <w:r>
        <w:t xml:space="preserve"> </w:t>
      </w:r>
      <w:r>
        <w:t xml:space="preserve">art.</w:t>
      </w:r>
      <w:r>
        <w:t xml:space="preserve"> </w:t>
      </w:r>
      <w:r>
        <w:t xml:space="preserve">7</w:t>
      </w:r>
      <w:r>
        <w:t xml:space="preserve">   </w:t>
      </w:r>
      <w:r>
        <w:tab/>
      </w:r>
      <w:r>
        <w:t xml:space="preserve">11</w:t>
      </w:r>
    </w:p>
    <w:p>
      <w:pPr>
        <w:keepLines/>
        <w:tabs>
          <w:tab w:val="right" w:leader="dot" w:pos="9360"/>
        </w:tabs>
        <w:spacing w:before="144" w:after="0" w:line="276" w:lineRule="exact"/>
        <w:ind w:left="576" w:right="1120" w:hanging="576"/>
      </w:pPr>
      <w:r>
        <w:t xml:space="preserve">LA.</w:t>
      </w:r>
      <w:r>
        <w:t xml:space="preserve"> </w:t>
      </w:r>
      <w:r>
        <w:t xml:space="preserve">CONST.</w:t>
      </w:r>
      <w:r>
        <w:t xml:space="preserve"> </w:t>
      </w:r>
      <w:r>
        <w:t xml:space="preserve">OF</w:t>
      </w:r>
      <w:r>
        <w:t xml:space="preserve"> </w:t>
      </w:r>
      <w:r>
        <w:t xml:space="preserve">1898</w:t>
      </w:r>
      <w:r>
        <w:t xml:space="preserve"> </w:t>
      </w:r>
      <w:r>
        <w:t xml:space="preserve">art.</w:t>
      </w:r>
      <w:r>
        <w:t xml:space="preserve"> </w:t>
      </w:r>
      <w:r>
        <w:t xml:space="preserve">116</w:t>
      </w:r>
      <w:r>
        <w:t xml:space="preserve">   </w:t>
      </w:r>
      <w:r>
        <w:tab/>
      </w:r>
      <w:r>
        <w:t xml:space="preserve">4</w:t>
      </w:r>
    </w:p>
    <w:p>
      <w:pPr>
        <w:keepLines/>
        <w:tabs>
          <w:tab w:val="right" w:leader="dot" w:pos="9360"/>
        </w:tabs>
        <w:spacing w:before="144" w:after="0" w:line="276" w:lineRule="exact"/>
        <w:ind w:left="576" w:right="1120" w:hanging="576"/>
      </w:pPr>
      <w:r>
        <w:t xml:space="preserve">LA.</w:t>
      </w:r>
      <w:r>
        <w:t xml:space="preserve"> </w:t>
      </w:r>
      <w:r>
        <w:t xml:space="preserve">CONST.</w:t>
      </w:r>
      <w:r>
        <w:t xml:space="preserve"> </w:t>
      </w:r>
      <w:r>
        <w:t xml:space="preserve">OF</w:t>
      </w:r>
      <w:r>
        <w:t xml:space="preserve"> </w:t>
      </w:r>
      <w:r>
        <w:t xml:space="preserve">1973</w:t>
      </w:r>
      <w:r>
        <w:t xml:space="preserve"> </w:t>
      </w:r>
      <w:r>
        <w:t xml:space="preserve">art.</w:t>
      </w:r>
      <w:r>
        <w:t xml:space="preserve"> </w:t>
      </w:r>
      <w:r>
        <w:t xml:space="preserve">1,</w:t>
      </w:r>
      <w:r>
        <w:t xml:space="preserve"> </w:t>
      </w:r>
      <w:r>
        <w:t xml:space="preserve">§</w:t>
      </w:r>
      <w:r>
        <w:t xml:space="preserve"> </w:t>
      </w:r>
      <w:r>
        <w:t xml:space="preserve">17</w:t>
      </w:r>
      <w:r>
        <w:t xml:space="preserve">   </w:t>
      </w:r>
      <w:r>
        <w:tab/>
      </w:r>
      <w:r>
        <w:t xml:space="preserve">4, 28</w:t>
      </w:r>
    </w:p>
    <w:p>
      <w:pPr>
        <w:keepLines/>
        <w:tabs>
          <w:tab w:val="right" w:leader="dot" w:pos="9360"/>
        </w:tabs>
        <w:spacing w:before="144" w:after="0" w:line="276" w:lineRule="exact"/>
        <w:ind w:left="576" w:right="1120" w:hanging="576"/>
      </w:pPr>
      <w:r>
        <w:t xml:space="preserve">OR.</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11</w:t>
      </w:r>
      <w:r>
        <w:t xml:space="preserve">   </w:t>
      </w:r>
      <w:r>
        <w:tab/>
      </w:r>
      <w:r>
        <w:t xml:space="preserve">11</w:t>
      </w:r>
    </w:p>
    <w:p>
      <w:pPr>
        <w:keepNext/>
        <w:keepLines/>
        <w:spacing w:before="264" w:after="120" w:line="276" w:lineRule="exact"/>
        <w:ind w:left="0" w:firstLine="0"/>
        <w:jc w:val="left"/>
      </w:pPr>
      <w:r>
        <w:rPr>
          <w:b/>
          <w:bCs/>
        </w:rPr>
        <w:t xml:space="preserve">STATUTES</w:t>
      </w:r>
    </w:p>
    <w:p>
      <w:pPr>
        <w:keepLines/>
        <w:tabs>
          <w:tab w:val="right" w:leader="dot" w:pos="9360"/>
        </w:tabs>
        <w:spacing w:before="144" w:after="0" w:line="276" w:lineRule="exact"/>
        <w:ind w:left="576" w:right="1120" w:hanging="576"/>
      </w:pPr>
      <w:r>
        <w:t xml:space="preserve">LA.</w:t>
      </w:r>
      <w:r>
        <w:t xml:space="preserve"> </w:t>
      </w:r>
      <w:r>
        <w:t xml:space="preserve">CODE</w:t>
      </w:r>
      <w:r>
        <w:t xml:space="preserve"> </w:t>
      </w:r>
      <w:r>
        <w:t xml:space="preserve">EVID.</w:t>
      </w:r>
      <w:r>
        <w:t xml:space="preserve"> </w:t>
      </w:r>
      <w:r>
        <w:t xml:space="preserve">ANN.</w:t>
      </w:r>
      <w:r>
        <w:t xml:space="preserve"> </w:t>
      </w:r>
      <w:r>
        <w:t xml:space="preserve">art.</w:t>
      </w:r>
      <w:r>
        <w:t xml:space="preserve"> </w:t>
      </w:r>
      <w:r>
        <w:t xml:space="preserve">612(B)</w:t>
      </w:r>
      <w:r>
        <w:t xml:space="preserve">   </w:t>
      </w:r>
      <w:r>
        <w:tab/>
      </w:r>
      <w:r>
        <w:t xml:space="preserve">30</w:t>
      </w:r>
    </w:p>
    <w:p>
      <w:pPr>
        <w:keepLines/>
        <w:tabs>
          <w:tab w:val="right" w:leader="dot" w:pos="9360"/>
        </w:tabs>
        <w:spacing w:before="144" w:after="0" w:line="276" w:lineRule="exact"/>
        <w:ind w:left="576" w:right="1120" w:hanging="576"/>
      </w:pPr>
      <w:r>
        <w:t xml:space="preserve">LA.</w:t>
      </w:r>
      <w:r>
        <w:t xml:space="preserve"> </w:t>
      </w:r>
      <w:r>
        <w:t xml:space="preserve">CODE</w:t>
      </w:r>
      <w:r>
        <w:t xml:space="preserve"> </w:t>
      </w:r>
      <w:r>
        <w:t xml:space="preserve">EVID.</w:t>
      </w:r>
      <w:r>
        <w:t xml:space="preserve"> </w:t>
      </w:r>
      <w:r>
        <w:t xml:space="preserve">ANN.</w:t>
      </w:r>
      <w:r>
        <w:t xml:space="preserve"> </w:t>
      </w:r>
      <w:r>
        <w:t xml:space="preserve">art.</w:t>
      </w:r>
      <w:r>
        <w:t xml:space="preserve"> </w:t>
      </w:r>
      <w:r>
        <w:t xml:space="preserve">804(1)</w:t>
      </w:r>
      <w:r>
        <w:t xml:space="preserve">   </w:t>
      </w:r>
      <w:r>
        <w:tab/>
      </w:r>
      <w:r>
        <w:t xml:space="preserve">30</w:t>
      </w:r>
    </w:p>
    <w:p>
      <w:pPr>
        <w:keepLines/>
        <w:tabs>
          <w:tab w:val="right" w:leader="dot" w:pos="9360"/>
        </w:tabs>
        <w:spacing w:before="144" w:after="0" w:line="276" w:lineRule="exact"/>
        <w:ind w:left="576" w:right="1120" w:hanging="576"/>
      </w:pPr>
      <w:r>
        <w:t xml:space="preserve">OR.</w:t>
      </w:r>
      <w:r>
        <w:t xml:space="preserve"> </w:t>
      </w:r>
      <w:r>
        <w:t xml:space="preserve">REV.</w:t>
      </w:r>
      <w:r>
        <w:t xml:space="preserve"> </w:t>
      </w:r>
      <w:r>
        <w:t xml:space="preserve">STAT.</w:t>
      </w:r>
      <w:r>
        <w:t xml:space="preserve"> </w:t>
      </w:r>
      <w:r>
        <w:t xml:space="preserve">§§</w:t>
      </w:r>
      <w:r>
        <w:t xml:space="preserve"> </w:t>
      </w:r>
      <w:r>
        <w:t xml:space="preserve">136.450(1),</w:t>
      </w:r>
      <w:r>
        <w:t xml:space="preserve"> </w:t>
      </w:r>
      <w:r>
        <w:t xml:space="preserve">163.105,</w:t>
      </w:r>
      <w:r>
        <w:t xml:space="preserve"> </w:t>
      </w:r>
      <w:r>
        <w:t xml:space="preserve">163.07</w:t>
      </w:r>
      <w:r>
        <w:t xml:space="preserve">   </w:t>
      </w:r>
      <w:r>
        <w:tab/>
      </w:r>
      <w:r>
        <w:t xml:space="preserve">11</w:t>
      </w:r>
    </w:p>
    <w:p>
      <w:pPr>
        <w:keepNext/>
        <w:keepLines/>
        <w:spacing w:before="264" w:after="120"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44" w:after="0" w:line="276" w:lineRule="exact"/>
        <w:ind w:left="576" w:right="1120" w:hanging="576"/>
      </w:pPr>
      <w:r>
        <w:t xml:space="preserve">Amici</w:t>
      </w:r>
      <w:r>
        <w:t xml:space="preserve"> </w:t>
      </w:r>
      <w:r>
        <w:t xml:space="preserve">Curiae</w:t>
      </w:r>
      <w:r>
        <w:t xml:space="preserve"> </w:t>
      </w:r>
      <w:r>
        <w:t xml:space="preserve">The</w:t>
      </w:r>
      <w:r>
        <w:t xml:space="preserve"> </w:t>
      </w:r>
      <w:r>
        <w:t xml:space="preserve">Promise</w:t>
      </w:r>
      <w:r>
        <w:t xml:space="preserve"> </w:t>
      </w:r>
      <w:r>
        <w:t xml:space="preserve">of</w:t>
      </w:r>
      <w:r>
        <w:t xml:space="preserve"> </w:t>
      </w:r>
      <w:r>
        <w:t xml:space="preserve">Justice</w:t>
      </w:r>
      <w:r>
        <w:t xml:space="preserve"> </w:t>
      </w:r>
      <w:r>
        <w:t xml:space="preserve">Initiative</w:t>
      </w:r>
      <w:r>
        <w:t xml:space="preserve"> </w:t>
      </w:r>
      <w:r>
        <w:t xml:space="preserve">et</w:t>
      </w:r>
      <w:r>
        <w:t xml:space="preserve"> </w:t>
      </w:r>
      <w:r>
        <w:t xml:space="preserve">al,</w:t>
      </w:r>
      <w:r>
        <w:t xml:space="preserve"> </w:t>
      </w:r>
      <w:r>
        <w:t xml:space="preserve">Edwards</w:t>
      </w:r>
      <w:r>
        <w:t xml:space="preserve"> </w:t>
      </w:r>
      <w:r>
        <w:t xml:space="preserve">v.</w:t>
      </w:r>
      <w:r>
        <w:t xml:space="preserve"> </w:t>
      </w:r>
      <w:r>
        <w:t xml:space="preserve">Vannoy,</w:t>
      </w:r>
      <w:r>
        <w:t xml:space="preserve"> </w:t>
      </w:r>
      <w:r>
        <w:t xml:space="preserve">No.</w:t>
      </w:r>
      <w:r>
        <w:t xml:space="preserve"> </w:t>
      </w:r>
      <w:r>
        <w:t xml:space="preserve">19–5807</w:t>
      </w:r>
      <w:r>
        <w:t xml:space="preserve"> </w:t>
      </w:r>
      <w:r>
        <w:t xml:space="preserve">(U.S.</w:t>
      </w:r>
      <w:r>
        <w:t xml:space="preserve"> </w:t>
      </w:r>
      <w:r>
        <w:t xml:space="preserve">Sup.</w:t>
      </w:r>
      <w:r>
        <w:t xml:space="preserve"> </w:t>
      </w:r>
      <w:r>
        <w:t xml:space="preserve">Ct.,</w:t>
      </w:r>
      <w:r>
        <w:t xml:space="preserve"> </w:t>
      </w:r>
      <w:r>
        <w:t xml:space="preserve">July</w:t>
      </w:r>
      <w:r>
        <w:t xml:space="preserve"> </w:t>
      </w:r>
      <w:r>
        <w:t xml:space="preserve">21,</w:t>
      </w:r>
      <w:r>
        <w:t xml:space="preserve"> </w:t>
      </w:r>
      <w:r>
        <w:t xml:space="preserve">2020)</w:t>
      </w:r>
      <w:r>
        <w:t xml:space="preserve">   </w:t>
      </w:r>
      <w:r>
        <w:tab/>
      </w:r>
      <w:r>
        <w:t xml:space="preserve">27</w:t>
      </w:r>
    </w:p>
    <w:p>
      <w:pPr>
        <w:keepLines/>
        <w:tabs>
          <w:tab w:val="right" w:leader="dot" w:pos="9360"/>
        </w:tabs>
        <w:spacing w:before="144" w:after="0" w:line="276" w:lineRule="exact"/>
        <w:ind w:left="576" w:right="1120" w:hanging="576"/>
      </w:pPr>
      <w:r>
        <w:t xml:space="preserve">Lee</w:t>
      </w:r>
      <w:r>
        <w:t xml:space="preserve"> </w:t>
      </w:r>
      <w:r>
        <w:t xml:space="preserve">Hargrave,</w:t>
      </w:r>
      <w:r>
        <w:t xml:space="preserve"> </w:t>
      </w:r>
      <w:r>
        <w:t xml:space="preserve">The</w:t>
      </w:r>
      <w:r>
        <w:t xml:space="preserve"> </w:t>
      </w:r>
      <w:r>
        <w:t xml:space="preserve">Louisiana</w:t>
      </w:r>
      <w:r>
        <w:t xml:space="preserve"> </w:t>
      </w:r>
      <w:r>
        <w:t xml:space="preserve">Constitution,</w:t>
      </w:r>
      <w:r>
        <w:t xml:space="preserve"> </w:t>
      </w:r>
      <w:r>
        <w:t xml:space="preserve">A</w:t>
      </w:r>
      <w:r>
        <w:t xml:space="preserve"> </w:t>
      </w:r>
      <w:r>
        <w:t xml:space="preserve">Reference</w:t>
      </w:r>
      <w:r>
        <w:t xml:space="preserve"> </w:t>
      </w:r>
      <w:r>
        <w:t xml:space="preserve">Guide</w:t>
      </w:r>
      <w:r>
        <w:t xml:space="preserve"> </w:t>
      </w:r>
      <w:r>
        <w:t xml:space="preserve">(1991)</w:t>
      </w:r>
      <w:r>
        <w:t xml:space="preserve">   </w:t>
      </w:r>
      <w:r>
        <w:tab/>
      </w:r>
      <w:r>
        <w:t xml:space="preserve">28</w:t>
      </w:r>
    </w:p>
    <w:p>
      <w:pPr>
        <w:keepLines/>
        <w:tabs>
          <w:tab w:val="right" w:leader="dot" w:pos="9360"/>
        </w:tabs>
        <w:spacing w:before="144" w:after="0" w:line="276" w:lineRule="exact"/>
        <w:ind w:left="576" w:right="1120" w:hanging="576"/>
      </w:pPr>
      <w:r>
        <w:t xml:space="preserve">T.</w:t>
      </w:r>
      <w:r>
        <w:t xml:space="preserve"> </w:t>
      </w:r>
      <w:r>
        <w:t xml:space="preserve">Aiello,</w:t>
      </w:r>
      <w:r>
        <w:t xml:space="preserve"> </w:t>
      </w:r>
      <w:r>
        <w:t xml:space="preserve">Jim</w:t>
      </w:r>
      <w:r>
        <w:t xml:space="preserve"> </w:t>
      </w:r>
      <w:r>
        <w:t xml:space="preserve">Crow’s</w:t>
      </w:r>
      <w:r>
        <w:t xml:space="preserve"> </w:t>
      </w:r>
      <w:r>
        <w:t xml:space="preserve">Last</w:t>
      </w:r>
      <w:r>
        <w:t xml:space="preserve"> </w:t>
      </w:r>
      <w:r>
        <w:t xml:space="preserve">Stand:</w:t>
      </w:r>
      <w:r>
        <w:t xml:space="preserve"> </w:t>
      </w:r>
      <w:r>
        <w:t xml:space="preserve">Nonunanimous</w:t>
      </w:r>
      <w:r>
        <w:t xml:space="preserve"> </w:t>
      </w:r>
      <w:r>
        <w:t xml:space="preserve">Criminal</w:t>
      </w:r>
      <w:r>
        <w:t xml:space="preserve"> </w:t>
      </w:r>
      <w:r>
        <w:t xml:space="preserve">Jury</w:t>
      </w:r>
      <w:r>
        <w:t xml:space="preserve"> </w:t>
      </w:r>
      <w:r>
        <w:t xml:space="preserve">Verdicts</w:t>
      </w:r>
      <w:r>
        <w:t xml:space="preserve"> </w:t>
      </w:r>
      <w:r>
        <w:t xml:space="preserve">in</w:t>
      </w:r>
      <w:r>
        <w:t xml:space="preserve"> </w:t>
      </w:r>
      <w:r>
        <w:t xml:space="preserve">Louisiana</w:t>
      </w:r>
      <w:r>
        <w:t xml:space="preserve"> </w:t>
      </w:r>
      <w:r>
        <w:t xml:space="preserve">(2015)</w:t>
      </w:r>
      <w:r>
        <w:t xml:space="preserve">   </w:t>
      </w:r>
      <w:r>
        <w:tab/>
      </w:r>
      <w:r>
        <w:t xml:space="preserve">14</w:t>
      </w:r>
    </w:p>
    <w:p>
      <w:pPr>
        <w:keepLines/>
        <w:tabs>
          <w:tab w:val="right" w:leader="dot" w:pos="9360"/>
        </w:tabs>
        <w:spacing w:before="144" w:after="0" w:line="276" w:lineRule="exact"/>
        <w:ind w:left="576" w:right="1120" w:hanging="576"/>
      </w:pPr>
      <w:r>
        <w:t xml:space="preserve">TCR</w:t>
      </w:r>
      <w:r>
        <w:t xml:space="preserve"> </w:t>
      </w:r>
      <w:r>
        <w:t xml:space="preserve">Staff,</w:t>
      </w:r>
      <w:r>
        <w:t xml:space="preserve"> </w:t>
      </w:r>
      <w:r>
        <w:t xml:space="preserve">Louisiana</w:t>
      </w:r>
      <w:r>
        <w:t xml:space="preserve"> </w:t>
      </w:r>
      <w:r>
        <w:t xml:space="preserve">Leads</w:t>
      </w:r>
      <w:r>
        <w:t xml:space="preserve"> </w:t>
      </w:r>
      <w:r>
        <w:t xml:space="preserve">Nation</w:t>
      </w:r>
      <w:r>
        <w:t xml:space="preserve"> </w:t>
      </w:r>
      <w:r>
        <w:t xml:space="preserve">in</w:t>
      </w:r>
      <w:r>
        <w:t xml:space="preserve"> </w:t>
      </w:r>
      <w:r>
        <w:t xml:space="preserve">Life</w:t>
      </w:r>
      <w:r>
        <w:t xml:space="preserve"> </w:t>
      </w:r>
      <w:r>
        <w:t xml:space="preserve">Without</w:t>
      </w:r>
      <w:r>
        <w:t xml:space="preserve"> </w:t>
      </w:r>
      <w:r>
        <w:t xml:space="preserve">Parole</w:t>
      </w:r>
      <w:r>
        <w:t xml:space="preserve"> </w:t>
      </w:r>
      <w:r>
        <w:t xml:space="preserve">Terms,</w:t>
      </w:r>
      <w:r>
        <w:t xml:space="preserve"> </w:t>
      </w:r>
      <w:r>
        <w:t xml:space="preserve">THE</w:t>
      </w:r>
      <w:r>
        <w:t xml:space="preserve"> </w:t>
      </w:r>
      <w:r>
        <w:t xml:space="preserve">CRIME</w:t>
      </w:r>
      <w:r>
        <w:t xml:space="preserve"> </w:t>
      </w:r>
      <w:r>
        <w:t xml:space="preserve">REPORT</w:t>
      </w:r>
      <w:r>
        <w:t xml:space="preserve"> </w:t>
      </w:r>
      <w:r>
        <w:t xml:space="preserve">(Dec.</w:t>
      </w:r>
      <w:r>
        <w:t xml:space="preserve"> </w:t>
      </w:r>
      <w:r>
        <w:t xml:space="preserve">12,</w:t>
      </w:r>
      <w:r>
        <w:t xml:space="preserve"> </w:t>
      </w:r>
      <w:r>
        <w:t xml:space="preserve">2019)</w:t>
      </w:r>
      <w:r>
        <w:t xml:space="preserve">   </w:t>
      </w:r>
      <w:r>
        <w:tab/>
      </w:r>
      <w:r>
        <w:t xml:space="preserve">33</w:t>
      </w:r>
    </w:p>
    <w:p>
      <w:pPr>
        <w:keepLines/>
        <w:tabs>
          <w:tab w:val="right" w:leader="dot" w:pos="9360"/>
        </w:tabs>
        <w:spacing w:before="144" w:after="0" w:line="276" w:lineRule="exact"/>
        <w:ind w:left="576" w:right="1120" w:hanging="576"/>
      </w:pPr>
      <w:r>
        <w:t xml:space="preserve">Angela</w:t>
      </w:r>
      <w:r>
        <w:t xml:space="preserve"> </w:t>
      </w:r>
      <w:r>
        <w:t xml:space="preserve">A.</w:t>
      </w:r>
      <w:r>
        <w:t xml:space="preserve"> </w:t>
      </w:r>
      <w:r>
        <w:t xml:space="preserve">Allen-Bell,</w:t>
      </w:r>
      <w:r>
        <w:t xml:space="preserve"> </w:t>
      </w:r>
      <w:r>
        <w:t xml:space="preserve">How</w:t>
      </w:r>
      <w:r>
        <w:t xml:space="preserve"> </w:t>
      </w:r>
      <w:r>
        <w:t xml:space="preserve">the</w:t>
      </w:r>
      <w:r>
        <w:t xml:space="preserve"> </w:t>
      </w:r>
      <w:r>
        <w:t xml:space="preserve">Narrative</w:t>
      </w:r>
      <w:r>
        <w:t xml:space="preserve"> </w:t>
      </w:r>
      <w:r>
        <w:t xml:space="preserve">About</w:t>
      </w:r>
      <w:r>
        <w:t xml:space="preserve"> </w:t>
      </w:r>
      <w:r>
        <w:t xml:space="preserve">Louisiana’s</w:t>
      </w:r>
      <w:r>
        <w:t xml:space="preserve"> </w:t>
      </w:r>
      <w:r>
        <w:t xml:space="preserve">Non-Unanimous</w:t>
      </w:r>
      <w:r>
        <w:t xml:space="preserve"> </w:t>
      </w:r>
      <w:r>
        <w:t xml:space="preserve">Criminal</w:t>
      </w:r>
      <w:r>
        <w:t xml:space="preserve"> </w:t>
      </w:r>
      <w:r>
        <w:t xml:space="preserve">Jury</w:t>
      </w:r>
      <w:r>
        <w:t xml:space="preserve"> </w:t>
      </w:r>
      <w:r>
        <w:t xml:space="preserve">System</w:t>
      </w:r>
      <w:r>
        <w:t xml:space="preserve"> </w:t>
      </w:r>
      <w:r>
        <w:t xml:space="preserve">Became</w:t>
      </w:r>
      <w:r>
        <w:t xml:space="preserve"> </w:t>
      </w:r>
      <w:r>
        <w:t xml:space="preserve">a</w:t>
      </w:r>
      <w:r>
        <w:t xml:space="preserve"> </w:t>
      </w:r>
      <w:r>
        <w:t xml:space="preserve">Person</w:t>
      </w:r>
      <w:r>
        <w:t xml:space="preserve"> </w:t>
      </w:r>
      <w:r>
        <w:t xml:space="preserve">of</w:t>
      </w:r>
      <w:r>
        <w:t xml:space="preserve"> </w:t>
      </w:r>
      <w:r>
        <w:t xml:space="preserve">Interest</w:t>
      </w:r>
      <w:r>
        <w:t xml:space="preserve"> </w:t>
      </w:r>
      <w:r>
        <w:t xml:space="preserve">in</w:t>
      </w:r>
      <w:r>
        <w:t xml:space="preserve"> </w:t>
      </w:r>
      <w:r>
        <w:t xml:space="preserve">the</w:t>
      </w:r>
      <w:r>
        <w:t xml:space="preserve"> </w:t>
      </w:r>
      <w:r>
        <w:t xml:space="preserve">Case</w:t>
      </w:r>
      <w:r>
        <w:t xml:space="preserve"> </w:t>
      </w:r>
      <w:r>
        <w:t xml:space="preserve">Against</w:t>
      </w:r>
      <w:r>
        <w:t xml:space="preserve"> </w:t>
      </w:r>
      <w:r>
        <w:t xml:space="preserve">Justice</w:t>
      </w:r>
      <w:r>
        <w:t xml:space="preserve"> </w:t>
      </w:r>
      <w:r>
        <w:t xml:space="preserve">in</w:t>
      </w:r>
      <w:r>
        <w:t xml:space="preserve"> </w:t>
      </w:r>
      <w:r>
        <w:t xml:space="preserve">the</w:t>
      </w:r>
      <w:r>
        <w:t xml:space="preserve"> </w:t>
      </w:r>
      <w:r>
        <w:t xml:space="preserve">Deep</w:t>
      </w:r>
      <w:r>
        <w:t xml:space="preserve"> </w:t>
      </w:r>
      <w:r>
        <w:t xml:space="preserve">South,</w:t>
      </w:r>
      <w:r>
        <w:t xml:space="preserve"> </w:t>
      </w:r>
      <w:r>
        <w:t xml:space="preserve">67</w:t>
      </w:r>
      <w:r>
        <w:t xml:space="preserve"> </w:t>
      </w:r>
      <w:r>
        <w:t xml:space="preserve">MERCER</w:t>
      </w:r>
      <w:r>
        <w:t xml:space="preserve"> </w:t>
      </w:r>
      <w:r>
        <w:t xml:space="preserve">L.</w:t>
      </w:r>
      <w:r>
        <w:t xml:space="preserve"> </w:t>
      </w:r>
      <w:r>
        <w:t xml:space="preserve">REV.</w:t>
      </w:r>
      <w:r>
        <w:t xml:space="preserve"> </w:t>
      </w:r>
      <w:r>
        <w:t xml:space="preserve">585</w:t>
      </w:r>
      <w:r>
        <w:t xml:space="preserve"> </w:t>
      </w:r>
      <w:r>
        <w:t xml:space="preserve">(2016)</w:t>
      </w:r>
      <w:r>
        <w:t xml:space="preserve">   </w:t>
      </w:r>
      <w:r>
        <w:tab/>
      </w:r>
      <w:r>
        <w:t xml:space="preserve">2, 5</w:t>
      </w:r>
    </w:p>
    <w:p>
      <w:pPr>
        <w:keepLines/>
        <w:tabs>
          <w:tab w:val="right" w:leader="dot" w:pos="9360"/>
        </w:tabs>
        <w:spacing w:before="144" w:after="0" w:line="276" w:lineRule="exact"/>
        <w:ind w:left="576" w:right="1120" w:hanging="576"/>
      </w:pPr>
      <w:r>
        <w:t xml:space="preserve">Bill</w:t>
      </w:r>
      <w:r>
        <w:t xml:space="preserve"> </w:t>
      </w:r>
      <w:r>
        <w:t xml:space="preserve">Quigley,</w:t>
      </w:r>
      <w:r>
        <w:t xml:space="preserve"> </w:t>
      </w:r>
      <w:r>
        <w:t xml:space="preserve">The</w:t>
      </w:r>
      <w:r>
        <w:t xml:space="preserve"> </w:t>
      </w:r>
      <w:r>
        <w:t xml:space="preserve">Continuing</w:t>
      </w:r>
      <w:r>
        <w:t xml:space="preserve"> </w:t>
      </w:r>
      <w:r>
        <w:t xml:space="preserve">Significance</w:t>
      </w:r>
      <w:r>
        <w:t xml:space="preserve"> </w:t>
      </w:r>
      <w:r>
        <w:t xml:space="preserve">of</w:t>
      </w:r>
      <w:r>
        <w:t xml:space="preserve"> </w:t>
      </w:r>
      <w:r>
        <w:t xml:space="preserve">Race:</w:t>
      </w:r>
      <w:r>
        <w:t xml:space="preserve"> </w:t>
      </w:r>
      <w:r>
        <w:t xml:space="preserve">Official</w:t>
      </w:r>
      <w:r>
        <w:t xml:space="preserve"> </w:t>
      </w:r>
      <w:r>
        <w:t xml:space="preserve">Legislative</w:t>
      </w:r>
      <w:r>
        <w:t xml:space="preserve"> </w:t>
      </w:r>
      <w:r>
        <w:t xml:space="preserve">Racial</w:t>
      </w:r>
      <w:r>
        <w:t xml:space="preserve"> </w:t>
      </w:r>
      <w:r>
        <w:t xml:space="preserve">Discrimination</w:t>
      </w:r>
      <w:r>
        <w:t xml:space="preserve"> </w:t>
      </w:r>
      <w:r>
        <w:t xml:space="preserve">in</w:t>
      </w:r>
      <w:r>
        <w:t xml:space="preserve"> </w:t>
      </w:r>
      <w:r>
        <w:t xml:space="preserve">Louisiana</w:t>
      </w:r>
      <w:r>
        <w:t xml:space="preserve"> </w:t>
      </w:r>
      <w:r>
        <w:t xml:space="preserve">1861</w:t>
      </w:r>
      <w:r>
        <w:t xml:space="preserve"> </w:t>
      </w:r>
      <w:r>
        <w:t xml:space="preserve">to</w:t>
      </w:r>
      <w:r>
        <w:t xml:space="preserve"> </w:t>
      </w:r>
      <w:r>
        <w:t xml:space="preserve">1974,</w:t>
      </w:r>
      <w:r>
        <w:t xml:space="preserve"> </w:t>
      </w:r>
      <w:r>
        <w:t xml:space="preserve">47</w:t>
      </w:r>
      <w:r>
        <w:t xml:space="preserve"> </w:t>
      </w:r>
      <w:r>
        <w:t xml:space="preserve">S.U.L.</w:t>
      </w:r>
      <w:r>
        <w:t xml:space="preserve"> </w:t>
      </w:r>
      <w:r>
        <w:t xml:space="preserve">REV.</w:t>
      </w:r>
      <w:r>
        <w:t xml:space="preserve"> </w:t>
      </w:r>
      <w:r>
        <w:t xml:space="preserve">1</w:t>
      </w:r>
      <w:r>
        <w:t xml:space="preserve"> </w:t>
      </w:r>
      <w:r>
        <w:t xml:space="preserve">(2019)</w:t>
      </w:r>
      <w:r>
        <w:t xml:space="preserve">   </w:t>
      </w:r>
      <w:r>
        <w:tab/>
      </w:r>
      <w:r>
        <w:t xml:space="preserve">2, 3</w:t>
      </w:r>
    </w:p>
    <w:p>
      <w:pPr>
        <w:keepLines/>
        <w:tabs>
          <w:tab w:val="right" w:leader="dot" w:pos="9360"/>
        </w:tabs>
        <w:spacing w:before="144" w:after="0" w:line="276" w:lineRule="exact"/>
        <w:ind w:left="576" w:right="1120" w:hanging="576"/>
      </w:pPr>
      <w:r>
        <w:t xml:space="preserve">Dan</w:t>
      </w:r>
      <w:r>
        <w:t xml:space="preserve"> </w:t>
      </w:r>
      <w:r>
        <w:t xml:space="preserve">Swenson,</w:t>
      </w:r>
      <w:r>
        <w:t xml:space="preserve"> </w:t>
      </w:r>
      <w:r>
        <w:t xml:space="preserve">Understanding</w:t>
      </w:r>
      <w:r>
        <w:t xml:space="preserve"> </w:t>
      </w:r>
      <w:r>
        <w:t xml:space="preserve">Louisiana’s</w:t>
      </w:r>
      <w:r>
        <w:t xml:space="preserve"> </w:t>
      </w:r>
      <w:r>
        <w:t xml:space="preserve">nonunanimous</w:t>
      </w:r>
      <w:r>
        <w:t xml:space="preserve"> </w:t>
      </w:r>
      <w:r>
        <w:t xml:space="preserve">jury</w:t>
      </w:r>
      <w:r>
        <w:t xml:space="preserve"> </w:t>
      </w:r>
      <w:r>
        <w:t xml:space="preserve">law</w:t>
      </w:r>
      <w:r>
        <w:t xml:space="preserve"> </w:t>
      </w:r>
      <w:r>
        <w:t xml:space="preserve">findings,</w:t>
      </w:r>
      <w:r>
        <w:t xml:space="preserve"> </w:t>
      </w:r>
      <w:r>
        <w:t xml:space="preserve">THE</w:t>
      </w:r>
      <w:r>
        <w:t xml:space="preserve"> </w:t>
      </w:r>
      <w:r>
        <w:t xml:space="preserve">ADVOCATE</w:t>
      </w:r>
      <w:r>
        <w:t xml:space="preserve"> </w:t>
      </w:r>
      <w:r>
        <w:t xml:space="preserve">(Apr.</w:t>
      </w:r>
      <w:r>
        <w:t xml:space="preserve"> </w:t>
      </w:r>
      <w:r>
        <w:t xml:space="preserve">1,</w:t>
      </w:r>
      <w:r>
        <w:t xml:space="preserve"> </w:t>
      </w:r>
      <w:r>
        <w:t xml:space="preserve">2018)</w:t>
      </w:r>
      <w:r>
        <w:t xml:space="preserve">   </w:t>
      </w:r>
      <w:r>
        <w:tab/>
      </w:r>
      <w:r>
        <w:t xml:space="preserve">6, 18</w:t>
      </w:r>
    </w:p>
    <w:p>
      <w:pPr>
        <w:keepLines/>
        <w:tabs>
          <w:tab w:val="right" w:leader="dot" w:pos="9360"/>
        </w:tabs>
        <w:spacing w:before="144" w:after="0" w:line="276" w:lineRule="exact"/>
        <w:ind w:left="576" w:right="1120" w:hanging="576"/>
      </w:pPr>
      <w:r>
        <w:t xml:space="preserve">Edwards</w:t>
      </w:r>
      <w:r>
        <w:t xml:space="preserve"> </w:t>
      </w:r>
      <w:r>
        <w:t xml:space="preserve">v.</w:t>
      </w:r>
      <w:r>
        <w:t xml:space="preserve"> </w:t>
      </w:r>
      <w:r>
        <w:t xml:space="preserve">Vannoy</w:t>
      </w:r>
      <w:r>
        <w:t xml:space="preserve"> </w:t>
      </w:r>
      <w:r>
        <w:t xml:space="preserve">No.</w:t>
      </w:r>
      <w:r>
        <w:t xml:space="preserve"> </w:t>
      </w:r>
      <w:r>
        <w:t xml:space="preserve">19–5807</w:t>
      </w:r>
      <w:r>
        <w:t xml:space="preserve"> </w:t>
      </w:r>
      <w:r>
        <w:t xml:space="preserve">Oral</w:t>
      </w:r>
      <w:r>
        <w:t xml:space="preserve"> </w:t>
      </w:r>
      <w:r>
        <w:t xml:space="preserve">Argument</w:t>
      </w:r>
      <w:r>
        <w:t xml:space="preserve"> </w:t>
      </w:r>
      <w:r>
        <w:t xml:space="preserve">Transcript,</w:t>
      </w:r>
      <w:r>
        <w:t xml:space="preserve"> </w:t>
      </w:r>
      <w:r>
        <w:t xml:space="preserve">Dec.</w:t>
      </w:r>
      <w:r>
        <w:t xml:space="preserve"> </w:t>
      </w:r>
      <w:r>
        <w:t xml:space="preserve">2,</w:t>
      </w:r>
      <w:r>
        <w:t xml:space="preserve"> </w:t>
      </w:r>
      <w:r>
        <w:t xml:space="preserve">2020</w:t>
      </w:r>
      <w:r>
        <w:t xml:space="preserve">   </w:t>
      </w:r>
      <w:r>
        <w:tab/>
      </w:r>
      <w:r>
        <w:t xml:space="preserve">29</w:t>
      </w:r>
    </w:p>
    <w:p>
      <w:pPr>
        <w:keepLines/>
        <w:tabs>
          <w:tab w:val="right" w:leader="dot" w:pos="9360"/>
        </w:tabs>
        <w:spacing w:before="144" w:after="0" w:line="276" w:lineRule="exact"/>
        <w:ind w:left="576" w:right="1120" w:hanging="576"/>
      </w:pPr>
      <w:r>
        <w:t xml:space="preserve">Jamila</w:t>
      </w:r>
      <w:r>
        <w:t xml:space="preserve"> </w:t>
      </w:r>
      <w:r>
        <w:t xml:space="preserve">Johnson</w:t>
      </w:r>
      <w:r>
        <w:t xml:space="preserve"> </w:t>
      </w:r>
      <w:r>
        <w:t xml:space="preserve">&amp;</w:t>
      </w:r>
      <w:r>
        <w:t xml:space="preserve"> </w:t>
      </w:r>
      <w:r>
        <w:t xml:space="preserve">Talia</w:t>
      </w:r>
      <w:r>
        <w:t xml:space="preserve"> </w:t>
      </w:r>
      <w:r>
        <w:t xml:space="preserve">MacMath,</w:t>
      </w:r>
      <w:r>
        <w:t xml:space="preserve"> </w:t>
      </w:r>
      <w:r>
        <w:t xml:space="preserve">State</w:t>
      </w:r>
      <w:r>
        <w:t xml:space="preserve"> </w:t>
      </w:r>
      <w:r>
        <w:t xml:space="preserve">Courts</w:t>
      </w:r>
      <w:r>
        <w:t xml:space="preserve"> </w:t>
      </w:r>
      <w:r>
        <w:t xml:space="preserve">Must</w:t>
      </w:r>
      <w:r>
        <w:t xml:space="preserve"> </w:t>
      </w:r>
      <w:r>
        <w:t xml:space="preserve">Combat</w:t>
      </w:r>
      <w:r>
        <w:t xml:space="preserve"> </w:t>
      </w:r>
      <w:r>
        <w:t xml:space="preserve">Mass</w:t>
      </w:r>
      <w:r>
        <w:t xml:space="preserve"> </w:t>
      </w:r>
      <w:r>
        <w:t xml:space="preserve">Incarceration</w:t>
      </w:r>
      <w:r>
        <w:t xml:space="preserve"> </w:t>
      </w:r>
      <w:r>
        <w:t xml:space="preserve">by</w:t>
      </w:r>
      <w:r>
        <w:t xml:space="preserve"> </w:t>
      </w:r>
      <w:r>
        <w:t xml:space="preserve">Granting</w:t>
      </w:r>
      <w:r>
        <w:t xml:space="preserve"> </w:t>
      </w:r>
      <w:r>
        <w:t xml:space="preserve">Broader</w:t>
      </w:r>
      <w:r>
        <w:t xml:space="preserve"> </w:t>
      </w:r>
      <w:r>
        <w:t xml:space="preserve">Retroactivity</w:t>
      </w:r>
      <w:r>
        <w:t xml:space="preserve"> </w:t>
      </w:r>
      <w:r>
        <w:t xml:space="preserve">to</w:t>
      </w:r>
      <w:r>
        <w:t xml:space="preserve"> </w:t>
      </w:r>
      <w:r>
        <w:t xml:space="preserve">New</w:t>
      </w:r>
      <w:r>
        <w:t xml:space="preserve"> </w:t>
      </w:r>
      <w:r>
        <w:t xml:space="preserve">Rules</w:t>
      </w:r>
      <w:r>
        <w:t xml:space="preserve"> </w:t>
      </w:r>
      <w:r>
        <w:t xml:space="preserve">Than</w:t>
      </w:r>
      <w:r>
        <w:t xml:space="preserve"> </w:t>
      </w:r>
      <w:r>
        <w:t xml:space="preserve">is</w:t>
      </w:r>
      <w:r>
        <w:t xml:space="preserve"> </w:t>
      </w:r>
      <w:r>
        <w:t xml:space="preserve">Provided</w:t>
      </w:r>
      <w:r>
        <w:t xml:space="preserve"> </w:t>
      </w:r>
      <w:r>
        <w:t xml:space="preserve">Under</w:t>
      </w:r>
      <w:r>
        <w:t xml:space="preserve"> </w:t>
      </w:r>
      <w:r>
        <w:t xml:space="preserve">the</w:t>
      </w:r>
      <w:r>
        <w:t xml:space="preserve"> </w:t>
      </w:r>
      <w:r>
        <w:t xml:space="preserve">Federal</w:t>
      </w:r>
      <w:r>
        <w:t xml:space="preserve"> </w:t>
      </w:r>
      <w:r>
        <w:t xml:space="preserve">Teague</w:t>
      </w:r>
      <w:r>
        <w:t xml:space="preserve"> </w:t>
      </w:r>
      <w:r>
        <w:t xml:space="preserve">v.</w:t>
      </w:r>
      <w:r>
        <w:t xml:space="preserve"> </w:t>
      </w:r>
      <w:r>
        <w:t xml:space="preserve">Lane</w:t>
      </w:r>
      <w:r>
        <w:t xml:space="preserve"> </w:t>
      </w:r>
      <w:r>
        <w:t xml:space="preserve">Test,</w:t>
      </w:r>
      <w:r>
        <w:t xml:space="preserve"> </w:t>
      </w:r>
      <w:r>
        <w:t xml:space="preserve">111</w:t>
      </w:r>
      <w:r>
        <w:t xml:space="preserve"> </w:t>
      </w:r>
      <w:r>
        <w:t xml:space="preserve">J.</w:t>
      </w:r>
      <w:r>
        <w:t xml:space="preserve"> </w:t>
      </w:r>
      <w:r>
        <w:t xml:space="preserve">CRIM.</w:t>
      </w:r>
      <w:r>
        <w:t xml:space="preserve"> </w:t>
      </w:r>
      <w:r>
        <w:t xml:space="preserve">L.</w:t>
      </w:r>
      <w:r>
        <w:t xml:space="preserve"> </w:t>
      </w:r>
      <w:r>
        <w:t xml:space="preserve">&amp;</w:t>
      </w:r>
      <w:r>
        <w:t xml:space="preserve"> </w:t>
      </w:r>
      <w:r>
        <w:t xml:space="preserve">CRIMINOLOGY</w:t>
      </w:r>
      <w:r>
        <w:t xml:space="preserve"> </w:t>
      </w:r>
      <w:r>
        <w:t xml:space="preserve">ONLINE</w:t>
      </w:r>
      <w:r>
        <w:t xml:space="preserve"> </w:t>
      </w:r>
      <w:r>
        <w:t xml:space="preserve">33</w:t>
      </w:r>
      <w:r>
        <w:t xml:space="preserve"> </w:t>
      </w:r>
      <w:r>
        <w:t xml:space="preserve">(2021)</w:t>
      </w:r>
      <w:r>
        <w:t xml:space="preserve">   </w:t>
      </w:r>
      <w:r>
        <w:tab/>
      </w:r>
      <w:r>
        <w:t xml:space="preserve">33</w:t>
      </w:r>
    </w:p>
    <w:p>
      <w:pPr>
        <w:keepLines/>
        <w:tabs>
          <w:tab w:val="right" w:leader="dot" w:pos="9360"/>
        </w:tabs>
        <w:spacing w:before="144" w:after="0" w:line="276" w:lineRule="exact"/>
        <w:ind w:left="576" w:right="1120" w:hanging="576"/>
      </w:pPr>
      <w:r>
        <w:t xml:space="preserve">Jill</w:t>
      </w:r>
      <w:r>
        <w:t xml:space="preserve"> </w:t>
      </w:r>
      <w:r>
        <w:t xml:space="preserve">E.</w:t>
      </w:r>
      <w:r>
        <w:t xml:space="preserve"> </w:t>
      </w:r>
      <w:r>
        <w:t xml:space="preserve">Fisch,</w:t>
      </w:r>
      <w:r>
        <w:t xml:space="preserve"> </w:t>
      </w:r>
      <w:r>
        <w:t xml:space="preserve">Retroactivity</w:t>
      </w:r>
      <w:r>
        <w:t xml:space="preserve"> </w:t>
      </w:r>
      <w:r>
        <w:t xml:space="preserve">and</w:t>
      </w:r>
      <w:r>
        <w:t xml:space="preserve"> </w:t>
      </w:r>
      <w:r>
        <w:t xml:space="preserve">Legal</w:t>
      </w:r>
      <w:r>
        <w:t xml:space="preserve"> </w:t>
      </w:r>
      <w:r>
        <w:t xml:space="preserve">Change:</w:t>
      </w:r>
      <w:r>
        <w:t xml:space="preserve"> </w:t>
      </w:r>
      <w:r>
        <w:t xml:space="preserve">An</w:t>
      </w:r>
      <w:r>
        <w:t xml:space="preserve"> </w:t>
      </w:r>
      <w:r>
        <w:t xml:space="preserve">Equilibrium</w:t>
      </w:r>
      <w:r>
        <w:t xml:space="preserve"> </w:t>
      </w:r>
      <w:r>
        <w:t xml:space="preserve">Approach,</w:t>
      </w:r>
      <w:r>
        <w:t xml:space="preserve"> </w:t>
      </w:r>
      <w:r>
        <w:t xml:space="preserve">110</w:t>
      </w:r>
      <w:r>
        <w:t xml:space="preserve"> </w:t>
      </w:r>
      <w:r>
        <w:t xml:space="preserve">HARV.</w:t>
      </w:r>
      <w:r>
        <w:t xml:space="preserve"> </w:t>
      </w:r>
      <w:r>
        <w:t xml:space="preserve">L.</w:t>
      </w:r>
      <w:r>
        <w:t xml:space="preserve"> </w:t>
      </w:r>
      <w:r>
        <w:t xml:space="preserve">REV.</w:t>
      </w:r>
      <w:r>
        <w:t xml:space="preserve"> </w:t>
      </w:r>
      <w:r>
        <w:t xml:space="preserve">1055</w:t>
      </w:r>
      <w:r>
        <w:t xml:space="preserve"> </w:t>
      </w:r>
      <w:r>
        <w:t xml:space="preserve">(1997)</w:t>
      </w:r>
      <w:r>
        <w:t xml:space="preserve">   </w:t>
      </w:r>
      <w:r>
        <w:tab/>
      </w:r>
      <w:r>
        <w:t xml:space="preserve">20</w:t>
      </w:r>
    </w:p>
    <w:p>
      <w:pPr>
        <w:keepLines/>
        <w:tabs>
          <w:tab w:val="right" w:leader="dot" w:pos="9360"/>
        </w:tabs>
        <w:spacing w:before="144" w:after="0" w:line="276" w:lineRule="exact"/>
        <w:ind w:left="576" w:right="1120" w:hanging="576"/>
      </w:pPr>
      <w:r>
        <w:t xml:space="preserve">Louis</w:t>
      </w:r>
      <w:r>
        <w:t xml:space="preserve"> </w:t>
      </w:r>
      <w:r>
        <w:t xml:space="preserve">“Woody”</w:t>
      </w:r>
      <w:r>
        <w:t xml:space="preserve"> </w:t>
      </w:r>
      <w:r>
        <w:t xml:space="preserve">Jenkins,</w:t>
      </w:r>
      <w:r>
        <w:t xml:space="preserve"> </w:t>
      </w:r>
      <w:r>
        <w:t xml:space="preserve">The</w:t>
      </w:r>
      <w:r>
        <w:t xml:space="preserve"> </w:t>
      </w:r>
      <w:r>
        <w:t xml:space="preserve">Declaration</w:t>
      </w:r>
      <w:r>
        <w:t xml:space="preserve"> </w:t>
      </w:r>
      <w:r>
        <w:t xml:space="preserve">of</w:t>
      </w:r>
      <w:r>
        <w:t xml:space="preserve"> </w:t>
      </w:r>
      <w:r>
        <w:t xml:space="preserve">Rights,</w:t>
      </w:r>
      <w:r>
        <w:t xml:space="preserve"> </w:t>
      </w:r>
      <w:r>
        <w:t xml:space="preserve">21</w:t>
      </w:r>
      <w:r>
        <w:t xml:space="preserve"> </w:t>
      </w:r>
      <w:r>
        <w:t xml:space="preserve">LOY.</w:t>
      </w:r>
      <w:r>
        <w:t xml:space="preserve"> </w:t>
      </w:r>
      <w:r>
        <w:t xml:space="preserve">L.</w:t>
      </w:r>
      <w:r>
        <w:t xml:space="preserve"> </w:t>
      </w:r>
      <w:r>
        <w:t xml:space="preserve">REV.</w:t>
      </w:r>
      <w:r>
        <w:t xml:space="preserve"> </w:t>
      </w:r>
      <w:r>
        <w:t xml:space="preserve">9</w:t>
      </w:r>
      <w:r>
        <w:t xml:space="preserve"> </w:t>
      </w:r>
      <w:r>
        <w:t xml:space="preserve">(1975)</w:t>
      </w:r>
      <w:r>
        <w:t xml:space="preserve">   </w:t>
      </w:r>
      <w:r>
        <w:tab/>
      </w:r>
      <w:r>
        <w:t xml:space="preserve">27</w:t>
      </w:r>
    </w:p>
    <w:p>
      <w:pPr>
        <w:keepLines/>
        <w:tabs>
          <w:tab w:val="right" w:leader="dot" w:pos="9360"/>
        </w:tabs>
        <w:spacing w:before="144" w:after="0" w:line="276" w:lineRule="exact"/>
        <w:ind w:left="576" w:right="1120" w:hanging="576"/>
      </w:pPr>
      <w:r>
        <w:t xml:space="preserve">Matt</w:t>
      </w:r>
      <w:r>
        <w:t xml:space="preserve"> </w:t>
      </w:r>
      <w:r>
        <w:t xml:space="preserve">Sledge,</w:t>
      </w:r>
      <w:r>
        <w:t xml:space="preserve"> </w:t>
      </w:r>
      <w:r>
        <w:t xml:space="preserve">New</w:t>
      </w:r>
      <w:r>
        <w:t xml:space="preserve"> </w:t>
      </w:r>
      <w:r>
        <w:t xml:space="preserve">Orleans</w:t>
      </w:r>
      <w:r>
        <w:t xml:space="preserve"> </w:t>
      </w:r>
      <w:r>
        <w:t xml:space="preserve">man</w:t>
      </w:r>
      <w:r>
        <w:t xml:space="preserve"> </w:t>
      </w:r>
      <w:r>
        <w:t xml:space="preserve">freed</w:t>
      </w:r>
      <w:r>
        <w:t xml:space="preserve"> </w:t>
      </w:r>
      <w:r>
        <w:t xml:space="preserve">after</w:t>
      </w:r>
      <w:r>
        <w:t xml:space="preserve"> </w:t>
      </w:r>
      <w:r>
        <w:t xml:space="preserve">accuser</w:t>
      </w:r>
      <w:r>
        <w:t xml:space="preserve"> </w:t>
      </w:r>
      <w:r>
        <w:t xml:space="preserve">says</w:t>
      </w:r>
      <w:r>
        <w:t xml:space="preserve"> </w:t>
      </w:r>
      <w:r>
        <w:t xml:space="preserve">he</w:t>
      </w:r>
      <w:r>
        <w:t xml:space="preserve"> </w:t>
      </w:r>
      <w:r>
        <w:t xml:space="preserve">fabricated</w:t>
      </w:r>
      <w:r>
        <w:t xml:space="preserve"> </w:t>
      </w:r>
      <w:r>
        <w:t xml:space="preserve">robbery:</w:t>
      </w:r>
      <w:r>
        <w:t xml:space="preserve"> </w:t>
      </w:r>
      <w:r>
        <w:t xml:space="preserve">‘I</w:t>
      </w:r>
      <w:r>
        <w:t xml:space="preserve"> </w:t>
      </w:r>
      <w:r>
        <w:t xml:space="preserve">have</w:t>
      </w:r>
      <w:r>
        <w:t xml:space="preserve"> </w:t>
      </w:r>
      <w:r>
        <w:t xml:space="preserve">been</w:t>
      </w:r>
      <w:r>
        <w:t xml:space="preserve"> </w:t>
      </w:r>
      <w:r>
        <w:t xml:space="preserve">tortured</w:t>
      </w:r>
      <w:r>
        <w:t xml:space="preserve"> </w:t>
      </w:r>
      <w:r>
        <w:t xml:space="preserve">by</w:t>
      </w:r>
      <w:r>
        <w:t xml:space="preserve"> </w:t>
      </w:r>
      <w:r>
        <w:t xml:space="preserve">the</w:t>
      </w:r>
      <w:r>
        <w:t xml:space="preserve"> </w:t>
      </w:r>
      <w:r>
        <w:t xml:space="preserve">lie</w:t>
      </w:r>
      <w:r>
        <w:t xml:space="preserve"> </w:t>
      </w:r>
      <w:r>
        <w:t xml:space="preserve">I</w:t>
      </w:r>
      <w:r>
        <w:t xml:space="preserve"> </w:t>
      </w:r>
      <w:r>
        <w:t xml:space="preserve">told’,</w:t>
      </w:r>
      <w:r>
        <w:t xml:space="preserve"> </w:t>
      </w:r>
      <w:r>
        <w:t xml:space="preserve">THE</w:t>
      </w:r>
      <w:r>
        <w:t xml:space="preserve"> </w:t>
      </w:r>
      <w:r>
        <w:t xml:space="preserve">ADVOCATE</w:t>
      </w:r>
      <w:r>
        <w:t xml:space="preserve"> </w:t>
      </w:r>
      <w:r>
        <w:t xml:space="preserve">(Mar.</w:t>
      </w:r>
      <w:r>
        <w:t xml:space="preserve"> </w:t>
      </w:r>
      <w:r>
        <w:t xml:space="preserve">30,</w:t>
      </w:r>
      <w:r>
        <w:t xml:space="preserve"> </w:t>
      </w:r>
      <w:r>
        <w:t xml:space="preserve">2021)</w:t>
      </w:r>
      <w:r>
        <w:t xml:space="preserve">   </w:t>
      </w:r>
      <w:r>
        <w:tab/>
      </w:r>
      <w:r>
        <w:t xml:space="preserve">17</w:t>
      </w:r>
    </w:p>
    <w:p>
      <w:pPr>
        <w:keepLines/>
        <w:tabs>
          <w:tab w:val="right" w:leader="dot" w:pos="9360"/>
        </w:tabs>
        <w:spacing w:before="144" w:after="0" w:line="276" w:lineRule="exact"/>
        <w:ind w:left="576" w:right="1120" w:hanging="576"/>
      </w:pPr>
      <w:r>
        <w:t xml:space="preserve">Robert</w:t>
      </w:r>
      <w:r>
        <w:t xml:space="preserve"> </w:t>
      </w:r>
      <w:r>
        <w:t xml:space="preserve">J.</w:t>
      </w:r>
      <w:r>
        <w:t xml:space="preserve"> </w:t>
      </w:r>
      <w:r>
        <w:t xml:space="preserve">Smith</w:t>
      </w:r>
      <w:r>
        <w:t xml:space="preserve"> </w:t>
      </w:r>
      <w:r>
        <w:t xml:space="preserve">&amp;</w:t>
      </w:r>
      <w:r>
        <w:t xml:space="preserve"> </w:t>
      </w:r>
      <w:r>
        <w:t xml:space="preserve">Bidish</w:t>
      </w:r>
      <w:r>
        <w:t xml:space="preserve"> </w:t>
      </w:r>
      <w:r>
        <w:t xml:space="preserve">J.</w:t>
      </w:r>
      <w:r>
        <w:t xml:space="preserve"> </w:t>
      </w:r>
      <w:r>
        <w:t xml:space="preserve">Sarma,</w:t>
      </w:r>
      <w:r>
        <w:t xml:space="preserve"> </w:t>
      </w:r>
      <w:r>
        <w:t xml:space="preserve">How</w:t>
      </w:r>
      <w:r>
        <w:t xml:space="preserve"> </w:t>
      </w:r>
      <w:r>
        <w:t xml:space="preserve">and</w:t>
      </w:r>
      <w:r>
        <w:t xml:space="preserve"> </w:t>
      </w:r>
      <w:r>
        <w:t xml:space="preserve">Why</w:t>
      </w:r>
      <w:r>
        <w:t xml:space="preserve"> </w:t>
      </w:r>
      <w:r>
        <w:t xml:space="preserve">Race</w:t>
      </w:r>
      <w:r>
        <w:t xml:space="preserve"> </w:t>
      </w:r>
      <w:r>
        <w:t xml:space="preserve">Continues</w:t>
      </w:r>
      <w:r>
        <w:t xml:space="preserve"> </w:t>
      </w:r>
      <w:r>
        <w:t xml:space="preserve">to</w:t>
      </w:r>
      <w:r>
        <w:t xml:space="preserve"> </w:t>
      </w:r>
      <w:r>
        <w:t xml:space="preserve">Influence</w:t>
      </w:r>
      <w:r>
        <w:t xml:space="preserve"> </w:t>
      </w:r>
      <w:r>
        <w:t xml:space="preserve">the</w:t>
      </w:r>
      <w:r>
        <w:t xml:space="preserve"> </w:t>
      </w:r>
      <w:r>
        <w:t xml:space="preserve">Administration</w:t>
      </w:r>
      <w:r>
        <w:t xml:space="preserve"> </w:t>
      </w:r>
      <w:r>
        <w:t xml:space="preserve">of</w:t>
      </w:r>
      <w:r>
        <w:t xml:space="preserve"> </w:t>
      </w:r>
      <w:r>
        <w:t xml:space="preserve">Criminal</w:t>
      </w:r>
      <w:r>
        <w:t xml:space="preserve"> </w:t>
      </w:r>
      <w:r>
        <w:t xml:space="preserve">Justice</w:t>
      </w:r>
      <w:r>
        <w:t xml:space="preserve"> </w:t>
      </w:r>
      <w:r>
        <w:t xml:space="preserve">in</w:t>
      </w:r>
      <w:r>
        <w:t xml:space="preserve"> </w:t>
      </w:r>
      <w:r>
        <w:t xml:space="preserve">Louisiana,</w:t>
      </w:r>
      <w:r>
        <w:t xml:space="preserve"> </w:t>
      </w:r>
      <w:r>
        <w:t xml:space="preserve">72</w:t>
      </w:r>
      <w:r>
        <w:t xml:space="preserve"> </w:t>
      </w:r>
      <w:r>
        <w:t xml:space="preserve">LA.</w:t>
      </w:r>
      <w:r>
        <w:t xml:space="preserve"> </w:t>
      </w:r>
      <w:r>
        <w:t xml:space="preserve">L.</w:t>
      </w:r>
      <w:r>
        <w:t xml:space="preserve"> </w:t>
      </w:r>
      <w:r>
        <w:t xml:space="preserve">REV.</w:t>
      </w:r>
      <w:r>
        <w:t xml:space="preserve"> </w:t>
      </w:r>
      <w:r>
        <w:t xml:space="preserve">361</w:t>
      </w:r>
      <w:r>
        <w:t xml:space="preserve"> </w:t>
      </w:r>
      <w:r>
        <w:t xml:space="preserve">(2012)</w:t>
      </w:r>
      <w:r>
        <w:t xml:space="preserve">   </w:t>
      </w:r>
      <w:r>
        <w:tab/>
      </w:r>
      <w:r>
        <w:t xml:space="preserve">4, 5</w:t>
      </w:r>
    </w:p>
    <w:p>
      <w:pPr>
        <w:keepLines/>
        <w:tabs>
          <w:tab w:val="right" w:leader="dot" w:pos="9360"/>
        </w:tabs>
        <w:spacing w:before="144" w:after="0" w:line="276" w:lineRule="exact"/>
        <w:ind w:left="576" w:right="1120" w:hanging="576"/>
      </w:pPr>
      <w:r>
        <w:t xml:space="preserve">Thomas</w:t>
      </w:r>
      <w:r>
        <w:t xml:space="preserve"> </w:t>
      </w:r>
      <w:r>
        <w:t xml:space="preserve">Ward</w:t>
      </w:r>
      <w:r>
        <w:t xml:space="preserve"> </w:t>
      </w:r>
      <w:r>
        <w:t xml:space="preserve">Frampton,</w:t>
      </w:r>
      <w:r>
        <w:t xml:space="preserve"> </w:t>
      </w:r>
      <w:r>
        <w:t xml:space="preserve">The</w:t>
      </w:r>
      <w:r>
        <w:t xml:space="preserve"> </w:t>
      </w:r>
      <w:r>
        <w:t xml:space="preserve">Jim</w:t>
      </w:r>
      <w:r>
        <w:t xml:space="preserve"> </w:t>
      </w:r>
      <w:r>
        <w:t xml:space="preserve">Crow</w:t>
      </w:r>
      <w:r>
        <w:t xml:space="preserve"> </w:t>
      </w:r>
      <w:r>
        <w:t xml:space="preserve">Jury,</w:t>
      </w:r>
      <w:r>
        <w:t xml:space="preserve"> </w:t>
      </w:r>
      <w:r>
        <w:t xml:space="preserve">71</w:t>
      </w:r>
      <w:r>
        <w:t xml:space="preserve"> </w:t>
      </w:r>
      <w:r>
        <w:t xml:space="preserve">VAND.</w:t>
      </w:r>
      <w:r>
        <w:t xml:space="preserve"> </w:t>
      </w:r>
      <w:r>
        <w:t xml:space="preserve">L.</w:t>
      </w:r>
      <w:r>
        <w:t xml:space="preserve"> </w:t>
      </w:r>
      <w:r>
        <w:t xml:space="preserve">REV.</w:t>
      </w:r>
      <w:r>
        <w:t xml:space="preserve"> </w:t>
      </w:r>
      <w:r>
        <w:t xml:space="preserve">1593</w:t>
      </w:r>
      <w:r>
        <w:t xml:space="preserve"> </w:t>
      </w:r>
      <w:r>
        <w:t xml:space="preserve">(2018)</w:t>
      </w:r>
      <w:r>
        <w:t xml:space="preserve">   </w:t>
      </w:r>
      <w:r>
        <w:tab/>
      </w:r>
      <w:r>
        <w:t xml:space="preserve">3, 4, 5</w:t>
      </w:r>
    </w:p>
    <w:p>
      <w:pPr>
        <w:keepLines/>
        <w:tabs>
          <w:tab w:val="right" w:leader="dot" w:pos="9360"/>
        </w:tabs>
        <w:spacing w:before="144" w:after="0" w:line="276" w:lineRule="exact"/>
        <w:ind w:left="576" w:right="1120" w:hanging="576"/>
      </w:pPr>
      <w:r>
        <w:t xml:space="preserve">Trials:</w:t>
      </w:r>
      <w:r>
        <w:t xml:space="preserve"> </w:t>
      </w:r>
      <w:r>
        <w:t xml:space="preserve">And</w:t>
      </w:r>
      <w:r>
        <w:t xml:space="preserve"> </w:t>
      </w:r>
      <w:r>
        <w:t xml:space="preserve">the</w:t>
      </w:r>
      <w:r>
        <w:t xml:space="preserve"> </w:t>
      </w:r>
      <w:r>
        <w:t xml:space="preserve">Court</w:t>
      </w:r>
      <w:r>
        <w:t xml:space="preserve"> </w:t>
      </w:r>
      <w:r>
        <w:t xml:space="preserve">Said</w:t>
      </w:r>
      <w:r>
        <w:t xml:space="preserve"> </w:t>
      </w:r>
      <w:r>
        <w:t xml:space="preserve">unto</w:t>
      </w:r>
      <w:r>
        <w:t xml:space="preserve"> </w:t>
      </w:r>
      <w:r>
        <w:t xml:space="preserve">Gideon,</w:t>
      </w:r>
      <w:r>
        <w:t xml:space="preserve"> </w:t>
      </w:r>
      <w:r>
        <w:t xml:space="preserve">TIME</w:t>
      </w:r>
      <w:r>
        <w:t xml:space="preserve"> </w:t>
      </w:r>
      <w:r>
        <w:t xml:space="preserve">MAGAZINE,</w:t>
      </w:r>
      <w:r>
        <w:t xml:space="preserve"> </w:t>
      </w:r>
      <w:r>
        <w:t xml:space="preserve">Oct.</w:t>
      </w:r>
      <w:r>
        <w:t xml:space="preserve"> </w:t>
      </w:r>
      <w:r>
        <w:t xml:space="preserve">18,</w:t>
      </w:r>
      <w:r>
        <w:t xml:space="preserve"> </w:t>
      </w:r>
      <w:r>
        <w:t xml:space="preserve">1963</w:t>
      </w:r>
      <w:r>
        <w:t xml:space="preserve">   </w:t>
      </w:r>
      <w:r>
        <w:tab/>
      </w:r>
      <w:r>
        <w:t xml:space="preserve">30</w:t>
      </w:r>
    </w:p>
    <w:p>
      <w:pPr>
        <w:spacing w:before="0" w:after="0" w:line="1" w:lineRule="exact"/>
        <w:sectPr>
          <w:footerReference w:type="default" r:id="rIdXdPage"/>
          <w:pgSz w:w="12240" w:h="20160"/>
          <w:pgMar w:top="216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INTRODUCTION</w:t>
      </w:r>
    </w:p>
    <w:p>
      <w:pPr>
        <w:pStyle w:val="BodyText"/>
      </w:pPr>
      <w:r>
        <w:t xml:space="preserve">This Court has a historic opportunity to provide a remedy for a constitutional violation of a magnitude of importance rarely before any court. For Louisiana, the significance of this case rivals a case like the storied</w:t>
      </w:r>
      <w:r>
        <w:t xml:space="preserve"> </w:t>
      </w:r>
      <w:r>
        <w:rPr>
          <w:i/>
          <w:iCs/>
        </w:rPr>
        <w:t xml:space="preserve">Brown</w:t>
      </w:r>
      <w:r>
        <w:rPr>
          <w:i/>
          <w:iCs/>
        </w:rPr>
        <w:t xml:space="preserve"> </w:t>
      </w:r>
      <w:r>
        <w:rPr>
          <w:i/>
          <w:iCs/>
        </w:rPr>
        <w:t xml:space="preserve">v. Board of Education</w:t>
      </w:r>
      <w:r>
        <w:t xml:space="preserve">, 347 U.S. 483 (1954)—or, if handled differently, the shameful</w:t>
      </w:r>
      <w:r>
        <w:t xml:space="preserve"> </w:t>
      </w:r>
      <w:r>
        <w:rPr>
          <w:i/>
          <w:iCs/>
        </w:rPr>
        <w:t xml:space="preserve">Plessy</w:t>
      </w:r>
      <w:r>
        <w:rPr>
          <w:i/>
          <w:iCs/>
        </w:rPr>
        <w:t xml:space="preserve"> </w:t>
      </w:r>
      <w:r>
        <w:rPr>
          <w:i/>
          <w:iCs/>
        </w:rPr>
        <w:t xml:space="preserve">v. Ferguson</w:t>
      </w:r>
      <w:r>
        <w:t xml:space="preserve">, 163 U.S. 537 (1896). Respondent Reginald Reddick respectfully requests a new trial, and that Louisiana courts administer justice in a manner that ensures equal justice for all.</w:t>
      </w:r>
    </w:p>
    <w:p>
      <w:pPr>
        <w:pStyle w:val="BodyText"/>
      </w:pPr>
      <w:r>
        <w:t xml:space="preserve">We now know that in 1898, our Jim Crow era government intentionally enshrined into the Louisiana Constitution a practice intended to silence the voices of Black jurors and convict more Black people. It allowed our courts to convict defendants of serious crimes without the protection of a unanimous jury verdict. Almost 100 years later, Reginald Reddick—a Black man—went to trial, and the State convicted him through that very practice.</w:t>
      </w:r>
    </w:p>
    <w:p>
      <w:pPr>
        <w:pStyle w:val="BodyText"/>
      </w:pPr>
      <w:r>
        <w:t xml:space="preserve">In</w:t>
      </w:r>
      <w:r>
        <w:t xml:space="preserve"> </w:t>
      </w:r>
      <w:r>
        <w:rPr>
          <w:i/>
          <w:iCs/>
        </w:rPr>
        <w:t xml:space="preserve">Ramos</w:t>
      </w:r>
      <w:r>
        <w:rPr>
          <w:i/>
          <w:iCs/>
        </w:rPr>
        <w:t xml:space="preserve"> </w:t>
      </w:r>
      <w:r>
        <w:rPr>
          <w:i/>
          <w:iCs/>
        </w:rPr>
        <w:t xml:space="preserve">v. Louisiana</w:t>
      </w:r>
      <w:r>
        <w:t xml:space="preserve">, 140 S. Ct. 1390 (2020), the U.S. Supreme Court held that this Jim Crow law—allowing non-unanimous jury verdicts—deprived Louisiana residents of their federal constitutional rights. Today, Mr. Reddick, and the hundreds of people similarly situated, ask this Court to right that wrong and give them fair and constitutional trials. The reasons for doing so are critical, and the path to doing so is clear.</w:t>
      </w:r>
    </w:p>
    <w:p>
      <w:pPr>
        <w:pStyle w:val="BodyText"/>
      </w:pPr>
      <w:r>
        <w:t xml:space="preserve">This Court should find the</w:t>
      </w:r>
      <w:r>
        <w:t xml:space="preserve"> </w:t>
      </w:r>
      <w:r>
        <w:rPr>
          <w:i/>
          <w:iCs/>
        </w:rPr>
        <w:t xml:space="preserve">Ramos</w:t>
      </w:r>
      <w:r>
        <w:t xml:space="preserve"> </w:t>
      </w:r>
      <w:r>
        <w:t xml:space="preserve">decision retroactively applicable to Mr. Reddick under</w:t>
      </w:r>
      <w:r>
        <w:t xml:space="preserve"> </w:t>
      </w:r>
      <w:r>
        <w:rPr>
          <w:i/>
          <w:iCs/>
        </w:rPr>
        <w:t xml:space="preserve">State</w:t>
      </w:r>
      <w:r>
        <w:rPr>
          <w:i/>
          <w:iCs/>
        </w:rPr>
        <w:t xml:space="preserve"> </w:t>
      </w:r>
      <w:r>
        <w:rPr>
          <w:i/>
          <w:iCs/>
        </w:rPr>
        <w:t xml:space="preserve">ex rel. Taylor v. Whitley</w:t>
      </w:r>
      <w:r>
        <w:t xml:space="preserve">, 606 So. 2d 1292 (La. 1992), as the trial court did. If this Court does not find</w:t>
      </w:r>
      <w:r>
        <w:t xml:space="preserve"> </w:t>
      </w:r>
      <w:r>
        <w:rPr>
          <w:i/>
          <w:iCs/>
        </w:rPr>
        <w:t xml:space="preserve">Ramos</w:t>
      </w:r>
      <w:r>
        <w:t xml:space="preserve"> </w:t>
      </w:r>
      <w:r>
        <w:t xml:space="preserve">retroactive under</w:t>
      </w:r>
      <w:r>
        <w:t xml:space="preserve"> </w:t>
      </w:r>
      <w:r>
        <w:rPr>
          <w:i/>
          <w:iCs/>
        </w:rPr>
        <w:t xml:space="preserve">Taylor</w:t>
      </w:r>
      <w:r>
        <w:t xml:space="preserve">, Mr. Reddick asks this Court do what it is empowered to do: supplement Louisiana’s retroactivity test. Mr. Reddick does not suggest this lightly. But if the test Louisiana currently uses can be interpreted to leave hundreds of predominantly Black men in prison on the basis of a Jim Crow law without an opportunity for a constitutional trial, then the test is morally indefensible and Article</w:t>
      </w:r>
      <w:r>
        <w:t xml:space="preserve"> </w:t>
      </w:r>
      <w:r>
        <w:t xml:space="preserve">I, Section 3 of Louisiana’s Constitution demands an alteration to the test.</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CASE</w:t>
      </w:r>
    </w:p>
    <w:p>
      <w:pPr>
        <w:pStyle w:val="BodyText"/>
      </w:pPr>
      <w:r>
        <w:t xml:space="preserve">Two jurors voted to acquit Reginald Reddick of second degree murder. Despite significant evidence of his innocence—and the non-unanimous jury verdict—the unconstitutional system in place allowed for his conviction. This case, however, is about the wrongs that influenced his trial beginning long before his conviction in January 1997, and even long before Mr. Albert Moliere’s death in 1993.</w:t>
      </w:r>
    </w:p>
    <w:p>
      <w:pPr>
        <w:keepNext/>
        <w:keepLines/>
        <w:spacing w:before="288" w:after="192" w:line="276" w:lineRule="exact"/>
        <w:ind w:left="0" w:firstLine="0"/>
        <w:jc w:val="left"/>
      </w:pPr>
      <w:r>
        <w:rPr>
          <w:b/>
          <w:bCs/>
        </w:rPr>
        <w:t xml:space="preserve">A.</w:t>
      </w:r>
      <w:r>
        <w:rPr>
          <w:b/>
          <w:bCs/>
        </w:rPr>
        <w:t xml:space="preserve"> </w:t>
      </w:r>
      <w:r>
        <w:rPr>
          <w:b/>
          <w:bCs/>
        </w:rPr>
        <w:t xml:space="preserve">The</w:t>
      </w:r>
      <w:r>
        <w:rPr>
          <w:b/>
          <w:bCs/>
        </w:rPr>
        <w:t xml:space="preserve"> </w:t>
      </w:r>
      <w:r>
        <w:rPr>
          <w:b/>
          <w:bCs/>
        </w:rPr>
        <w:t xml:space="preserve">history</w:t>
      </w:r>
      <w:r>
        <w:rPr>
          <w:b/>
          <w:bCs/>
        </w:rPr>
        <w:t xml:space="preserve"> </w:t>
      </w:r>
      <w:r>
        <w:rPr>
          <w:b/>
          <w:bCs/>
        </w:rPr>
        <w:t xml:space="preserve">of</w:t>
      </w:r>
      <w:r>
        <w:rPr>
          <w:b/>
          <w:bCs/>
        </w:rPr>
        <w:t xml:space="preserve"> </w:t>
      </w:r>
      <w:r>
        <w:rPr>
          <w:b/>
          <w:bCs/>
        </w:rPr>
        <w:t xml:space="preserve">Jim</w:t>
      </w:r>
      <w:r>
        <w:rPr>
          <w:b/>
          <w:bCs/>
        </w:rPr>
        <w:t xml:space="preserve"> </w:t>
      </w:r>
      <w:r>
        <w:rPr>
          <w:b/>
          <w:bCs/>
        </w:rPr>
        <w:t xml:space="preserve">Crow</w:t>
      </w:r>
      <w:r>
        <w:rPr>
          <w:b/>
          <w:bCs/>
        </w:rPr>
        <w:t xml:space="preserve"> </w:t>
      </w:r>
      <w:r>
        <w:rPr>
          <w:b/>
          <w:bCs/>
        </w:rPr>
        <w:t xml:space="preserve">jury</w:t>
      </w:r>
      <w:r>
        <w:rPr>
          <w:b/>
          <w:bCs/>
        </w:rPr>
        <w:t xml:space="preserve"> </w:t>
      </w:r>
      <w:r>
        <w:rPr>
          <w:b/>
          <w:bCs/>
        </w:rPr>
        <w:t xml:space="preserve">verdicts</w:t>
      </w:r>
    </w:p>
    <w:p>
      <w:pPr>
        <w:pStyle w:val="BodyTextNote"/>
      </w:pPr>
      <w:r>
        <w:t xml:space="preserve">As one historian noted, it is said that the Confederacy lost the war but won the peace.</w:t>
      </w:r>
      <w:r>
        <w:rPr>
          <w:rStyle w:val="FootnoteReference"/>
        </w:rPr>
        <w:footnoteReference w:id="9"/>
      </w:r>
      <w:r>
        <w:t xml:space="preserve"> </w:t>
      </w:r>
      <w:r>
        <w:t xml:space="preserve">The Civil War ended April 9, 1865, but the Confederacy’s supporters quickly recaptured power.</w:t>
      </w:r>
      <w:r>
        <w:rPr>
          <w:rStyle w:val="FootnoteReference"/>
        </w:rPr>
        <w:footnoteReference w:id="10"/>
      </w:r>
      <w:r>
        <w:t xml:space="preserve"> </w:t>
      </w:r>
      <w:r>
        <w:t xml:space="preserve">By the end of that year, while the states ratified the Thirteenth Amendment to the U.S. Constitution, Louisiana joined many other southern states in enacting “Black Codes.”</w:t>
      </w:r>
      <w:r>
        <w:rPr>
          <w:rStyle w:val="FootnoteReference"/>
        </w:rPr>
        <w:footnoteReference w:id="11"/>
      </w:r>
      <w:r>
        <w:t xml:space="preserve"> </w:t>
      </w:r>
      <w:r>
        <w:t xml:space="preserve">Needing Black Louisianans to continue to work in farm labor in the places of their enslavement, these Black Codes criminalized Black people leaving the location of their enslavement by arresting them if they lacked stable employment or housing.</w:t>
      </w:r>
      <w:r>
        <w:rPr>
          <w:rStyle w:val="FootnoteReference"/>
        </w:rPr>
        <w:footnoteReference w:id="12"/>
      </w:r>
      <w:r>
        <w:t xml:space="preserve"> </w:t>
      </w:r>
      <w:r>
        <w:t xml:space="preserve">Additionally, Louisiana criminalized feeding or harboring a “contracted” person leaving his or her employer.</w:t>
      </w:r>
      <w:r>
        <w:rPr>
          <w:rStyle w:val="FootnoteReference"/>
        </w:rPr>
        <w:footnoteReference w:id="13"/>
      </w:r>
      <w:r>
        <w:t xml:space="preserve"> </w:t>
      </w:r>
      <w:r>
        <w:t xml:space="preserve">The need for Black suffrage in the face of the mounting legal system became paramount for many in these years of transition.</w:t>
      </w:r>
    </w:p>
    <w:p>
      <w:pPr>
        <w:pStyle w:val="BodyTextNote"/>
      </w:pPr>
      <w:r>
        <w:t xml:space="preserve">The following year, in 1866, events in New Orleans disturbed the nation when White militia killed 48 people and wounded hundreds gathered to guarantee Black men the vote.</w:t>
      </w:r>
      <w:r>
        <w:rPr>
          <w:rStyle w:val="FootnoteReference"/>
        </w:rPr>
        <w:footnoteReference w:id="14"/>
      </w:r>
      <w:r>
        <w:t xml:space="preserve"> </w:t>
      </w:r>
      <w:r>
        <w:t xml:space="preserve">The New Orleans Massacre, along with the other riots and terror throughout the United States, forced the nation to pass the Reconstruction Acts in March of 1867, which, among other changes, officially enfranchised Black men.</w:t>
      </w:r>
      <w:r>
        <w:rPr>
          <w:rStyle w:val="FootnoteReference"/>
        </w:rPr>
        <w:footnoteReference w:id="15"/>
      </w:r>
      <w:r>
        <w:t xml:space="preserve"> </w:t>
      </w:r>
      <w:r>
        <w:t xml:space="preserve">By late 1867, Louisiana reported that 84,527 Black men had registered to vote, compared to 45,189 White men in the state.</w:t>
      </w:r>
      <w:r>
        <w:rPr>
          <w:rStyle w:val="FootnoteReference"/>
        </w:rPr>
        <w:footnoteReference w:id="16"/>
      </w:r>
    </w:p>
    <w:p>
      <w:pPr>
        <w:pStyle w:val="BodyTextNote"/>
      </w:pPr>
      <w:r>
        <w:t xml:space="preserve">Louisiana did not receive the Reconstruction Acts gracefully.</w:t>
      </w:r>
      <w:r>
        <w:rPr>
          <w:rStyle w:val="FootnoteReference"/>
        </w:rPr>
        <w:footnoteReference w:id="17"/>
      </w:r>
      <w:r>
        <w:t xml:space="preserve"> </w:t>
      </w:r>
      <w:r>
        <w:t xml:space="preserve">Rather than treating the Black population as equal, some White Louisianans turned violent.</w:t>
      </w:r>
      <w:r>
        <w:rPr>
          <w:rStyle w:val="FootnoteReference"/>
        </w:rPr>
        <w:footnoteReference w:id="18"/>
      </w:r>
      <w:r>
        <w:t xml:space="preserve"> </w:t>
      </w:r>
      <w:r>
        <w:t xml:space="preserve">Thousands of Louisianans, many former Confederate troops, joined terrorists groups and conducted a “reign of terror among the State’s Black population.”</w:t>
      </w:r>
      <w:r>
        <w:rPr>
          <w:rStyle w:val="FootnoteReference"/>
        </w:rPr>
        <w:footnoteReference w:id="19"/>
      </w:r>
    </w:p>
    <w:p>
      <w:pPr>
        <w:pStyle w:val="XdQuoteOnly"/>
      </w:pPr>
      <w:r>
        <w:t xml:space="preserve">In 1868, as many as 250 people, mostly African American, were massacred by white mobs in Opelousas, Louisiana to suppress black voter turnout. . . . [I]n 1868, at least thirty-five, possibly more than one hundred, African Americans were murdered by marauding whites in St. Bernard Parish, Louisiana.</w:t>
      </w:r>
    </w:p>
    <w:p>
      <w:pPr>
        <w:pStyle w:val="XdQuoteOnly"/>
      </w:pPr>
      <w:r>
        <w:t xml:space="preserve">On April 13, 1873, a white mob in Colfax, Louisiana, attacked a courthouse full of people defending the right to vote, set fire to the building, shot down people trying to flee, and, ultimately, murdered over one hundred black men.</w:t>
      </w:r>
      <w:r>
        <w:rPr>
          <w:rStyle w:val="FootnoteReference"/>
        </w:rPr>
        <w:footnoteReference w:id="20"/>
      </w:r>
    </w:p>
    <w:p>
      <w:pPr>
        <w:pStyle w:val="BodyTextNote"/>
      </w:pPr>
      <w:r>
        <w:t xml:space="preserve">Reconstruction lasted until 1877, but the federal government’s removal of its oversight was insufficient for those who saw Black Louisianans as less than equal.</w:t>
      </w:r>
      <w:r>
        <w:rPr>
          <w:rStyle w:val="FootnoteReference"/>
        </w:rPr>
        <w:footnoteReference w:id="21"/>
      </w:r>
      <w:r>
        <w:t xml:space="preserve"> </w:t>
      </w:r>
      <w:r>
        <w:t xml:space="preserve">Lawmakers passed many laws to segregate and dehumanize the Black population, perhaps most notably the Louisiana Separate Car Act of 1890 that led to the</w:t>
      </w:r>
      <w:r>
        <w:t xml:space="preserve"> </w:t>
      </w:r>
      <w:r>
        <w:rPr>
          <w:i/>
          <w:iCs/>
        </w:rPr>
        <w:t xml:space="preserve">Plessy v. Ferguson</w:t>
      </w:r>
      <w:r>
        <w:t xml:space="preserve"> </w:t>
      </w:r>
      <w:r>
        <w:t xml:space="preserve">decision in 1896. 163</w:t>
      </w:r>
      <w:r>
        <w:t xml:space="preserve"> </w:t>
      </w:r>
      <w:r>
        <w:t xml:space="preserve">U.S. at 540. That decision infamously lent federal approval to the segregation and subjugation of Black citizens.</w:t>
      </w:r>
      <w:r>
        <w:rPr>
          <w:rStyle w:val="FootnoteReference"/>
        </w:rPr>
        <w:footnoteReference w:id="22"/>
      </w:r>
    </w:p>
    <w:p>
      <w:pPr>
        <w:pStyle w:val="BodyTextNote"/>
      </w:pPr>
      <w:r>
        <w:t xml:space="preserve">Emboldened by the</w:t>
      </w:r>
      <w:r>
        <w:t xml:space="preserve"> </w:t>
      </w:r>
      <w:r>
        <w:rPr>
          <w:i/>
          <w:iCs/>
        </w:rPr>
        <w:t xml:space="preserve">Plessy</w:t>
      </w:r>
      <w:r>
        <w:t xml:space="preserve"> </w:t>
      </w:r>
      <w:r>
        <w:t xml:space="preserve">decision,</w:t>
      </w:r>
      <w:r>
        <w:rPr>
          <w:rStyle w:val="FootnoteReference"/>
        </w:rPr>
        <w:footnoteReference w:id="23"/>
      </w:r>
      <w:r>
        <w:t xml:space="preserve"> </w:t>
      </w:r>
      <w:r>
        <w:t xml:space="preserve">Louisiana convened a constitutional convention—with 134 all-White male delegates—to re-write the Louisiana Constitution. Convention President Ernest Benjamin Kruttschnitt made it clear from the outset that the Convention’s purpose was to minimize or eliminate the political power of Black Louisianans.</w:t>
      </w:r>
      <w:r>
        <w:rPr>
          <w:rStyle w:val="FootnoteReference"/>
        </w:rPr>
        <w:footnoteReference w:id="24"/>
      </w:r>
      <w:r>
        <w:t xml:space="preserve"> </w:t>
      </w:r>
      <w:r>
        <w:t xml:space="preserve">The official journals of the proceeding of the Convention stated: “Our mission was, in the first place, to establish the supremacy of the white race in this State to the extent to which it could be legally and constitutionally done.”</w:t>
      </w:r>
      <w:r>
        <w:rPr>
          <w:rStyle w:val="FootnoteReference"/>
        </w:rPr>
        <w:footnoteReference w:id="25"/>
      </w:r>
      <w:r>
        <w:t xml:space="preserve"> </w:t>
      </w:r>
      <w:r>
        <w:t xml:space="preserve">Judge Thomas Semmes, Chair of the Convention’s Judiciary Committee, stated its purpose clearly: “We [are] here to establish the supremacy of the white race . . . .”</w:t>
      </w:r>
      <w:r>
        <w:rPr>
          <w:rStyle w:val="FootnoteReference"/>
        </w:rPr>
        <w:footnoteReference w:id="26"/>
      </w:r>
    </w:p>
    <w:p>
      <w:pPr>
        <w:pStyle w:val="BodyTextNote"/>
      </w:pPr>
      <w:r>
        <w:t xml:space="preserve">Article</w:t>
      </w:r>
      <w:r>
        <w:t xml:space="preserve"> </w:t>
      </w:r>
      <w:r>
        <w:t xml:space="preserve">116 of the 1898 Louisiana Constitution, which later became Article</w:t>
      </w:r>
      <w:r>
        <w:t xml:space="preserve"> </w:t>
      </w:r>
      <w:r>
        <w:t xml:space="preserve">I, § 17, was part of a much larger package of measures adopted in the Convention, all of which were enacted in furtherance of the white supremacist intent and agenda of the delegates.</w:t>
      </w:r>
      <w:r>
        <w:rPr>
          <w:rStyle w:val="FootnoteReference"/>
        </w:rPr>
        <w:footnoteReference w:id="27"/>
      </w:r>
      <w:r>
        <w:t xml:space="preserve"> </w:t>
      </w:r>
      <w:r>
        <w:t xml:space="preserve">The proponents of the non-unanimous jury system justified its creation on the belief that Black jurors would become the champions of a Black defendant solely because of race: “He [the freed slave] does not appear to much advantage in any capacity in the courts of law . . . . As a juror, he will follow the lead of his white fellows in causes involving distinctive white interests; but if a negro be on trial for any crime, he becomes at once his earnest champion, and a hung jury is the usual result.”</w:t>
      </w:r>
      <w:r>
        <w:rPr>
          <w:rStyle w:val="FootnoteReference"/>
        </w:rPr>
        <w:footnoteReference w:id="28"/>
      </w:r>
    </w:p>
    <w:p>
      <w:pPr>
        <w:pStyle w:val="BodyTextNote"/>
      </w:pPr>
      <w:r>
        <w:t xml:space="preserve">Public sentiment suggested, even if disingenuously, that denying Black juror participation would actually be beneficial to Black Louisianans as a measure to stop lynching. Statements like “it is not to be wondered at that when such a jury sets free criminals whose guilt is established, peace-loving and law-abiding citizens rise up,”</w:t>
      </w:r>
      <w:r>
        <w:rPr>
          <w:rStyle w:val="FootnoteReference"/>
        </w:rPr>
        <w:footnoteReference w:id="29"/>
      </w:r>
      <w:r>
        <w:t xml:space="preserve"> </w:t>
      </w:r>
      <w:r>
        <w:t xml:space="preserve">and “[I]f the jury system be so reformed that a majority may bring in a verdict, that lynching will be absolutely prevented,”</w:t>
      </w:r>
      <w:r>
        <w:rPr>
          <w:rStyle w:val="FootnoteReference"/>
        </w:rPr>
        <w:footnoteReference w:id="30"/>
      </w:r>
      <w:r>
        <w:t xml:space="preserve"> </w:t>
      </w:r>
      <w:r>
        <w:t xml:space="preserve">appeared in Louisiana publications.</w:t>
      </w:r>
      <w:r>
        <w:rPr>
          <w:rStyle w:val="FootnoteReference"/>
        </w:rPr>
        <w:footnoteReference w:id="31"/>
      </w:r>
    </w:p>
    <w:p>
      <w:pPr>
        <w:pStyle w:val="BodyTextNote"/>
      </w:pPr>
      <w:r>
        <w:t xml:space="preserve">At the time of the Convention, federal authorities were investigating the exclusion of Black jurors from Louisiana juries.</w:t>
      </w:r>
      <w:r>
        <w:rPr>
          <w:rStyle w:val="FootnoteReference"/>
        </w:rPr>
        <w:footnoteReference w:id="32"/>
      </w:r>
      <w:r>
        <w:t xml:space="preserve"> </w:t>
      </w:r>
      <w:r>
        <w:t xml:space="preserve">Federal scrutiny made an outright ban on Black jury service impracticable, but adoption of non-unanimity accomplished the same thing: it “ensure[d] that African-American juror service would be meaningless.”</w:t>
      </w:r>
      <w:r>
        <w:rPr>
          <w:rStyle w:val="FootnoteReference"/>
        </w:rPr>
        <w:footnoteReference w:id="33"/>
      </w:r>
      <w:r>
        <w:t xml:space="preserve"> </w:t>
      </w:r>
      <w:r>
        <w:t xml:space="preserve">The resulting constitution was a “document includ[ing] many of the trappings of the Jim Crow era: a poll tax, a combined literacy and property ownership test, and a grandfather clause that in practice exempted white residents from the most onerous of these requirements.”</w:t>
      </w:r>
      <w:r>
        <w:rPr>
          <w:rStyle w:val="FootnoteReference"/>
        </w:rPr>
        <w:footnoteReference w:id="34"/>
      </w:r>
      <w:r>
        <w:t xml:space="preserve"> </w:t>
      </w:r>
      <w:r>
        <w:t xml:space="preserve">The non-unanimous jury rule allowed Louisiana to do indirectly what it was prohibited from doing directly.</w:t>
      </w:r>
      <w:r>
        <w:rPr>
          <w:rStyle w:val="FootnoteReference"/>
        </w:rPr>
        <w:footnoteReference w:id="35"/>
      </w:r>
      <w:r>
        <w:t xml:space="preserve"> </w:t>
      </w:r>
      <w:r>
        <w:t xml:space="preserve">Numerous commentators, including U.S. Supreme Court justices, have noted that the non-unanimous jury verdict rule functioned just as its white supremacist framers intended.</w:t>
      </w:r>
      <w:r>
        <w:rPr>
          <w:rStyle w:val="FootnoteReference"/>
        </w:rPr>
        <w:footnoteReference w:id="36"/>
      </w:r>
      <w:r>
        <w:t xml:space="preserve"> </w:t>
      </w:r>
      <w:r>
        <w:t xml:space="preserve">Louisiana continued to nullify Black juror participation and convict a disproportionate number of Black defendants with non-unanimous juries.</w:t>
      </w:r>
      <w:r>
        <w:rPr>
          <w:rStyle w:val="FootnoteReference"/>
        </w:rPr>
        <w:footnoteReference w:id="37"/>
      </w:r>
    </w:p>
    <w:p>
      <w:pPr>
        <w:pStyle w:val="BodyTextNote"/>
      </w:pPr>
      <w:r>
        <w:t xml:space="preserve">Delegates at the 1973 Constitutional Convention debated a fix for the non-unanimous jury provision in Louisiana’s constitution. The South found itself at a racial crossroads in the early 1970s.</w:t>
      </w:r>
      <w:r>
        <w:rPr>
          <w:rStyle w:val="FootnoteReference"/>
        </w:rPr>
        <w:footnoteReference w:id="38"/>
      </w:r>
      <w:r>
        <w:t xml:space="preserve"> </w:t>
      </w:r>
      <w:r>
        <w:t xml:space="preserve">The Convention sought in large part to roll back some of the unwieldiness of the Louisiana Constitution, and not necessarily to enact sweeping change.</w:t>
      </w:r>
      <w:r>
        <w:rPr>
          <w:rStyle w:val="FootnoteReference"/>
        </w:rPr>
        <w:footnoteReference w:id="39"/>
      </w:r>
      <w:r>
        <w:t xml:space="preserve"> </w:t>
      </w:r>
      <w:r>
        <w:t xml:space="preserve">In the debates about the non-unanimous jury verdict provision, delegates explicitly recognized that non-unanimous juries inflicted disparate impacts on minority defendants.</w:t>
      </w:r>
      <w:r>
        <w:rPr>
          <w:rStyle w:val="FootnoteReference"/>
        </w:rPr>
        <w:footnoteReference w:id="40"/>
      </w:r>
      <w:r>
        <w:t xml:space="preserve"> </w:t>
      </w:r>
      <w:r>
        <w:t xml:space="preserve">Cognizant of the discriminatory impact, the delegates chose to continue that impact, albeit with one change: they increased from nine to ten the number of jurors who would need to find guilt in order to convict.</w:t>
      </w:r>
      <w:r>
        <w:rPr>
          <w:rStyle w:val="FootnoteReference"/>
        </w:rPr>
        <w:footnoteReference w:id="41"/>
      </w:r>
      <w:r>
        <w:t xml:space="preserve"> </w:t>
      </w:r>
      <w:r>
        <w:t xml:space="preserve">In the years that followed, Louisiana would continue convicting primarily Black defendants and silencing the voices of primarily Black jurors.</w:t>
      </w:r>
      <w:r>
        <w:rPr>
          <w:rStyle w:val="FootnoteReference"/>
        </w:rPr>
        <w:footnoteReference w:id="42"/>
      </w:r>
    </w:p>
    <w:p>
      <w:pPr>
        <w:keepNext/>
        <w:keepLines/>
        <w:spacing w:before="288" w:after="192" w:line="276" w:lineRule="exact"/>
        <w:ind w:left="0" w:firstLine="0"/>
        <w:jc w:val="left"/>
      </w:pPr>
      <w:r>
        <w:rPr>
          <w:b/>
          <w:bCs/>
        </w:rPr>
        <w:t xml:space="preserve">B.</w:t>
      </w:r>
      <w:r>
        <w:rPr>
          <w:b/>
          <w:bCs/>
        </w:rPr>
        <w:t xml:space="preserve"> </w:t>
      </w:r>
      <w:r>
        <w:rPr>
          <w:b/>
          <w:bCs/>
        </w:rPr>
        <w:t xml:space="preserve">Reginald</w:t>
      </w:r>
      <w:r>
        <w:rPr>
          <w:b/>
          <w:bCs/>
        </w:rPr>
        <w:t xml:space="preserve"> </w:t>
      </w:r>
      <w:r>
        <w:rPr>
          <w:b/>
          <w:bCs/>
        </w:rPr>
        <w:t xml:space="preserve">Reddick’s</w:t>
      </w:r>
      <w:r>
        <w:rPr>
          <w:b/>
          <w:bCs/>
        </w:rPr>
        <w:t xml:space="preserve"> </w:t>
      </w:r>
      <w:r>
        <w:rPr>
          <w:b/>
          <w:bCs/>
        </w:rPr>
        <w:t xml:space="preserve">Jim</w:t>
      </w:r>
      <w:r>
        <w:rPr>
          <w:b/>
          <w:bCs/>
        </w:rPr>
        <w:t xml:space="preserve"> </w:t>
      </w:r>
      <w:r>
        <w:rPr>
          <w:b/>
          <w:bCs/>
        </w:rPr>
        <w:t xml:space="preserve">Crow</w:t>
      </w:r>
      <w:r>
        <w:rPr>
          <w:b/>
          <w:bCs/>
        </w:rPr>
        <w:t xml:space="preserve"> </w:t>
      </w:r>
      <w:r>
        <w:rPr>
          <w:b/>
          <w:bCs/>
        </w:rPr>
        <w:t xml:space="preserve">jury</w:t>
      </w:r>
      <w:r>
        <w:rPr>
          <w:b/>
          <w:bCs/>
        </w:rPr>
        <w:t xml:space="preserve"> </w:t>
      </w:r>
      <w:r>
        <w:rPr>
          <w:b/>
          <w:bCs/>
        </w:rPr>
        <w:t xml:space="preserve">conviction.</w:t>
      </w:r>
    </w:p>
    <w:p>
      <w:pPr>
        <w:pStyle w:val="BodyTextNote"/>
      </w:pPr>
      <w:r>
        <w:t xml:space="preserve">In January of 1997, Reginald Reddick went to trial for the second degree murder of Albert Moliere.</w:t>
      </w:r>
      <w:r>
        <w:rPr>
          <w:rStyle w:val="FootnoteReference"/>
        </w:rPr>
        <w:footnoteReference w:id="43"/>
      </w:r>
      <w:r>
        <w:t xml:space="preserve"> </w:t>
      </w:r>
      <w:r>
        <w:t xml:space="preserve">Mr. Moliere died from a gunshot wound to his left eye in the early morning hours of August 16, 1993.</w:t>
      </w:r>
      <w:r>
        <w:rPr>
          <w:rStyle w:val="FootnoteReference"/>
        </w:rPr>
        <w:footnoteReference w:id="44"/>
      </w:r>
      <w:r>
        <w:t xml:space="preserve"> </w:t>
      </w:r>
      <w:r>
        <w:t xml:space="preserve">Medical examiners determined the killer fired the gun from within two feet of Mr. Moliere’s head.</w:t>
      </w:r>
      <w:r>
        <w:rPr>
          <w:rStyle w:val="FootnoteReference"/>
        </w:rPr>
        <w:footnoteReference w:id="45"/>
      </w:r>
      <w:r>
        <w:t xml:space="preserve"> </w:t>
      </w:r>
      <w:r>
        <w:t xml:space="preserve">The police recovered 13 latent fingerprints from outside the car and several prints from inside the car on a cup and beer can.</w:t>
      </w:r>
      <w:r>
        <w:rPr>
          <w:rStyle w:val="FootnoteReference"/>
        </w:rPr>
        <w:footnoteReference w:id="46"/>
      </w:r>
      <w:r>
        <w:t xml:space="preserve"> </w:t>
      </w:r>
      <w:r>
        <w:t xml:space="preserve">These prints were tested against Mr. Reddick, and Mr. Reddick only.</w:t>
      </w:r>
      <w:r>
        <w:rPr>
          <w:rStyle w:val="FootnoteReference"/>
        </w:rPr>
        <w:footnoteReference w:id="47"/>
      </w:r>
      <w:r>
        <w:t xml:space="preserve"> </w:t>
      </w:r>
      <w:r>
        <w:t xml:space="preserve">None of these prints matched Mr. Reddick and there was no DNA evidence.</w:t>
      </w:r>
      <w:r>
        <w:rPr>
          <w:rStyle w:val="FootnoteReference"/>
        </w:rPr>
        <w:footnoteReference w:id="48"/>
      </w:r>
    </w:p>
    <w:p>
      <w:pPr>
        <w:pStyle w:val="BodyTextNote"/>
      </w:pPr>
      <w:r>
        <w:t xml:space="preserve">In fact, officers linked no physical evidence collected at the scene of Mr. Moliere’s death to Mr. Reddick.</w:t>
      </w:r>
      <w:r>
        <w:rPr>
          <w:rStyle w:val="FootnoteReference"/>
        </w:rPr>
        <w:footnoteReference w:id="49"/>
      </w:r>
      <w:r>
        <w:t xml:space="preserve"> </w:t>
      </w:r>
      <w:r>
        <w:t xml:space="preserve">The scene of Mr. Moliere’s death contained a lot of blood; enough blood was present that the police assumed whoever committed the murder would have blood on their person.</w:t>
      </w:r>
      <w:r>
        <w:rPr>
          <w:rStyle w:val="FootnoteReference"/>
        </w:rPr>
        <w:footnoteReference w:id="50"/>
      </w:r>
      <w:r>
        <w:t xml:space="preserve"> </w:t>
      </w:r>
      <w:r>
        <w:t xml:space="preserve">Indeed, the shooter tracked blood out into the parking lot.</w:t>
      </w:r>
      <w:r>
        <w:rPr>
          <w:rStyle w:val="FootnoteReference"/>
        </w:rPr>
        <w:footnoteReference w:id="51"/>
      </w:r>
      <w:r>
        <w:t xml:space="preserve"> </w:t>
      </w:r>
      <w:r>
        <w:t xml:space="preserve">Officers did not find or connect any blood to Mr. Reddick.</w:t>
      </w:r>
      <w:r>
        <w:rPr>
          <w:rStyle w:val="FootnoteReference"/>
        </w:rPr>
        <w:footnoteReference w:id="52"/>
      </w:r>
      <w:r>
        <w:t xml:space="preserve"> </w:t>
      </w:r>
      <w:r>
        <w:t xml:space="preserve">A witness who saw Mr. Reddick immediately after the alleged crime testified there was no blood on him.</w:t>
      </w:r>
      <w:r>
        <w:rPr>
          <w:rStyle w:val="FootnoteReference"/>
        </w:rPr>
        <w:footnoteReference w:id="53"/>
      </w:r>
      <w:r>
        <w:t xml:space="preserve"> </w:t>
      </w:r>
      <w:r>
        <w:t xml:space="preserve">Police never sought a search warrant to look for evidence of the crime or a weapon in the home where Mr. Reddick was staying, despite executing an arrest warrant there the day after the crime.</w:t>
      </w:r>
      <w:r>
        <w:rPr>
          <w:rStyle w:val="FootnoteReference"/>
        </w:rPr>
        <w:footnoteReference w:id="54"/>
      </w:r>
    </w:p>
    <w:p>
      <w:pPr>
        <w:pStyle w:val="BodyTextNote"/>
      </w:pPr>
      <w:r>
        <w:t xml:space="preserve">The State wrongly suggests that police discovered some of Mr. Moliere’s personal effects in front of where Mr. Reddick was staying.</w:t>
      </w:r>
      <w:r>
        <w:rPr>
          <w:rStyle w:val="FootnoteReference"/>
        </w:rPr>
        <w:footnoteReference w:id="55"/>
      </w:r>
      <w:r>
        <w:t xml:space="preserve"> </w:t>
      </w:r>
      <w:r>
        <w:t xml:space="preserve">In fact, officers retrieved those items only 350 yards from the crime scene, and not in front of the home—along a road that half the residents of Davant could have taken to flee the scene.</w:t>
      </w:r>
      <w:r>
        <w:rPr>
          <w:rStyle w:val="FootnoteReference"/>
        </w:rPr>
        <w:footnoteReference w:id="56"/>
      </w:r>
      <w:r>
        <w:t xml:space="preserve"> </w:t>
      </w:r>
      <w:r>
        <w:t xml:space="preserve">The discovery of evidence led police to rent a boat and a metal detector to search for a gun along the levee.</w:t>
      </w:r>
      <w:r>
        <w:rPr>
          <w:rStyle w:val="FootnoteReference"/>
        </w:rPr>
        <w:footnoteReference w:id="57"/>
      </w:r>
      <w:r>
        <w:t xml:space="preserve"> </w:t>
      </w:r>
      <w:r>
        <w:t xml:space="preserve">Officers found no gun during their thorough multi-day search.</w:t>
      </w:r>
      <w:r>
        <w:rPr>
          <w:rStyle w:val="FootnoteReference"/>
        </w:rPr>
        <w:footnoteReference w:id="58"/>
      </w:r>
    </w:p>
    <w:p>
      <w:pPr>
        <w:pStyle w:val="BodyTextNote"/>
      </w:pPr>
      <w:r>
        <w:t xml:space="preserve">Four months after Mr. Moliere’s death, a child found a handgun lying openly on the pavement 263 yards from the crime scene.</w:t>
      </w:r>
      <w:r>
        <w:rPr>
          <w:rStyle w:val="FootnoteReference"/>
        </w:rPr>
        <w:footnoteReference w:id="59"/>
      </w:r>
      <w:r>
        <w:t xml:space="preserve"> </w:t>
      </w:r>
      <w:r>
        <w:t xml:space="preserve">The crime lab could not connect the weapon to Mr. Reddick</w:t>
      </w:r>
      <w:r>
        <w:rPr>
          <w:rStyle w:val="FootnoteReference"/>
        </w:rPr>
        <w:footnoteReference w:id="60"/>
      </w:r>
      <w:r>
        <w:t xml:space="preserve"> </w:t>
      </w:r>
      <w:r>
        <w:t xml:space="preserve">or to the death of Mr. Moliere.</w:t>
      </w:r>
      <w:r>
        <w:rPr>
          <w:rStyle w:val="FootnoteReference"/>
        </w:rPr>
        <w:footnoteReference w:id="61"/>
      </w:r>
      <w:r>
        <w:t xml:space="preserve"> </w:t>
      </w:r>
      <w:r>
        <w:t xml:space="preserve">It was seriously damaged, and the damage was not the kind that would be caused by being in the water for four months.</w:t>
      </w:r>
      <w:r>
        <w:rPr>
          <w:rStyle w:val="FootnoteReference"/>
        </w:rPr>
        <w:footnoteReference w:id="62"/>
      </w:r>
    </w:p>
    <w:p>
      <w:pPr>
        <w:pStyle w:val="BodyTextNote"/>
      </w:pPr>
      <w:r>
        <w:t xml:space="preserve">At trial, seven individuals gave testimony of what they witnessed the night of Mr. Moliere’s death.</w:t>
      </w:r>
      <w:r>
        <w:rPr>
          <w:rStyle w:val="FootnoteReference"/>
        </w:rPr>
        <w:footnoteReference w:id="63"/>
      </w:r>
      <w:r>
        <w:t xml:space="preserve"> </w:t>
      </w:r>
      <w:r>
        <w:t xml:space="preserve">On August 15, 1993, Mr. Moliere had been buying drinks using a wad of cash in his shirt pocket for many hours at Alice’s Sweet Shop.</w:t>
      </w:r>
      <w:r>
        <w:rPr>
          <w:rStyle w:val="FootnoteReference"/>
        </w:rPr>
        <w:footnoteReference w:id="64"/>
      </w:r>
      <w:r>
        <w:t xml:space="preserve"> </w:t>
      </w:r>
      <w:r>
        <w:t xml:space="preserve">By the end of the night, he was sleeping on the bar.</w:t>
      </w:r>
      <w:r>
        <w:rPr>
          <w:rStyle w:val="FootnoteReference"/>
        </w:rPr>
        <w:footnoteReference w:id="65"/>
      </w:r>
      <w:r>
        <w:t xml:space="preserve"> </w:t>
      </w:r>
      <w:r>
        <w:t xml:space="preserve">None of the testifying witnesses saw any interaction between Mr. Reddick and Mr. Moliere in the bar.</w:t>
      </w:r>
      <w:r>
        <w:rPr>
          <w:rStyle w:val="FootnoteReference"/>
        </w:rPr>
        <w:footnoteReference w:id="66"/>
      </w:r>
      <w:r>
        <w:t xml:space="preserve"> </w:t>
      </w:r>
      <w:r>
        <w:t xml:space="preserve">Near closing time, employees at the bar tried to find Mr. Moliere a ride, but he insisted on driving.</w:t>
      </w:r>
      <w:r>
        <w:rPr>
          <w:rStyle w:val="FootnoteReference"/>
        </w:rPr>
        <w:footnoteReference w:id="67"/>
      </w:r>
      <w:r>
        <w:t xml:space="preserve"> </w:t>
      </w:r>
      <w:r>
        <w:t xml:space="preserve">At some time between 11:45 p.m. and midnight, the employees stood at the bar door after closing and watched him to make sure he made it to his car.</w:t>
      </w:r>
      <w:r>
        <w:rPr>
          <w:rStyle w:val="FootnoteReference"/>
        </w:rPr>
        <w:footnoteReference w:id="68"/>
      </w:r>
      <w:r>
        <w:t xml:space="preserve"> </w:t>
      </w:r>
      <w:r>
        <w:t xml:space="preserve">They saw him drive out of the empty parking lot alone.</w:t>
      </w:r>
      <w:r>
        <w:rPr>
          <w:rStyle w:val="FootnoteReference"/>
        </w:rPr>
        <w:footnoteReference w:id="69"/>
      </w:r>
    </w:p>
    <w:p>
      <w:pPr>
        <w:pStyle w:val="BodyTextNote"/>
      </w:pPr>
      <w:r>
        <w:t xml:space="preserve">Mr. Moliere’s niece, Ms. Deborah Isidore, saw her uncle’s car driving erratically on the stretch of road leading away from Alice’s Sweet Shop.</w:t>
      </w:r>
      <w:r>
        <w:rPr>
          <w:rStyle w:val="FootnoteReference"/>
        </w:rPr>
        <w:footnoteReference w:id="70"/>
      </w:r>
      <w:r>
        <w:t xml:space="preserve"> </w:t>
      </w:r>
      <w:r>
        <w:t xml:space="preserve">Her passenger reported Mr. Moliere drove extremely slowly that night.</w:t>
      </w:r>
      <w:r>
        <w:rPr>
          <w:rStyle w:val="FootnoteReference"/>
        </w:rPr>
        <w:footnoteReference w:id="71"/>
      </w:r>
      <w:r>
        <w:t xml:space="preserve"> </w:t>
      </w:r>
      <w:r>
        <w:t xml:space="preserve">Believing Mr. Moliere to be intoxicated, Ms. Isidore began to follow Mr. Moliere’s car.</w:t>
      </w:r>
      <w:r>
        <w:rPr>
          <w:rStyle w:val="FootnoteReference"/>
        </w:rPr>
        <w:footnoteReference w:id="72"/>
      </w:r>
      <w:r>
        <w:t xml:space="preserve"> </w:t>
      </w:r>
      <w:r>
        <w:t xml:space="preserve">She observed her uncle driving with a single passenger.</w:t>
      </w:r>
      <w:r>
        <w:rPr>
          <w:rStyle w:val="FootnoteReference"/>
        </w:rPr>
        <w:footnoteReference w:id="73"/>
      </w:r>
      <w:r>
        <w:t xml:space="preserve"> </w:t>
      </w:r>
      <w:r>
        <w:t xml:space="preserve">The car pulled into the parking lot where officers would find Mr. Moliere’s dead body several hours later.</w:t>
      </w:r>
      <w:r>
        <w:rPr>
          <w:rStyle w:val="FootnoteReference"/>
        </w:rPr>
        <w:footnoteReference w:id="74"/>
      </w:r>
      <w:r>
        <w:t xml:space="preserve"> </w:t>
      </w:r>
      <w:r>
        <w:t xml:space="preserve">While she could not identify who the passenger was, she could tell that the passenger appeared tall; Ms. Isidore does not consider Mr. Reddick to be tall.</w:t>
      </w:r>
      <w:r>
        <w:rPr>
          <w:rStyle w:val="FootnoteReference"/>
        </w:rPr>
        <w:footnoteReference w:id="75"/>
      </w:r>
    </w:p>
    <w:p>
      <w:pPr>
        <w:pStyle w:val="BodyTextNote"/>
      </w:pPr>
      <w:r>
        <w:t xml:space="preserve">Ms. Isidore testified that Mr. Darryl Williams, the State’s only alleged eyewitness to Mr. Moliere’s death, is tall.</w:t>
      </w:r>
      <w:r>
        <w:rPr>
          <w:rStyle w:val="FootnoteReference"/>
        </w:rPr>
        <w:footnoteReference w:id="76"/>
      </w:r>
      <w:r>
        <w:t xml:space="preserve"> </w:t>
      </w:r>
      <w:r>
        <w:t xml:space="preserve">Mr. Williams—a 6’3” “slow” and highly suggestable 19-year-old—told four different accounts of what happened that night.</w:t>
      </w:r>
      <w:r>
        <w:rPr>
          <w:rStyle w:val="FootnoteReference"/>
        </w:rPr>
        <w:footnoteReference w:id="77"/>
      </w:r>
      <w:r>
        <w:t xml:space="preserve"> </w:t>
      </w:r>
      <w:r>
        <w:t xml:space="preserve">None of his accounts matched any of the other accounts from the witnesses.</w:t>
      </w:r>
      <w:r>
        <w:rPr>
          <w:rStyle w:val="FootnoteReference"/>
        </w:rPr>
        <w:footnoteReference w:id="78"/>
      </w:r>
      <w:r>
        <w:t xml:space="preserve"> </w:t>
      </w:r>
      <w:r>
        <w:t xml:space="preserve">The jury had serious reasons to distrust Mr. Williams’ account. He testified that Mr. Reddick, Mr. Denair Riley, and he were in the car at the time of the murder.</w:t>
      </w:r>
      <w:r>
        <w:rPr>
          <w:rStyle w:val="FootnoteReference"/>
        </w:rPr>
        <w:footnoteReference w:id="79"/>
      </w:r>
      <w:r>
        <w:t xml:space="preserve"> </w:t>
      </w:r>
      <w:r>
        <w:t xml:space="preserve">Evidence at trial strongly demonstrated that Mr. Riley left the bar with others and was not in the vicinity at the time of Mr. Moliere’s murder.</w:t>
      </w:r>
      <w:r>
        <w:rPr>
          <w:rStyle w:val="FootnoteReference"/>
        </w:rPr>
        <w:footnoteReference w:id="80"/>
      </w:r>
      <w:r>
        <w:t xml:space="preserve"> </w:t>
      </w:r>
      <w:r>
        <w:t xml:space="preserve">In fact, the jury learned that Mr. Riley successfully sued the sheriff’s office for false arrest when they arrested him as an accessory based on the flawed account of Mr. Williams.</w:t>
      </w:r>
      <w:r>
        <w:rPr>
          <w:rStyle w:val="FootnoteReference"/>
        </w:rPr>
        <w:footnoteReference w:id="81"/>
      </w:r>
    </w:p>
    <w:p>
      <w:pPr>
        <w:pStyle w:val="BodyTextNote"/>
      </w:pPr>
      <w:r>
        <w:t xml:space="preserve">Two jurors did not believe the State met its burden of proof to convict Mr. Reddick.</w:t>
      </w:r>
      <w:r>
        <w:rPr>
          <w:rStyle w:val="FootnoteReference"/>
        </w:rPr>
        <w:footnoteReference w:id="82"/>
      </w:r>
      <w:r>
        <w:t xml:space="preserve"> </w:t>
      </w:r>
      <w:r>
        <w:t xml:space="preserve">Due to Louisiana’s Jim Crow jury law, Mr. Reddick was nonetheless found guilty and sentenced to life in prison.</w:t>
      </w:r>
    </w:p>
    <w:p>
      <w:pPr>
        <w:keepNext/>
        <w:keepLines/>
        <w:spacing w:before="288" w:after="240" w:line="27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The</w:t>
      </w:r>
      <w:r>
        <w:t xml:space="preserve"> </w:t>
      </w:r>
      <w:r>
        <w:rPr>
          <w:b/>
          <w:bCs/>
          <w:i/>
          <w:iCs/>
        </w:rPr>
        <w:t xml:space="preserve">Ramos</w:t>
      </w:r>
      <w:r>
        <w:t xml:space="preserve"> </w:t>
      </w:r>
      <w:r>
        <w:t xml:space="preserve">decision has a significant impact on Louisiana and nationwide. The new rule it espoused is not merely about requiring unanimity in juries; it ended what some have called the last Jim Crow law in Louisiana. The new rule requires that juries reach constitutional verdicts, an essential part of a fair and accurate trial that had been missing from Louisiana for more than 120 years. It further required deliberation considering the viewpoint of all jurors. It ended a practice that has been a factor in numerous confirmed wrongful convictions. It further exposed a glaring weak spot in the credibility of the courts. In many ways,</w:t>
      </w:r>
      <w:r>
        <w:t xml:space="preserve"> </w:t>
      </w:r>
      <w:r>
        <w:rPr>
          <w:i/>
          <w:iCs/>
        </w:rPr>
        <w:t xml:space="preserve">Ramos</w:t>
      </w:r>
      <w:r>
        <w:t xml:space="preserve"> </w:t>
      </w:r>
      <w:r>
        <w:t xml:space="preserve">parallels</w:t>
      </w:r>
      <w:r>
        <w:t xml:space="preserve"> </w:t>
      </w:r>
      <w:r>
        <w:rPr>
          <w:i/>
          <w:iCs/>
        </w:rPr>
        <w:t xml:space="preserve">Gideon</w:t>
      </w:r>
      <w:r>
        <w:rPr>
          <w:i/>
          <w:iCs/>
        </w:rPr>
        <w:t xml:space="preserve"> </w:t>
      </w:r>
      <w:r>
        <w:rPr>
          <w:i/>
          <w:iCs/>
        </w:rPr>
        <w:t xml:space="preserve">v. Wainwright</w:t>
      </w:r>
      <w:r>
        <w:t xml:space="preserve">, 372 U.S. 335 (1963), in that it helps to ensure that a fair and accurate verdict can be reached in criminal trials.</w:t>
      </w:r>
    </w:p>
    <w:p>
      <w:pPr>
        <w:pStyle w:val="BodyText"/>
      </w:pPr>
      <w:r>
        <w:t xml:space="preserve">The trial court properly used the</w:t>
      </w:r>
      <w:r>
        <w:t xml:space="preserve"> </w:t>
      </w:r>
      <w:r>
        <w:rPr>
          <w:i/>
          <w:iCs/>
        </w:rPr>
        <w:t xml:space="preserve">Teague</w:t>
      </w:r>
      <w:r>
        <w:rPr>
          <w:i/>
          <w:iCs/>
        </w:rPr>
        <w:t xml:space="preserve"> </w:t>
      </w:r>
      <w:r>
        <w:rPr>
          <w:i/>
          <w:iCs/>
        </w:rPr>
        <w:t xml:space="preserve">v. Lane</w:t>
      </w:r>
      <w:r>
        <w:t xml:space="preserve">, 489 U.S. 288 (1989) standard adopted by this Court in</w:t>
      </w:r>
      <w:r>
        <w:t xml:space="preserve"> </w:t>
      </w:r>
      <w:r>
        <w:rPr>
          <w:i/>
          <w:iCs/>
        </w:rPr>
        <w:t xml:space="preserve">Taylor</w:t>
      </w:r>
      <w:r>
        <w:t xml:space="preserve">, 606 So.2d at 1296. Under that standard, “a new rule should be applied retroactively if it requires the observance of those procedures that are implicit in the concept of ordered liberty.”</w:t>
      </w:r>
      <w:r>
        <w:t xml:space="preserve"> </w:t>
      </w:r>
      <w:r>
        <w:rPr>
          <w:i/>
          <w:iCs/>
        </w:rPr>
        <w:t xml:space="preserve">Id.</w:t>
      </w:r>
      <w:r>
        <w:t xml:space="preserve"> </w:t>
      </w:r>
      <w:r>
        <w:t xml:space="preserve">at 1299. “This exception is reserved for watershed rules of criminal procedure and rules which will alter our understanding of the bedrock procedural elements that must be found to vitiate the fairness of a particular conviction.”</w:t>
      </w:r>
      <w:r>
        <w:t xml:space="preserve"> </w:t>
      </w:r>
      <w:r>
        <w:rPr>
          <w:i/>
          <w:iCs/>
        </w:rPr>
        <w:t xml:space="preserve">Id.</w:t>
      </w:r>
      <w:r>
        <w:t xml:space="preserve"> </w:t>
      </w:r>
      <w:r>
        <w:t xml:space="preserve">(internal quotation marks omitted). In other words, a rule is watershed if it calls into question the fundamental fairness and accuracy of convictions.</w:t>
      </w:r>
      <w:r>
        <w:t xml:space="preserve"> </w:t>
      </w:r>
      <w:r>
        <w:rPr>
          <w:b/>
          <w:bCs/>
          <w:i/>
          <w:iCs/>
        </w:rPr>
        <w:t xml:space="preserve">Ramos</w:t>
      </w:r>
      <w:r>
        <w:t xml:space="preserve"> </w:t>
      </w:r>
      <w:r>
        <w:rPr>
          <w:b/>
          <w:bCs/>
        </w:rPr>
        <w:t xml:space="preserve">is watershed.</w:t>
      </w:r>
      <w:r>
        <w:t xml:space="preserve"> </w:t>
      </w:r>
      <w:r>
        <w:t xml:space="preserve">Because</w:t>
      </w:r>
      <w:r>
        <w:t xml:space="preserve"> </w:t>
      </w:r>
      <w:r>
        <w:rPr>
          <w:i/>
          <w:iCs/>
        </w:rPr>
        <w:t xml:space="preserve">Ramos</w:t>
      </w:r>
      <w:r>
        <w:t xml:space="preserve"> </w:t>
      </w:r>
      <w:r>
        <w:t xml:space="preserve">is watershed, this Court should not consider the burden on the State or interests of finality. It must vacate the conviction and allow those with final convictions a new trial.</w:t>
      </w:r>
    </w:p>
    <w:p>
      <w:pPr>
        <w:pStyle w:val="BodyText"/>
      </w:pPr>
      <w:r>
        <w:t xml:space="preserve">In rejecting</w:t>
      </w:r>
      <w:r>
        <w:t xml:space="preserve"> </w:t>
      </w:r>
      <w:r>
        <w:rPr>
          <w:i/>
          <w:iCs/>
        </w:rPr>
        <w:t xml:space="preserve">Ramos’</w:t>
      </w:r>
      <w:r>
        <w:t xml:space="preserve"> </w:t>
      </w:r>
      <w:r>
        <w:t xml:space="preserve">retroactivity for</w:t>
      </w:r>
      <w:r>
        <w:t xml:space="preserve"> </w:t>
      </w:r>
      <w:r>
        <w:rPr>
          <w:i/>
          <w:iCs/>
        </w:rPr>
        <w:t xml:space="preserve">federal collateral review</w:t>
      </w:r>
      <w:r>
        <w:t xml:space="preserve">, the U.S. Supreme Court crucially left the door open to this Court finding</w:t>
      </w:r>
      <w:r>
        <w:t xml:space="preserve"> </w:t>
      </w:r>
      <w:r>
        <w:rPr>
          <w:i/>
          <w:iCs/>
        </w:rPr>
        <w:t xml:space="preserve">Ramos</w:t>
      </w:r>
      <w:r>
        <w:t xml:space="preserve"> </w:t>
      </w:r>
      <w:r>
        <w:t xml:space="preserve">retroactive.</w:t>
      </w:r>
      <w:r>
        <w:t xml:space="preserve"> </w:t>
      </w:r>
      <w:r>
        <w:rPr>
          <w:i/>
          <w:iCs/>
        </w:rPr>
        <w:t xml:space="preserve">Edwards</w:t>
      </w:r>
      <w:r>
        <w:rPr>
          <w:i/>
          <w:iCs/>
        </w:rPr>
        <w:t xml:space="preserve"> </w:t>
      </w:r>
      <w:r>
        <w:rPr>
          <w:i/>
          <w:iCs/>
        </w:rPr>
        <w:t xml:space="preserve">v. Vannoy</w:t>
      </w:r>
      <w:r>
        <w:t xml:space="preserve">, 141 S. Ct. 1547, 1559, 1559 n.6 (2021) (“States remain free, if they choose, to retroactively apply the jury-unanimity rule as a matter of state law in state post-conviction proceedings.”) (citing</w:t>
      </w:r>
      <w:r>
        <w:t xml:space="preserve"> </w:t>
      </w:r>
      <w:r>
        <w:rPr>
          <w:i/>
          <w:iCs/>
        </w:rPr>
        <w:t xml:space="preserve">Danforth</w:t>
      </w:r>
      <w:r>
        <w:rPr>
          <w:i/>
          <w:iCs/>
        </w:rPr>
        <w:t xml:space="preserve"> </w:t>
      </w:r>
      <w:r>
        <w:rPr>
          <w:i/>
          <w:iCs/>
        </w:rPr>
        <w:t xml:space="preserve">v. Minnesota</w:t>
      </w:r>
      <w:r>
        <w:t xml:space="preserve">, 552 U.S. 264, 282 (2008)). The State would have this Court forego the inquiry encouraged by the U.S. Supreme Court and instead simply mimic</w:t>
      </w:r>
      <w:r>
        <w:t xml:space="preserve"> </w:t>
      </w:r>
      <w:r>
        <w:rPr>
          <w:i/>
          <w:iCs/>
        </w:rPr>
        <w:t xml:space="preserve">Edwards</w:t>
      </w:r>
      <w:r>
        <w:t xml:space="preserve">, which speaks only to federal collateral review. In doing so, the State asks this Court to end the watershed test for state collateral review. Such an approach would leave hundreds of individuals convicted by Jim Crow juries without any remedy.</w:t>
      </w:r>
    </w:p>
    <w:p>
      <w:pPr>
        <w:pStyle w:val="BodyText"/>
      </w:pPr>
      <w:r>
        <w:t xml:space="preserve">If the State is going to change the retroactivity test, it should do so in a way that affords a remedy to Mr. Reddick—an innocent man who remains imprisoned because of Louisiana’s Jim Crow jury law. A retroactivity standard that cannot account for the healing necessary in Louisiana to address the injustices inflicted by Jim Crow violates the very principles behind Louisiana’s Individual Dignity Clause. Mr. Reddick asks this Court to consider adding to</w:t>
      </w:r>
      <w:r>
        <w:t xml:space="preserve"> </w:t>
      </w:r>
      <w:r>
        <w:rPr>
          <w:i/>
          <w:iCs/>
        </w:rPr>
        <w:t xml:space="preserve">Taylor</w:t>
      </w:r>
      <w:r>
        <w:t xml:space="preserve">, if the Court deems it necessary to afford relief, so that Jim Crow laws are not allowed to continue to inflict harm in the 21st century.</w:t>
      </w:r>
    </w:p>
    <w:p>
      <w:pPr>
        <w:keepNext/>
        <w:keepLines/>
        <w:spacing w:before="288" w:after="240" w:line="276" w:lineRule="exact"/>
        <w:ind w:left="0" w:firstLine="0"/>
        <w:jc w:val="center"/>
      </w:pPr>
      <w:r>
        <w:rPr>
          <w:b/>
          <w:bCs/>
        </w:rPr>
        <w:t xml:space="preserve">ARGUMENT</w:t>
      </w:r>
    </w:p>
    <w:p>
      <w:pPr>
        <w:keepNext/>
        <w:keepLines/>
        <w:spacing w:before="288" w:after="192" w:line="276" w:lineRule="exact"/>
        <w:ind w:left="0" w:firstLine="0"/>
        <w:jc w:val="left"/>
      </w:pPr>
      <w:r>
        <w:rPr>
          <w:b/>
          <w:bCs/>
        </w:rPr>
        <w:t xml:space="preserve">A.</w:t>
      </w:r>
      <w:r>
        <w:rPr>
          <w:b/>
          <w:bCs/>
        </w:rPr>
        <w:t xml:space="preserve"> </w:t>
      </w:r>
      <w:r>
        <w:rPr>
          <w:b/>
          <w:bCs/>
          <w:i/>
          <w:iCs/>
        </w:rPr>
        <w:t xml:space="preserve">Ramos</w:t>
      </w:r>
      <w:r>
        <w:rPr>
          <w:b/>
          <w:bCs/>
        </w:rPr>
        <w:t xml:space="preserve"> </w:t>
      </w:r>
      <w:r>
        <w:rPr>
          <w:b/>
          <w:bCs/>
        </w:rPr>
        <w:t xml:space="preserve">is</w:t>
      </w:r>
      <w:r>
        <w:rPr>
          <w:b/>
          <w:bCs/>
        </w:rPr>
        <w:t xml:space="preserve"> </w:t>
      </w:r>
      <w:r>
        <w:rPr>
          <w:b/>
          <w:bCs/>
        </w:rPr>
        <w:t xml:space="preserve">different</w:t>
      </w:r>
      <w:r>
        <w:rPr>
          <w:b/>
          <w:bCs/>
        </w:rPr>
        <w:t xml:space="preserve"> </w:t>
      </w:r>
      <w:r>
        <w:rPr>
          <w:b/>
          <w:bCs/>
        </w:rPr>
        <w:t xml:space="preserve">from</w:t>
      </w:r>
      <w:r>
        <w:rPr>
          <w:b/>
          <w:bCs/>
        </w:rPr>
        <w:t xml:space="preserve"> </w:t>
      </w:r>
      <w:r>
        <w:rPr>
          <w:b/>
          <w:bCs/>
        </w:rPr>
        <w:t xml:space="preserve">all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cases</w:t>
      </w:r>
      <w:r>
        <w:rPr>
          <w:b/>
          <w:bCs/>
        </w:rPr>
        <w:t xml:space="preserve"> </w:t>
      </w:r>
      <w:r>
        <w:rPr>
          <w:b/>
          <w:bCs/>
        </w:rPr>
        <w:t xml:space="preserve">that</w:t>
      </w:r>
      <w:r>
        <w:rPr>
          <w:b/>
          <w:bCs/>
        </w:rPr>
        <w:t xml:space="preserve"> </w:t>
      </w:r>
      <w:r>
        <w:rPr>
          <w:b/>
          <w:bCs/>
        </w:rPr>
        <w:t xml:space="preserve">came</w:t>
      </w:r>
      <w:r>
        <w:rPr>
          <w:b/>
          <w:bCs/>
        </w:rPr>
        <w:t xml:space="preserve"> </w:t>
      </w:r>
      <w:r>
        <w:rPr>
          <w:b/>
          <w:bCs/>
        </w:rPr>
        <w:t xml:space="preserve">before</w:t>
      </w:r>
      <w:r>
        <w:rPr>
          <w:b/>
          <w:bCs/>
        </w:rPr>
        <w:t xml:space="preserve"> </w:t>
      </w:r>
      <w:r>
        <w:rPr>
          <w:b/>
          <w:bCs/>
        </w:rPr>
        <w:t xml:space="preserve">it.</w:t>
      </w:r>
    </w:p>
    <w:p>
      <w:pPr>
        <w:pStyle w:val="BodyText"/>
      </w:pPr>
      <w:r>
        <w:t xml:space="preserve">In</w:t>
      </w:r>
      <w:r>
        <w:t xml:space="preserve"> </w:t>
      </w:r>
      <w:r>
        <w:rPr>
          <w:i/>
          <w:iCs/>
        </w:rPr>
        <w:t xml:space="preserve">Ramos</w:t>
      </w:r>
      <w:r>
        <w:t xml:space="preserve">, the U.S. Supreme Court confirmed that the Sixth Amendment right to a jury trial requires a unanimous jury verdict to convict a defendant of a serious offense in state trials. 140</w:t>
      </w:r>
      <w:r>
        <w:t xml:space="preserve"> </w:t>
      </w:r>
      <w:r>
        <w:t xml:space="preserve">S. Ct. 1390. The</w:t>
      </w:r>
      <w:r>
        <w:t xml:space="preserve"> </w:t>
      </w:r>
      <w:r>
        <w:rPr>
          <w:i/>
          <w:iCs/>
        </w:rPr>
        <w:t xml:space="preserve">Ramos</w:t>
      </w:r>
      <w:r>
        <w:t xml:space="preserve"> </w:t>
      </w:r>
      <w:r>
        <w:t xml:space="preserve">decision’s effect is momentous and sweeping for the fairness and accuracy of trials in Louisiana. No longer will Louisiana convict individuals when some jurors find that the State failed to meet its burden of proof.</w:t>
      </w:r>
    </w:p>
    <w:p>
      <w:pPr>
        <w:keepNext/>
        <w:keepLines/>
        <w:spacing w:before="264" w:after="144" w:line="276" w:lineRule="exact"/>
        <w:ind w:left="0" w:firstLine="0"/>
        <w:jc w:val="left"/>
      </w:pPr>
      <w:r>
        <w:rPr>
          <w:b/>
          <w:bCs/>
        </w:rPr>
        <w:t xml:space="preserve">1.</w:t>
      </w:r>
      <w:r>
        <w:rPr>
          <w:b/>
          <w:bCs/>
        </w:rPr>
        <w:t xml:space="preserve"> </w:t>
      </w:r>
      <w:r>
        <w:rPr>
          <w:b/>
          <w:bCs/>
          <w:i/>
          <w:iCs/>
        </w:rPr>
        <w:t xml:space="preserve">Ramos</w:t>
      </w:r>
      <w:r>
        <w:rPr>
          <w:b/>
          <w:bCs/>
        </w:rPr>
        <w:t xml:space="preserve"> </w:t>
      </w:r>
      <w:r>
        <w:rPr>
          <w:b/>
          <w:bCs/>
        </w:rPr>
        <w:t xml:space="preserve">ended</w:t>
      </w:r>
      <w:r>
        <w:rPr>
          <w:b/>
          <w:bCs/>
        </w:rPr>
        <w:t xml:space="preserve"> </w:t>
      </w:r>
      <w:r>
        <w:rPr>
          <w:b/>
          <w:bCs/>
        </w:rPr>
        <w:t xml:space="preserve">“an</w:t>
      </w:r>
      <w:r>
        <w:rPr>
          <w:b/>
          <w:bCs/>
        </w:rPr>
        <w:t xml:space="preserve"> </w:t>
      </w:r>
      <w:r>
        <w:rPr>
          <w:b/>
          <w:bCs/>
        </w:rPr>
        <w:t xml:space="preserve">engine</w:t>
      </w:r>
      <w:r>
        <w:rPr>
          <w:b/>
          <w:bCs/>
        </w:rPr>
        <w:t xml:space="preserve"> </w:t>
      </w:r>
      <w:r>
        <w:rPr>
          <w:b/>
          <w:bCs/>
        </w:rPr>
        <w:t xml:space="preserve">of</w:t>
      </w:r>
      <w:r>
        <w:rPr>
          <w:b/>
          <w:bCs/>
        </w:rPr>
        <w:t xml:space="preserve"> </w:t>
      </w:r>
      <w:r>
        <w:rPr>
          <w:b/>
          <w:bCs/>
        </w:rPr>
        <w:t xml:space="preserve">discrimination.”</w:t>
      </w:r>
    </w:p>
    <w:p>
      <w:pPr>
        <w:pStyle w:val="BodyTextNote"/>
      </w:pPr>
      <w:r>
        <w:t xml:space="preserve">Louisiana and Oregon were the only states to convict people for serious offenses without a unanimous jury verdict.</w:t>
      </w:r>
      <w:r>
        <w:t xml:space="preserve"> </w:t>
      </w:r>
      <w:r>
        <w:rPr>
          <w:i/>
          <w:iCs/>
        </w:rPr>
        <w:t xml:space="preserve">Ramos</w:t>
      </w:r>
      <w:r>
        <w:t xml:space="preserve">, 140 S. Ct. at 1394.</w:t>
      </w:r>
      <w:r>
        <w:rPr>
          <w:rStyle w:val="FootnoteReference"/>
        </w:rPr>
        <w:footnoteReference w:id="83"/>
      </w:r>
      <w:r>
        <w:t xml:space="preserve"> </w:t>
      </w:r>
      <w:r>
        <w:t xml:space="preserve">In addition to being inconsistent with the vast majority of criminal procedure practices across the country, Louisiana’s non-unanimous jury rule was born from the Jim Crow era.</w:t>
      </w:r>
      <w:r>
        <w:t xml:space="preserve"> </w:t>
      </w:r>
      <w:r>
        <w:rPr>
          <w:i/>
          <w:iCs/>
        </w:rPr>
        <w:t xml:space="preserve">Id.</w:t>
      </w:r>
      <w:r>
        <w:t xml:space="preserve"> </w:t>
      </w:r>
      <w:r>
        <w:t xml:space="preserve">The</w:t>
      </w:r>
      <w:r>
        <w:t xml:space="preserve"> </w:t>
      </w:r>
      <w:r>
        <w:rPr>
          <w:i/>
          <w:iCs/>
        </w:rPr>
        <w:t xml:space="preserve">Ramos</w:t>
      </w:r>
      <w:r>
        <w:t xml:space="preserve"> </w:t>
      </w:r>
      <w:r>
        <w:t xml:space="preserve">court explained that “[w]ith a careful eye on racial demographics, the [1898 Constitutional] convention delegates sculpted a ‘facially race-neutral’ rule permitting 10-to</w:t>
      </w:r>
      <w:r>
        <w:noBreakHyphen/>
      </w:r>
      <w:r>
        <w:t xml:space="preserve">2 verdicts in order to ensure that African-American juror service would be meaningless.”</w:t>
      </w:r>
      <w:r>
        <w:t xml:space="preserve"> </w:t>
      </w:r>
      <w:r>
        <w:rPr>
          <w:i/>
          <w:iCs/>
        </w:rPr>
        <w:t xml:space="preserve">Id.</w:t>
      </w:r>
      <w:r>
        <w:t xml:space="preserve"> </w:t>
      </w:r>
      <w:r>
        <w:t xml:space="preserve">(internal quotation marks omitted). Louisiana enacted the law to silence the voices of jurors and convict more Black people.</w:t>
      </w:r>
      <w:r>
        <w:t xml:space="preserve"> </w:t>
      </w:r>
      <w:r>
        <w:rPr>
          <w:i/>
          <w:iCs/>
        </w:rPr>
        <w:t xml:space="preserve">Id.</w:t>
      </w:r>
      <w:r>
        <w:t xml:space="preserve"> </w:t>
      </w:r>
      <w:r>
        <w:t xml:space="preserve">at 1417–18 (Kavanaugh, J., concurring). Not surprisingly, the practice operated as designed.</w:t>
      </w:r>
      <w:r>
        <w:t xml:space="preserve"> </w:t>
      </w:r>
      <w:r>
        <w:rPr>
          <w:i/>
          <w:iCs/>
        </w:rPr>
        <w:t xml:space="preserve">Id.</w:t>
      </w:r>
      <w:r>
        <w:rPr>
          <w:rStyle w:val="FootnoteReference"/>
        </w:rPr>
        <w:footnoteReference w:id="84"/>
      </w:r>
      <w:r>
        <w:t xml:space="preserve"> </w:t>
      </w:r>
      <w:r>
        <w:t xml:space="preserve">This case is about whether the historic decision announced in</w:t>
      </w:r>
      <w:r>
        <w:t xml:space="preserve"> </w:t>
      </w:r>
      <w:r>
        <w:rPr>
          <w:i/>
          <w:iCs/>
        </w:rPr>
        <w:t xml:space="preserve">Ramos</w:t>
      </w:r>
      <w:r>
        <w:t xml:space="preserve"> </w:t>
      </w:r>
      <w:r>
        <w:t xml:space="preserve">will apply retroactively to the people who continue to sit in prison without a constitutional conviction, based on a Jim Crow law.</w:t>
      </w:r>
    </w:p>
    <w:p>
      <w:pPr>
        <w:keepNext/>
        <w:keepLines/>
        <w:spacing w:before="264" w:after="144" w:line="276" w:lineRule="exact"/>
        <w:ind w:left="0" w:firstLine="0"/>
        <w:jc w:val="left"/>
      </w:pPr>
      <w:r>
        <w:rPr>
          <w:b/>
          <w:bCs/>
        </w:rPr>
        <w:t xml:space="preserve">a.</w:t>
      </w:r>
      <w:r>
        <w:rPr>
          <w:b/>
          <w:bCs/>
        </w:rPr>
        <w:t xml:space="preserve"> </w:t>
      </w:r>
      <w:r>
        <w:rPr>
          <w:b/>
          <w:bCs/>
        </w:rPr>
        <w:t xml:space="preserve">It</w:t>
      </w:r>
      <w:r>
        <w:rPr>
          <w:b/>
          <w:bCs/>
        </w:rPr>
        <w:t xml:space="preserve"> </w:t>
      </w:r>
      <w:r>
        <w:rPr>
          <w:b/>
          <w:bCs/>
        </w:rPr>
        <w:t xml:space="preserve">is</w:t>
      </w:r>
      <w:r>
        <w:rPr>
          <w:b/>
          <w:bCs/>
        </w:rPr>
        <w:t xml:space="preserve"> </w:t>
      </w:r>
      <w:r>
        <w:rPr>
          <w:b/>
          <w:bCs/>
        </w:rPr>
        <w:t xml:space="preserve">indisputable</w:t>
      </w:r>
      <w:r>
        <w:rPr>
          <w:b/>
          <w:bCs/>
        </w:rPr>
        <w:t xml:space="preserve"> </w:t>
      </w:r>
      <w:r>
        <w:rPr>
          <w:b/>
          <w:bCs/>
        </w:rPr>
        <w:t xml:space="preserve">Louisiana’s</w:t>
      </w:r>
      <w:r>
        <w:rPr>
          <w:b/>
          <w:bCs/>
        </w:rPr>
        <w:t xml:space="preserve"> </w:t>
      </w:r>
      <w:r>
        <w:rPr>
          <w:b/>
          <w:bCs/>
        </w:rPr>
        <w:t xml:space="preserve">non-unanimity</w:t>
      </w:r>
      <w:r>
        <w:rPr>
          <w:b/>
          <w:bCs/>
        </w:rPr>
        <w:t xml:space="preserve"> </w:t>
      </w:r>
      <w:r>
        <w:rPr>
          <w:b/>
          <w:bCs/>
        </w:rPr>
        <w:t xml:space="preserve">law</w:t>
      </w:r>
      <w:r>
        <w:rPr>
          <w:b/>
          <w:bCs/>
        </w:rPr>
        <w:t xml:space="preserve"> </w:t>
      </w:r>
      <w:r>
        <w:rPr>
          <w:b/>
          <w:bCs/>
        </w:rPr>
        <w:t xml:space="preserve">emerged</w:t>
      </w:r>
      <w:r>
        <w:rPr>
          <w:b/>
          <w:bCs/>
        </w:rPr>
        <w:t xml:space="preserve"> </w:t>
      </w:r>
      <w:r>
        <w:rPr>
          <w:b/>
          <w:bCs/>
        </w:rPr>
        <w:t xml:space="preserve">from</w:t>
      </w:r>
      <w:r>
        <w:rPr>
          <w:b/>
          <w:bCs/>
        </w:rPr>
        <w:t xml:space="preserve"> </w:t>
      </w:r>
      <w:r>
        <w:rPr>
          <w:b/>
          <w:bCs/>
        </w:rPr>
        <w:t xml:space="preserve">delegates’</w:t>
      </w:r>
      <w:r>
        <w:rPr>
          <w:b/>
          <w:bCs/>
        </w:rPr>
        <w:t xml:space="preserve"> </w:t>
      </w:r>
      <w:r>
        <w:rPr>
          <w:b/>
          <w:bCs/>
        </w:rPr>
        <w:t xml:space="preserve">racist</w:t>
      </w:r>
      <w:r>
        <w:rPr>
          <w:b/>
          <w:bCs/>
        </w:rPr>
        <w:t xml:space="preserve"> </w:t>
      </w:r>
      <w:r>
        <w:rPr>
          <w:b/>
          <w:bCs/>
        </w:rPr>
        <w:t xml:space="preserve">intent.</w:t>
      </w:r>
    </w:p>
    <w:p>
      <w:pPr>
        <w:pStyle w:val="BodyTextNote"/>
      </w:pPr>
      <w:r>
        <w:t xml:space="preserve">There can be no doubt that the constitutional and statutory provisions allowing for non-unanimous jury verdicts were expressly designed to discriminate against Black residents on the basis of race. Every Louisiana constitution prior to 1898 included a right to a unanimous jury trial in step with the right guaranteed in the Sixth Amendment.</w:t>
      </w:r>
      <w:r>
        <w:rPr>
          <w:rStyle w:val="FootnoteReference"/>
        </w:rPr>
        <w:footnoteReference w:id="85"/>
      </w:r>
      <w:r>
        <w:t xml:space="preserve"> </w:t>
      </w:r>
      <w:r>
        <w:t xml:space="preserve">While the U.S. Supreme Court decided</w:t>
      </w:r>
      <w:r>
        <w:t xml:space="preserve"> </w:t>
      </w:r>
      <w:r>
        <w:rPr>
          <w:i/>
          <w:iCs/>
        </w:rPr>
        <w:t xml:space="preserve">Ramos</w:t>
      </w:r>
      <w:r>
        <w:t xml:space="preserve"> </w:t>
      </w:r>
      <w:r>
        <w:t xml:space="preserve">under the Sixth Amendment, as incorporated to the states in the Fourteenth Amendment, there is also no denying that at its core, the decision is a strong statement on racial injustice.</w:t>
      </w:r>
    </w:p>
    <w:p>
      <w:pPr>
        <w:pStyle w:val="BodyText"/>
      </w:pPr>
      <w:r>
        <w:t xml:space="preserve">The Court described the origin of the Louisiana non-unanimity laws at a constitutional convention intended to “establish the supremacy of the white race.”</w:t>
      </w:r>
      <w:r>
        <w:t xml:space="preserve"> </w:t>
      </w:r>
      <w:r>
        <w:rPr>
          <w:i/>
          <w:iCs/>
        </w:rPr>
        <w:t xml:space="preserve">Ramos</w:t>
      </w:r>
      <w:r>
        <w:t xml:space="preserve">, 140 S. Ct. at 1394 (internal quotation marks omitted). The justices were not subtle about the role race played in Louisiana’s non-unanimity practice. How could they be? The evidence overwhelmingly supported the Court’s conclusion that the delegates intended to dilute the influence on jurors “of racial, ethnic and religious minorities” and “to ensure that African-American juror service would be meaningless”</w:t>
      </w:r>
      <w:r>
        <w:t xml:space="preserve"> </w:t>
      </w:r>
      <w:r>
        <w:rPr>
          <w:i/>
          <w:iCs/>
        </w:rPr>
        <w:t xml:space="preserve">Id</w:t>
      </w:r>
      <w:r>
        <w:t xml:space="preserve">. In short, the</w:t>
      </w:r>
      <w:r>
        <w:t xml:space="preserve"> </w:t>
      </w:r>
      <w:r>
        <w:rPr>
          <w:i/>
          <w:iCs/>
        </w:rPr>
        <w:t xml:space="preserve">Ramos</w:t>
      </w:r>
      <w:r>
        <w:t xml:space="preserve"> </w:t>
      </w:r>
      <w:r>
        <w:t xml:space="preserve">decision ended “an engine of discrimination against Black defendants.”</w:t>
      </w:r>
      <w:r>
        <w:t xml:space="preserve"> </w:t>
      </w:r>
      <w:r>
        <w:rPr>
          <w:i/>
          <w:iCs/>
        </w:rPr>
        <w:t xml:space="preserve">Id.</w:t>
      </w:r>
      <w:r>
        <w:t xml:space="preserve"> </w:t>
      </w:r>
      <w:r>
        <w:t xml:space="preserve">at 1418 (Kavanaugh, J., concurring). In light of the racist origins, “it is no surprise that non-unanimous juries can make a difference” and that “then and now” they can “negate the votes of black jurors, especially in cases with black defendants or black victims.”</w:t>
      </w:r>
      <w:r>
        <w:t xml:space="preserve"> </w:t>
      </w:r>
      <w:r>
        <w:rPr>
          <w:i/>
          <w:iCs/>
        </w:rPr>
        <w:t xml:space="preserve">Id.</w:t>
      </w:r>
      <w:r>
        <w:t xml:space="preserve"> </w:t>
      </w:r>
      <w:r>
        <w:t xml:space="preserve">at 1417–18. Simply put, the unanimity rule announced in</w:t>
      </w:r>
      <w:r>
        <w:t xml:space="preserve"> </w:t>
      </w:r>
      <w:r>
        <w:rPr>
          <w:i/>
          <w:iCs/>
        </w:rPr>
        <w:t xml:space="preserve">Ramos</w:t>
      </w:r>
      <w:r>
        <w:t xml:space="preserve"> </w:t>
      </w:r>
      <w:r>
        <w:t xml:space="preserve">helps prevent “racial prejudice” from resulting in wrongful convictions.</w:t>
      </w:r>
      <w:r>
        <w:t xml:space="preserve"> </w:t>
      </w:r>
      <w:r>
        <w:rPr>
          <w:i/>
          <w:iCs/>
        </w:rPr>
        <w:t xml:space="preserve">Id.</w:t>
      </w:r>
      <w:r>
        <w:t xml:space="preserve"> </w:t>
      </w:r>
      <w:r>
        <w:t xml:space="preserve">at 1418–19.</w:t>
      </w:r>
    </w:p>
    <w:p>
      <w:pPr>
        <w:pStyle w:val="BodyText"/>
      </w:pPr>
      <w:r>
        <w:t xml:space="preserve">The new rule announced in</w:t>
      </w:r>
      <w:r>
        <w:t xml:space="preserve"> </w:t>
      </w:r>
      <w:r>
        <w:rPr>
          <w:i/>
          <w:iCs/>
        </w:rPr>
        <w:t xml:space="preserve">Ramos</w:t>
      </w:r>
      <w:r>
        <w:t xml:space="preserve"> </w:t>
      </w:r>
      <w:r>
        <w:t xml:space="preserve">is in direct response to explicit racism, where many other decisions announcing new rules resulted from cases that only had atmospheric racism. For instance,</w:t>
      </w:r>
      <w:r>
        <w:t xml:space="preserve"> </w:t>
      </w:r>
      <w:r>
        <w:rPr>
          <w:i/>
          <w:iCs/>
        </w:rPr>
        <w:t xml:space="preserve">Duncan</w:t>
      </w:r>
      <w:r>
        <w:rPr>
          <w:i/>
          <w:iCs/>
        </w:rPr>
        <w:t xml:space="preserve"> </w:t>
      </w:r>
      <w:r>
        <w:rPr>
          <w:i/>
          <w:iCs/>
        </w:rPr>
        <w:t xml:space="preserve">v. Louisiana</w:t>
      </w:r>
      <w:r>
        <w:t xml:space="preserve">, 391 U.S. 145 (1968), involved a 19-year-old Black teenager who became involved in an argument with a group of White teenagers in the early days of integration at a Plaquemines Parish high school.</w:t>
      </w:r>
      <w:r>
        <w:t xml:space="preserve"> </w:t>
      </w:r>
      <w:r>
        <w:rPr>
          <w:i/>
          <w:iCs/>
        </w:rPr>
        <w:t xml:space="preserve">Id.</w:t>
      </w:r>
      <w:r>
        <w:t xml:space="preserve"> </w:t>
      </w:r>
      <w:r>
        <w:t xml:space="preserve">at 147. Mr. Duncan returned to his car and was trying to leave when he made physical contact with the elbow of one of the White teens.</w:t>
      </w:r>
      <w:r>
        <w:t xml:space="preserve"> </w:t>
      </w:r>
      <w:r>
        <w:rPr>
          <w:i/>
          <w:iCs/>
        </w:rPr>
        <w:t xml:space="preserve">Id.</w:t>
      </w:r>
      <w:r>
        <w:t xml:space="preserve"> </w:t>
      </w:r>
      <w:r>
        <w:t xml:space="preserve">Police arrested him and charged him with simple assault—a misdemeanor in Louisiana that carries up to two years.</w:t>
      </w:r>
      <w:r>
        <w:t xml:space="preserve"> </w:t>
      </w:r>
      <w:r>
        <w:rPr>
          <w:i/>
          <w:iCs/>
        </w:rPr>
        <w:t xml:space="preserve">Id.</w:t>
      </w:r>
      <w:r>
        <w:t xml:space="preserve"> </w:t>
      </w:r>
      <w:r>
        <w:t xml:space="preserve">at 146. Louisiana law denied him a jury, and after a bench trial, the judge sentenced him to 60 days.</w:t>
      </w:r>
      <w:r>
        <w:t xml:space="preserve"> </w:t>
      </w:r>
      <w:r>
        <w:rPr>
          <w:i/>
          <w:iCs/>
        </w:rPr>
        <w:t xml:space="preserve">Id.</w:t>
      </w:r>
      <w:r>
        <w:t xml:space="preserve"> </w:t>
      </w:r>
      <w:r>
        <w:t xml:space="preserve">The U.S. Supreme Court held that the Sixth Amendment entitled Mr. Duncan to the option of a jury trial, but despite the clear racial overtones of the case, the Court did not state or suggest that Louisiana had deprived him of that jury trial based on lawmakers’ racist intent; the racial history is atmospheric in the</w:t>
      </w:r>
      <w:r>
        <w:t xml:space="preserve"> </w:t>
      </w:r>
      <w:r>
        <w:rPr>
          <w:i/>
          <w:iCs/>
        </w:rPr>
        <w:t xml:space="preserve">Duncan</w:t>
      </w:r>
      <w:r>
        <w:t xml:space="preserve"> </w:t>
      </w:r>
      <w:r>
        <w:t xml:space="preserve">decision. In</w:t>
      </w:r>
      <w:r>
        <w:t xml:space="preserve"> </w:t>
      </w:r>
      <w:r>
        <w:rPr>
          <w:i/>
          <w:iCs/>
        </w:rPr>
        <w:t xml:space="preserve">Ramos</w:t>
      </w:r>
      <w:r>
        <w:t xml:space="preserve">, it is central.</w:t>
      </w:r>
    </w:p>
    <w:p>
      <w:pPr>
        <w:keepNext/>
        <w:keepLines/>
        <w:spacing w:before="264" w:after="144" w:line="276" w:lineRule="exact"/>
        <w:ind w:left="0" w:firstLine="0"/>
        <w:jc w:val="left"/>
      </w:pPr>
      <w:r>
        <w:rPr>
          <w:b/>
          <w:bCs/>
        </w:rPr>
        <w:t xml:space="preserve">b.</w:t>
      </w:r>
      <w:r>
        <w:rPr>
          <w:b/>
          <w:bCs/>
        </w:rPr>
        <w:t xml:space="preserve"> </w:t>
      </w:r>
      <w:r>
        <w:rPr>
          <w:b/>
          <w:bCs/>
        </w:rPr>
        <w:t xml:space="preserve">Jim</w:t>
      </w:r>
      <w:r>
        <w:rPr>
          <w:b/>
          <w:bCs/>
        </w:rPr>
        <w:t xml:space="preserve"> </w:t>
      </w:r>
      <w:r>
        <w:rPr>
          <w:b/>
          <w:bCs/>
        </w:rPr>
        <w:t xml:space="preserve">Crow</w:t>
      </w:r>
      <w:r>
        <w:rPr>
          <w:b/>
          <w:bCs/>
        </w:rPr>
        <w:t xml:space="preserve"> </w:t>
      </w:r>
      <w:r>
        <w:rPr>
          <w:b/>
          <w:bCs/>
        </w:rPr>
        <w:t xml:space="preserve">jury</w:t>
      </w:r>
      <w:r>
        <w:rPr>
          <w:b/>
          <w:bCs/>
        </w:rPr>
        <w:t xml:space="preserve"> </w:t>
      </w:r>
      <w:r>
        <w:rPr>
          <w:b/>
          <w:bCs/>
        </w:rPr>
        <w:t xml:space="preserve">verdicts</w:t>
      </w:r>
      <w:r>
        <w:rPr>
          <w:b/>
          <w:bCs/>
        </w:rPr>
        <w:t xml:space="preserve"> </w:t>
      </w:r>
      <w:r>
        <w:rPr>
          <w:b/>
          <w:bCs/>
        </w:rPr>
        <w:t xml:space="preserve">are</w:t>
      </w:r>
      <w:r>
        <w:rPr>
          <w:b/>
          <w:bCs/>
        </w:rPr>
        <w:t xml:space="preserve"> </w:t>
      </w:r>
      <w:r>
        <w:rPr>
          <w:b/>
          <w:bCs/>
        </w:rPr>
        <w:t xml:space="preserve">racially</w:t>
      </w:r>
      <w:r>
        <w:rPr>
          <w:b/>
          <w:bCs/>
        </w:rPr>
        <w:t xml:space="preserve"> </w:t>
      </w:r>
      <w:r>
        <w:rPr>
          <w:b/>
          <w:bCs/>
        </w:rPr>
        <w:t xml:space="preserve">discriminatory.</w:t>
      </w:r>
    </w:p>
    <w:p>
      <w:pPr>
        <w:pStyle w:val="BodyText"/>
      </w:pPr>
      <w:r>
        <w:t xml:space="preserve">Non-unanimous jury verdicts have operated as designed. As provided to the trial court, researchers have studied the racial disparity associated with non-unanimous Jim Crow juries. In</w:t>
      </w:r>
      <w:r>
        <w:t xml:space="preserve"> </w:t>
      </w:r>
      <w:r>
        <w:rPr>
          <w:i/>
          <w:iCs/>
        </w:rPr>
        <w:t xml:space="preserve">State</w:t>
      </w:r>
      <w:r>
        <w:rPr>
          <w:i/>
          <w:iCs/>
        </w:rPr>
        <w:t xml:space="preserve"> </w:t>
      </w:r>
      <w:r>
        <w:rPr>
          <w:i/>
          <w:iCs/>
        </w:rPr>
        <w:t xml:space="preserve">v. Maxie</w:t>
      </w:r>
      <w:r>
        <w:t xml:space="preserve">, No. 13-CR</w:t>
      </w:r>
      <w:r>
        <w:noBreakHyphen/>
      </w:r>
      <w:r>
        <w:t xml:space="preserve">72522 (La. 11th Jud. Dist., Oct. 11, 2018), the court accepted evidence presented by Professor Thomas Frampton. Reddick App. at 1, p. 63–64. Professor Frampton analyzed a dataset of 2,280 Louisianan juror votes, and from that dataset he found that Black jurors cast 31.3% of the overall votes but represented 51.2% of the silenced, or “empty,” jury votes. Reddick App. at 1, p. 64. Based on the number of White juror votes, which made up 64% of the votes cast, White jurors made up only 43% of the silenced or “empty” jury votes.</w:t>
      </w:r>
      <w:r>
        <w:t xml:space="preserve"> </w:t>
      </w:r>
      <w:r>
        <w:rPr>
          <w:i/>
          <w:iCs/>
        </w:rPr>
        <w:t xml:space="preserve">Id.</w:t>
      </w:r>
      <w:r>
        <w:t xml:space="preserve"> </w:t>
      </w:r>
      <w:r>
        <w:t xml:space="preserve">This means that at an absolute level, Black jurors were more likely to have their votes disregarded to a statistically significant degree.</w:t>
      </w:r>
    </w:p>
    <w:p>
      <w:pPr>
        <w:pStyle w:val="BodyText"/>
      </w:pPr>
      <w:r>
        <w:t xml:space="preserve">The</w:t>
      </w:r>
      <w:r>
        <w:t xml:space="preserve"> </w:t>
      </w:r>
      <w:r>
        <w:rPr>
          <w:i/>
          <w:iCs/>
        </w:rPr>
        <w:t xml:space="preserve">Maxie</w:t>
      </w:r>
      <w:r>
        <w:t xml:space="preserve"> </w:t>
      </w:r>
      <w:r>
        <w:t xml:space="preserve">court’s analysis on the racial disparity in defendants convicted by non-unanimous verdicts—an analysis the trial court had before it in this case—showed that Louisiana convicted Black defendants by non-unanimous juries 43% of the time, and White defendants 33% of the time.</w:t>
      </w:r>
      <w:r>
        <w:t xml:space="preserve"> </w:t>
      </w:r>
      <w:r>
        <w:rPr>
          <w:i/>
          <w:iCs/>
        </w:rPr>
        <w:t xml:space="preserve">Id.</w:t>
      </w:r>
      <w:r>
        <w:t xml:space="preserve"> </w:t>
      </w:r>
      <w:r>
        <w:t xml:space="preserve">at p. 24. Comparing the rates of conviction by non-unanimous verdicts, the</w:t>
      </w:r>
      <w:r>
        <w:t xml:space="preserve"> </w:t>
      </w:r>
      <w:r>
        <w:rPr>
          <w:i/>
          <w:iCs/>
        </w:rPr>
        <w:t xml:space="preserve">Maxie</w:t>
      </w:r>
      <w:r>
        <w:t xml:space="preserve"> </w:t>
      </w:r>
      <w:r>
        <w:t xml:space="preserve">court found that Black defendants are 30% more likely to be convicted by non-unanimous juries than White defendants are.</w:t>
      </w:r>
      <w:r>
        <w:t xml:space="preserve"> </w:t>
      </w:r>
      <w:r>
        <w:rPr>
          <w:i/>
          <w:iCs/>
        </w:rPr>
        <w:t xml:space="preserve">Id.</w:t>
      </w:r>
    </w:p>
    <w:p>
      <w:pPr>
        <w:keepNext/>
        <w:keepLines/>
        <w:spacing w:before="264" w:after="144" w:line="276" w:lineRule="exact"/>
        <w:ind w:left="0" w:firstLine="0"/>
        <w:jc w:val="left"/>
      </w:pPr>
      <w:r>
        <w:rPr>
          <w:b/>
          <w:bCs/>
        </w:rPr>
        <w:t xml:space="preserve">c.</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seeks</w:t>
      </w:r>
      <w:r>
        <w:rPr>
          <w:b/>
          <w:bCs/>
        </w:rPr>
        <w:t xml:space="preserve"> </w:t>
      </w:r>
      <w:r>
        <w:rPr>
          <w:b/>
          <w:bCs/>
        </w:rPr>
        <w:t xml:space="preserve">to</w:t>
      </w:r>
      <w:r>
        <w:rPr>
          <w:b/>
          <w:bCs/>
        </w:rPr>
        <w:t xml:space="preserve"> </w:t>
      </w:r>
      <w:r>
        <w:rPr>
          <w:b/>
          <w:bCs/>
        </w:rPr>
        <w:t xml:space="preserve">uphold</w:t>
      </w:r>
      <w:r>
        <w:rPr>
          <w:b/>
          <w:bCs/>
        </w:rPr>
        <w:t xml:space="preserve"> </w:t>
      </w:r>
      <w:r>
        <w:rPr>
          <w:b/>
          <w:bCs/>
        </w:rPr>
        <w:t xml:space="preserve">the</w:t>
      </w:r>
      <w:r>
        <w:rPr>
          <w:b/>
          <w:bCs/>
        </w:rPr>
        <w:t xml:space="preserve"> </w:t>
      </w:r>
      <w:r>
        <w:rPr>
          <w:b/>
          <w:bCs/>
        </w:rPr>
        <w:t xml:space="preserve">Jim</w:t>
      </w:r>
      <w:r>
        <w:rPr>
          <w:b/>
          <w:bCs/>
        </w:rPr>
        <w:t xml:space="preserve"> </w:t>
      </w:r>
      <w:r>
        <w:rPr>
          <w:b/>
          <w:bCs/>
        </w:rPr>
        <w:t xml:space="preserve">Crow</w:t>
      </w:r>
      <w:r>
        <w:rPr>
          <w:b/>
          <w:bCs/>
        </w:rPr>
        <w:t xml:space="preserve"> </w:t>
      </w:r>
      <w:r>
        <w:rPr>
          <w:b/>
          <w:bCs/>
        </w:rPr>
        <w:t xml:space="preserve">impacts</w:t>
      </w:r>
      <w:r>
        <w:rPr>
          <w:b/>
          <w:bCs/>
        </w:rPr>
        <w:t xml:space="preserve"> </w:t>
      </w:r>
      <w:r>
        <w:rPr>
          <w:b/>
          <w:bCs/>
          <w:i/>
          <w:iCs/>
        </w:rPr>
        <w:t xml:space="preserve">Ramos</w:t>
      </w:r>
      <w:r>
        <w:rPr>
          <w:b/>
          <w:bCs/>
        </w:rPr>
        <w:t xml:space="preserve"> </w:t>
      </w:r>
      <w:r>
        <w:rPr>
          <w:b/>
          <w:bCs/>
        </w:rPr>
        <w:t xml:space="preserve">criticized.</w:t>
      </w:r>
    </w:p>
    <w:p>
      <w:pPr>
        <w:pStyle w:val="BodyText"/>
      </w:pPr>
      <w:r>
        <w:t xml:space="preserve">The State takes one line from Mr. Reddick’s post-conviction relief application out of context to suggest that there was no racial taint in the 1973 Louisiana Constitutional Convention, and unconvincingly asserts that this convention cleansed the Jim Crow jury verdict system. State Br. at 23–27. This argument might have succeeded pre-</w:t>
      </w:r>
      <w:r>
        <w:rPr>
          <w:i/>
          <w:iCs/>
        </w:rPr>
        <w:t xml:space="preserve">Ramos</w:t>
      </w:r>
      <w:r>
        <w:t xml:space="preserve">, but, as Justice Alito made clear, a re-adoption of a law cannot cleanse the original racist intent of non-unanimous juries:</w:t>
      </w:r>
    </w:p>
    <w:p>
      <w:pPr>
        <w:pStyle w:val="XdQuoteOnly"/>
      </w:pPr>
      <w:r>
        <w:t xml:space="preserve">Nevertheless, the provision’s origin is relevant under the decision we issued earlier this Term in</w:t>
      </w:r>
      <w:r>
        <w:t xml:space="preserve"> </w:t>
      </w:r>
      <w:r>
        <w:rPr>
          <w:i/>
          <w:iCs/>
        </w:rPr>
        <w:t xml:space="preserve">Ramos</w:t>
      </w:r>
      <w:r>
        <w:t xml:space="preserve"> </w:t>
      </w:r>
      <w:r>
        <w:t xml:space="preserve">v.</w:t>
      </w:r>
      <w:r>
        <w:t xml:space="preserve"> </w:t>
      </w:r>
      <w:r>
        <w:rPr>
          <w:i/>
          <w:iCs/>
        </w:rPr>
        <w:t xml:space="preserve">Louisiana</w:t>
      </w:r>
      <w:r>
        <w:t xml:space="preserve">. The question in</w:t>
      </w:r>
      <w:r>
        <w:t xml:space="preserve"> </w:t>
      </w:r>
      <w:r>
        <w:rPr>
          <w:i/>
          <w:iCs/>
        </w:rPr>
        <w:t xml:space="preserve">Ramos</w:t>
      </w:r>
      <w:r>
        <w:t xml:space="preserve"> </w:t>
      </w:r>
      <w:r>
        <w:t xml:space="preserve">was whether Louisiana and Oregon laws allowing non-unanimous jury verdicts in criminal trials violated the Sixth Amendment. The Court held that they did, emphasizing that the States originally adopted those laws for racially discriminatory reasons. The role of the Ku Klux Klan was highlighted. I argued in dissent that this original motivation, though deplorable, had no bearing on the laws’ constitutionality because such laws can be adopted for non-discriminatory reasons, and “both States readopted their rules under different circumstances in later years.” But I lost, and</w:t>
      </w:r>
      <w:r>
        <w:t xml:space="preserve"> </w:t>
      </w:r>
      <w:r>
        <w:rPr>
          <w:i/>
          <w:iCs/>
        </w:rPr>
        <w:t xml:space="preserve">Ramos</w:t>
      </w:r>
      <w:r>
        <w:t xml:space="preserve"> </w:t>
      </w:r>
      <w:r>
        <w:t xml:space="preserve">is now precedent. If the original motivation for the laws mattered there, it certainly matters here.</w:t>
      </w:r>
    </w:p>
    <w:p>
      <w:pPr>
        <w:pStyle w:val="BodyTextNote"/>
      </w:pPr>
      <w:r>
        <w:rPr>
          <w:i/>
          <w:iCs/>
        </w:rPr>
        <w:t xml:space="preserve">Espinoza</w:t>
      </w:r>
      <w:r>
        <w:rPr>
          <w:i/>
          <w:iCs/>
        </w:rPr>
        <w:t xml:space="preserve"> </w:t>
      </w:r>
      <w:r>
        <w:rPr>
          <w:i/>
          <w:iCs/>
        </w:rPr>
        <w:t xml:space="preserve">v. Mont. Dep’t of Revenue</w:t>
      </w:r>
      <w:r>
        <w:t xml:space="preserve">, 140 S. Ct. 2246, 2267–68 (2020) (Alito, J., concurring) (internal citations omitted) (detailing the origin of the provision at issue as one spawned by virulent prejudice against immigrants, particularly Catholic immigrants). The list of cases that the State provides from other federal circuit courts are now irrelevant.</w:t>
      </w:r>
      <w:r>
        <w:rPr>
          <w:rStyle w:val="FootnoteReference"/>
        </w:rPr>
        <w:footnoteReference w:id="86"/>
      </w:r>
    </w:p>
    <w:p>
      <w:pPr>
        <w:pStyle w:val="BodyText"/>
      </w:pPr>
      <w:r>
        <w:t xml:space="preserve">Regardless, the debate at the 1973 Louisiana Constitutional Convention about readopting the non-unanimous jury provision was not race-neutral. In</w:t>
      </w:r>
      <w:r>
        <w:t xml:space="preserve"> </w:t>
      </w:r>
      <w:r>
        <w:rPr>
          <w:i/>
          <w:iCs/>
        </w:rPr>
        <w:t xml:space="preserve">Maxie</w:t>
      </w:r>
      <w:r>
        <w:t xml:space="preserve">, historian Thomas Aeillo testified about the Convention. The</w:t>
      </w:r>
      <w:r>
        <w:t xml:space="preserve"> </w:t>
      </w:r>
      <w:r>
        <w:rPr>
          <w:i/>
          <w:iCs/>
        </w:rPr>
        <w:t xml:space="preserve">Maxie</w:t>
      </w:r>
      <w:r>
        <w:t xml:space="preserve"> </w:t>
      </w:r>
      <w:r>
        <w:t xml:space="preserve">court held “[h]is testimony also persuasively showed that the 1973 convention was not free from racial consideration and that the delegates at the convention were keenly aware of racial tensions when drafting the new constitution. His testimony provides the historical basis for the Court’s determination that the non-unanimous jury verdict scheme in Louisiana was motivated by invidious racial discrimination.” Reddick App. at 45. Here, the trial court also had access to the testimony and the court’s conclusion.</w:t>
      </w:r>
      <w:r>
        <w:t xml:space="preserve"> </w:t>
      </w:r>
      <w:r>
        <w:rPr>
          <w:i/>
          <w:iCs/>
        </w:rPr>
        <w:t xml:space="preserve">Id.</w:t>
      </w:r>
      <w:r>
        <w:t xml:space="preserve"> </w:t>
      </w:r>
      <w:r>
        <w:t xml:space="preserve">On the convention floor, Delegate Roy argued that the non-unanimous system was discriminatory, especially against minority defendants, but that increasing the majority required from 9</w:t>
      </w:r>
      <w:r>
        <w:noBreakHyphen/>
      </w:r>
      <w:r>
        <w:t xml:space="preserve">3 to 10-to</w:t>
      </w:r>
      <w:r>
        <w:noBreakHyphen/>
      </w:r>
      <w:r>
        <w:t xml:space="preserve">2 could lessen the discrimination. Reddick App. at 1, p. 21.</w:t>
      </w:r>
    </w:p>
    <w:p>
      <w:pPr>
        <w:pStyle w:val="BodyText"/>
      </w:pPr>
      <w:r>
        <w:t xml:space="preserve">“[T]he non-unanimous jury is today the last of Louisiana’s Jim Crow laws.”</w:t>
      </w:r>
      <w:r>
        <w:t xml:space="preserve"> </w:t>
      </w:r>
      <w:r>
        <w:rPr>
          <w:i/>
          <w:iCs/>
        </w:rPr>
        <w:t xml:space="preserve">Ramos</w:t>
      </w:r>
      <w:r>
        <w:t xml:space="preserve">, 140 S. Ct. at 1418 (J. Kavanaugh concurring) (quoting T.</w:t>
      </w:r>
      <w:r>
        <w:t xml:space="preserve"> </w:t>
      </w:r>
      <w:r>
        <w:t xml:space="preserve">Aiello,</w:t>
      </w:r>
      <w:r>
        <w:t xml:space="preserve"> </w:t>
      </w:r>
      <w:r>
        <w:rPr>
          <w:i/>
          <w:iCs/>
        </w:rPr>
        <w:t xml:space="preserve">Jim Crow’s Last Stand: Nonunanimous Criminal Jury Verdicts in Louisiana</w:t>
      </w:r>
      <w:r>
        <w:t xml:space="preserve"> </w:t>
      </w:r>
      <w:r>
        <w:t xml:space="preserve">63 (2015) (written by the historian from</w:t>
      </w:r>
      <w:r>
        <w:t xml:space="preserve"> </w:t>
      </w:r>
      <w:r>
        <w:rPr>
          <w:i/>
          <w:iCs/>
        </w:rPr>
        <w:t xml:space="preserve">Maxie</w:t>
      </w:r>
      <w:r>
        <w:t xml:space="preserve">)). That the State still seeks to defend the last of Louisiana’s Jim Crow laws and the pernicious effects the non-unanimity rule had on Louisianans is shocking to the concept of ordered liberty and fundamental fairness.</w:t>
      </w:r>
    </w:p>
    <w:p>
      <w:pPr>
        <w:keepNext/>
        <w:keepLines/>
        <w:spacing w:before="264" w:after="144" w:line="276" w:lineRule="exact"/>
        <w:ind w:left="0" w:firstLine="0"/>
        <w:jc w:val="left"/>
      </w:pPr>
      <w:r>
        <w:rPr>
          <w:b/>
          <w:bCs/>
        </w:rPr>
        <w:t xml:space="preserve">2.</w:t>
      </w:r>
      <w:r>
        <w:rPr>
          <w:b/>
          <w:bCs/>
        </w:rPr>
        <w:t xml:space="preserve"> </w:t>
      </w:r>
      <w:r>
        <w:rPr>
          <w:b/>
          <w:bCs/>
          <w:i/>
          <w:iCs/>
        </w:rPr>
        <w:t xml:space="preserve">Ramos</w:t>
      </w:r>
      <w:r>
        <w:rPr>
          <w:b/>
          <w:bCs/>
        </w:rPr>
        <w:t xml:space="preserve"> </w:t>
      </w:r>
      <w:r>
        <w:rPr>
          <w:b/>
          <w:bCs/>
        </w:rPr>
        <w:t xml:space="preserve">ensured</w:t>
      </w:r>
      <w:r>
        <w:rPr>
          <w:b/>
          <w:bCs/>
        </w:rPr>
        <w:t xml:space="preserve"> </w:t>
      </w:r>
      <w:r>
        <w:rPr>
          <w:b/>
          <w:bCs/>
        </w:rPr>
        <w:t xml:space="preserve">that</w:t>
      </w:r>
      <w:r>
        <w:rPr>
          <w:b/>
          <w:bCs/>
        </w:rPr>
        <w:t xml:space="preserve"> </w:t>
      </w:r>
      <w:r>
        <w:rPr>
          <w:b/>
          <w:bCs/>
        </w:rPr>
        <w:t xml:space="preserve">convictions</w:t>
      </w:r>
      <w:r>
        <w:rPr>
          <w:b/>
          <w:bCs/>
        </w:rPr>
        <w:t xml:space="preserve"> </w:t>
      </w:r>
      <w:r>
        <w:rPr>
          <w:b/>
          <w:bCs/>
        </w:rPr>
        <w:t xml:space="preserve">have</w:t>
      </w:r>
      <w:r>
        <w:rPr>
          <w:b/>
          <w:bCs/>
        </w:rPr>
        <w:t xml:space="preserve"> </w:t>
      </w:r>
      <w:r>
        <w:rPr>
          <w:b/>
          <w:bCs/>
        </w:rPr>
        <w:t xml:space="preserve">lawful</w:t>
      </w:r>
      <w:r>
        <w:rPr>
          <w:b/>
          <w:bCs/>
        </w:rPr>
        <w:t xml:space="preserve"> </w:t>
      </w:r>
      <w:r>
        <w:rPr>
          <w:b/>
          <w:bCs/>
        </w:rPr>
        <w:t xml:space="preserve">verdicts.</w:t>
      </w:r>
    </w:p>
    <w:p>
      <w:pPr>
        <w:pStyle w:val="BodyText"/>
      </w:pPr>
      <w:r>
        <w:t xml:space="preserve">The</w:t>
      </w:r>
      <w:r>
        <w:t xml:space="preserve"> </w:t>
      </w:r>
      <w:r>
        <w:rPr>
          <w:i/>
          <w:iCs/>
        </w:rPr>
        <w:t xml:space="preserve">Ramos</w:t>
      </w:r>
      <w:r>
        <w:t xml:space="preserve"> </w:t>
      </w:r>
      <w:r>
        <w:t xml:space="preserve">Court proclaimed that a “verdict, taken from eleven, [i]s no verdict at all.” 140</w:t>
      </w:r>
      <w:r>
        <w:t xml:space="preserve"> </w:t>
      </w:r>
      <w:r>
        <w:t xml:space="preserve">S. Ct. at 1395. From 1898 until the U.S. Supreme Court intervened, Louisiana had been giving the appearance of a jury system. There would be jury selection. That jury would hear the evidence. A judge would instruct that jury. They would deliberate. At that point, Louisiana departed from 48 other states. Louisiana allowed a conviction even when the jury did not return a verdict suitable for a constitutional conviction. Nothing could be more central to the accuracy and fairness of a jury trial than having a lawful jury verdict prior to a conviction.</w:t>
      </w:r>
    </w:p>
    <w:p>
      <w:pPr>
        <w:pStyle w:val="BodyText"/>
      </w:pPr>
      <w:r>
        <w:rPr>
          <w:b/>
          <w:bCs/>
          <w:i/>
          <w:iCs/>
        </w:rPr>
        <w:t xml:space="preserve">Ramos</w:t>
      </w:r>
      <w:r>
        <w:t xml:space="preserve"> </w:t>
      </w:r>
      <w:r>
        <w:t xml:space="preserve">is not, as the State suggests, merely about</w:t>
      </w:r>
      <w:r>
        <w:t xml:space="preserve"> </w:t>
      </w:r>
      <w:r>
        <w:rPr>
          <w:i/>
          <w:iCs/>
        </w:rPr>
        <w:t xml:space="preserve">having</w:t>
      </w:r>
      <w:r>
        <w:t xml:space="preserve"> </w:t>
      </w:r>
      <w:r>
        <w:t xml:space="preserve">a jury. State Br. at 8–9. In</w:t>
      </w:r>
      <w:r>
        <w:t xml:space="preserve"> </w:t>
      </w:r>
      <w:r>
        <w:rPr>
          <w:i/>
          <w:iCs/>
        </w:rPr>
        <w:t xml:space="preserve">Duncan</w:t>
      </w:r>
      <w:r>
        <w:t xml:space="preserve">, 391 U.S. 145, the issue was the right to choose a jury trial over a judge trial: a choice between two qualified factfinders. 391 U.S. 145. No one doubts that judges can also serve in the role of factfinder, and that is why our system upholds a defendant’s right to choose. But in</w:t>
      </w:r>
      <w:r>
        <w:t xml:space="preserve"> </w:t>
      </w:r>
      <w:r>
        <w:rPr>
          <w:i/>
          <w:iCs/>
        </w:rPr>
        <w:t xml:space="preserve">Ramos</w:t>
      </w:r>
      <w:r>
        <w:t xml:space="preserve">, there was no lawful verdict from any factfinder, because a non-unanimous verdict is “no verdict at all.” Instead, the factfinder came back</w:t>
      </w:r>
      <w:r>
        <w:t xml:space="preserve"> </w:t>
      </w:r>
      <w:r>
        <w:rPr>
          <w:i/>
          <w:iCs/>
        </w:rPr>
        <w:t xml:space="preserve">without a verdict</w:t>
      </w:r>
      <w:r>
        <w:t xml:space="preserve"> </w:t>
      </w:r>
      <w:r>
        <w:t xml:space="preserve">and the court considered it a</w:t>
      </w:r>
      <w:r>
        <w:t xml:space="preserve"> </w:t>
      </w:r>
      <w:r>
        <w:rPr>
          <w:i/>
          <w:iCs/>
        </w:rPr>
        <w:t xml:space="preserve">guilty verdict.</w:t>
      </w:r>
    </w:p>
    <w:p>
      <w:pPr>
        <w:pStyle w:val="BodyTextNote"/>
      </w:pPr>
      <w:r>
        <w:t xml:space="preserve">Further,</w:t>
      </w:r>
      <w:r>
        <w:t xml:space="preserve"> </w:t>
      </w:r>
      <w:r>
        <w:rPr>
          <w:i/>
          <w:iCs/>
        </w:rPr>
        <w:t xml:space="preserve">Ramos</w:t>
      </w:r>
      <w:r>
        <w:t xml:space="preserve"> </w:t>
      </w:r>
      <w:r>
        <w:t xml:space="preserve">focuses on the critical moment of deciding guilt or innocence. For that reason,</w:t>
      </w:r>
      <w:r>
        <w:t xml:space="preserve"> </w:t>
      </w:r>
      <w:r>
        <w:rPr>
          <w:i/>
          <w:iCs/>
        </w:rPr>
        <w:t xml:space="preserve">Ramos</w:t>
      </w:r>
      <w:r>
        <w:t xml:space="preserve"> </w:t>
      </w:r>
      <w:r>
        <w:t xml:space="preserve">is unlike</w:t>
      </w:r>
      <w:r>
        <w:t xml:space="preserve"> </w:t>
      </w:r>
      <w:r>
        <w:rPr>
          <w:i/>
          <w:iCs/>
        </w:rPr>
        <w:t xml:space="preserve">Mills</w:t>
      </w:r>
      <w:r>
        <w:rPr>
          <w:i/>
          <w:iCs/>
        </w:rPr>
        <w:t xml:space="preserve"> </w:t>
      </w:r>
      <w:r>
        <w:rPr>
          <w:i/>
          <w:iCs/>
        </w:rPr>
        <w:t xml:space="preserve">v. Maryland</w:t>
      </w:r>
      <w:r>
        <w:t xml:space="preserve">, 486 U.S. 367 (1988),</w:t>
      </w:r>
      <w:r>
        <w:t xml:space="preserve"> </w:t>
      </w:r>
      <w:r>
        <w:rPr>
          <w:i/>
          <w:iCs/>
        </w:rPr>
        <w:t xml:space="preserve">Ring</w:t>
      </w:r>
      <w:r>
        <w:rPr>
          <w:i/>
          <w:iCs/>
        </w:rPr>
        <w:t xml:space="preserve"> </w:t>
      </w:r>
      <w:r>
        <w:rPr>
          <w:i/>
          <w:iCs/>
        </w:rPr>
        <w:t xml:space="preserve">v. Arizona</w:t>
      </w:r>
      <w:r>
        <w:t xml:space="preserve">, 536 U.S. 584 (2002), and</w:t>
      </w:r>
      <w:r>
        <w:t xml:space="preserve"> </w:t>
      </w:r>
      <w:r>
        <w:rPr>
          <w:i/>
          <w:iCs/>
        </w:rPr>
        <w:t xml:space="preserve">Caldwell</w:t>
      </w:r>
      <w:r>
        <w:rPr>
          <w:i/>
          <w:iCs/>
        </w:rPr>
        <w:t xml:space="preserve"> </w:t>
      </w:r>
      <w:r>
        <w:rPr>
          <w:i/>
          <w:iCs/>
        </w:rPr>
        <w:t xml:space="preserve">v. Mississippi</w:t>
      </w:r>
      <w:r>
        <w:t xml:space="preserve">, 472 U.S. 320 (1985), because those cases addressed the fairness of sentencing after a jury had unanimously found guilt. As the U.S. Supreme Court explained in</w:t>
      </w:r>
      <w:r>
        <w:t xml:space="preserve"> </w:t>
      </w:r>
      <w:r>
        <w:rPr>
          <w:i/>
          <w:iCs/>
        </w:rPr>
        <w:t xml:space="preserve">Teague</w:t>
      </w:r>
      <w:r>
        <w:t xml:space="preserve">, watershed rules must be about a jury’s determination about guilt or innocence, not the sentencing phase of trial. 489</w:t>
      </w:r>
      <w:r>
        <w:t xml:space="preserve"> </w:t>
      </w:r>
      <w:r>
        <w:t xml:space="preserve">U.S. at 313;</w:t>
      </w:r>
      <w:r>
        <w:t xml:space="preserve"> </w:t>
      </w:r>
      <w:r>
        <w:rPr>
          <w:i/>
          <w:iCs/>
        </w:rPr>
        <w:t xml:space="preserve">see also Edwards</w:t>
      </w:r>
      <w:r>
        <w:t xml:space="preserve">, 141</w:t>
      </w:r>
      <w:r>
        <w:t xml:space="preserve"> </w:t>
      </w:r>
      <w:r>
        <w:t xml:space="preserve">S. Ct. at 1547 (Kagan, J., dissenting) (“</w:t>
      </w:r>
      <w:r>
        <w:rPr>
          <w:i/>
          <w:iCs/>
        </w:rPr>
        <w:t xml:space="preserve">Teague</w:t>
      </w:r>
      <w:r>
        <w:t xml:space="preserve"> </w:t>
      </w:r>
      <w:r>
        <w:t xml:space="preserve">itself explains why sentencing procedures are not watershed: A watershed rule, the Court said there, must go to the jury’s ‘determination of innocence or guilt.’”). Therefore, the cases considering retroactivity of</w:t>
      </w:r>
      <w:r>
        <w:t xml:space="preserve"> </w:t>
      </w:r>
      <w:r>
        <w:rPr>
          <w:i/>
          <w:iCs/>
        </w:rPr>
        <w:t xml:space="preserve">Mills</w:t>
      </w:r>
      <w:r>
        <w:t xml:space="preserve">,</w:t>
      </w:r>
      <w:r>
        <w:t xml:space="preserve"> </w:t>
      </w:r>
      <w:r>
        <w:rPr>
          <w:i/>
          <w:iCs/>
        </w:rPr>
        <w:t xml:space="preserve">Ring</w:t>
      </w:r>
      <w:r>
        <w:t xml:space="preserve">, and</w:t>
      </w:r>
      <w:r>
        <w:t xml:space="preserve"> </w:t>
      </w:r>
      <w:r>
        <w:rPr>
          <w:i/>
          <w:iCs/>
        </w:rPr>
        <w:t xml:space="preserve">Caldwell</w:t>
      </w:r>
      <w:r>
        <w:t xml:space="preserve"> </w:t>
      </w:r>
      <w:r>
        <w:t xml:space="preserve">have little applicability for this Court.</w:t>
      </w:r>
      <w:r>
        <w:rPr>
          <w:rStyle w:val="FootnoteReference"/>
        </w:rPr>
        <w:footnoteReference w:id="87"/>
      </w:r>
    </w:p>
    <w:p>
      <w:pPr>
        <w:pStyle w:val="BodyText"/>
      </w:pPr>
      <w:r>
        <w:rPr>
          <w:i/>
          <w:iCs/>
        </w:rPr>
        <w:t xml:space="preserve">Ramos’</w:t>
      </w:r>
      <w:r>
        <w:t xml:space="preserve"> </w:t>
      </w:r>
      <w:r>
        <w:t xml:space="preserve">rule that no one may be convicted of a serious offense in the absence of a lawful verdict is also unlike the rule announced in</w:t>
      </w:r>
      <w:r>
        <w:t xml:space="preserve"> </w:t>
      </w:r>
      <w:r>
        <w:rPr>
          <w:i/>
          <w:iCs/>
        </w:rPr>
        <w:t xml:space="preserve">Batson</w:t>
      </w:r>
      <w:r>
        <w:rPr>
          <w:i/>
          <w:iCs/>
        </w:rPr>
        <w:t xml:space="preserve"> </w:t>
      </w:r>
      <w:r>
        <w:rPr>
          <w:i/>
          <w:iCs/>
        </w:rPr>
        <w:t xml:space="preserve">v. Kentucky</w:t>
      </w:r>
      <w:r>
        <w:t xml:space="preserve">, 476 U.S. 79 (1986)—that attorneys may not exercise racially discriminatory preemptory challenges to jurors. While</w:t>
      </w:r>
      <w:r>
        <w:t xml:space="preserve"> </w:t>
      </w:r>
      <w:r>
        <w:rPr>
          <w:i/>
          <w:iCs/>
        </w:rPr>
        <w:t xml:space="preserve">Batson</w:t>
      </w:r>
      <w:r>
        <w:t xml:space="preserve"> </w:t>
      </w:r>
      <w:r>
        <w:t xml:space="preserve">certainly changed how jury selection occurs, its relationship to guilt and innocence is speculative and limited.</w:t>
      </w:r>
      <w:r>
        <w:t xml:space="preserve"> </w:t>
      </w:r>
      <w:r>
        <w:rPr>
          <w:i/>
          <w:iCs/>
        </w:rPr>
        <w:t xml:space="preserve">See</w:t>
      </w:r>
      <w:r>
        <w:t xml:space="preserve"> </w:t>
      </w:r>
      <w:r>
        <w:rPr>
          <w:i/>
          <w:iCs/>
        </w:rPr>
        <w:t xml:space="preserve">Allen</w:t>
      </w:r>
      <w:r>
        <w:rPr>
          <w:i/>
          <w:iCs/>
        </w:rPr>
        <w:t xml:space="preserve"> </w:t>
      </w:r>
      <w:r>
        <w:rPr>
          <w:i/>
          <w:iCs/>
        </w:rPr>
        <w:t xml:space="preserve">v. Hardy</w:t>
      </w:r>
      <w:r>
        <w:t xml:space="preserve">, 478 U.S. 255, 259 (1986) (“By serving a criminal defendant’s interest in neutral jury selection procedures, the rule in</w:t>
      </w:r>
      <w:r>
        <w:t xml:space="preserve"> </w:t>
      </w:r>
      <w:r>
        <w:rPr>
          <w:i/>
          <w:iCs/>
        </w:rPr>
        <w:t xml:space="preserve">Batson</w:t>
      </w:r>
      <w:r>
        <w:t xml:space="preserve"> </w:t>
      </w:r>
      <w:r>
        <w:rPr>
          <w:i/>
          <w:iCs/>
        </w:rPr>
        <w:t xml:space="preserve">may</w:t>
      </w:r>
      <w:r>
        <w:t xml:space="preserve"> </w:t>
      </w:r>
      <w:r>
        <w:t xml:space="preserve">have some bearing on the truthfinding function of a criminal trial.”) (emphasis added). Moreover, while race is central in</w:t>
      </w:r>
      <w:r>
        <w:t xml:space="preserve"> </w:t>
      </w:r>
      <w:r>
        <w:rPr>
          <w:i/>
          <w:iCs/>
        </w:rPr>
        <w:t xml:space="preserve">Batson</w:t>
      </w:r>
      <w:r>
        <w:t xml:space="preserve">, unlike in</w:t>
      </w:r>
      <w:r>
        <w:t xml:space="preserve"> </w:t>
      </w:r>
      <w:r>
        <w:rPr>
          <w:i/>
          <w:iCs/>
        </w:rPr>
        <w:t xml:space="preserve">Duncan</w:t>
      </w:r>
      <w:r>
        <w:t xml:space="preserve">,</w:t>
      </w:r>
      <w:r>
        <w:t xml:space="preserve"> </w:t>
      </w:r>
      <w:r>
        <w:rPr>
          <w:i/>
          <w:iCs/>
        </w:rPr>
        <w:t xml:space="preserve">Batson</w:t>
      </w:r>
      <w:r>
        <w:t xml:space="preserve"> </w:t>
      </w:r>
      <w:r>
        <w:t xml:space="preserve">speaks to the federal equal protection right of the</w:t>
      </w:r>
      <w:r>
        <w:t xml:space="preserve"> </w:t>
      </w:r>
      <w:r>
        <w:rPr>
          <w:i/>
          <w:iCs/>
        </w:rPr>
        <w:t xml:space="preserve">juror</w:t>
      </w:r>
      <w:r>
        <w:t xml:space="preserve"> </w:t>
      </w:r>
      <w:r>
        <w:t xml:space="preserve">to serve on a jury, and it is on the juror’s behalf that parties raise</w:t>
      </w:r>
      <w:r>
        <w:t xml:space="preserve"> </w:t>
      </w:r>
      <w:r>
        <w:rPr>
          <w:i/>
          <w:iCs/>
        </w:rPr>
        <w:t xml:space="preserve">Batson</w:t>
      </w:r>
      <w:r>
        <w:t xml:space="preserve"> </w:t>
      </w:r>
      <w:r>
        <w:t xml:space="preserve">challenges.</w:t>
      </w:r>
      <w:r>
        <w:t xml:space="preserve"> </w:t>
      </w:r>
      <w:r>
        <w:rPr>
          <w:i/>
          <w:iCs/>
        </w:rPr>
        <w:t xml:space="preserve">Batson</w:t>
      </w:r>
      <w:r>
        <w:t xml:space="preserve">, 476 U.S. at 87.</w:t>
      </w:r>
      <w:r>
        <w:t xml:space="preserve"> </w:t>
      </w:r>
      <w:r>
        <w:rPr>
          <w:i/>
          <w:iCs/>
        </w:rPr>
        <w:t xml:space="preserve">Compare Ramos</w:t>
      </w:r>
      <w:r>
        <w:t xml:space="preserve">, where the jury has heard all the evidence, been instructed on the law, weighed the evidence, and then returned to the courtroom unable to agree on an appropriate determination of guilt or innocence. The defendant’s rights are the rights that the State violates with non-unanimity.</w:t>
      </w:r>
      <w:r>
        <w:t xml:space="preserve"> </w:t>
      </w:r>
      <w:r>
        <w:rPr>
          <w:i/>
          <w:iCs/>
        </w:rPr>
        <w:t xml:space="preserve">Batson’s</w:t>
      </w:r>
      <w:r>
        <w:t xml:space="preserve"> </w:t>
      </w:r>
      <w:r>
        <w:t xml:space="preserve">front-end rule is far-removed from the verdict; it happens before the State presents any evidence.</w:t>
      </w:r>
      <w:r>
        <w:t xml:space="preserve"> </w:t>
      </w:r>
      <w:r>
        <w:rPr>
          <w:i/>
          <w:iCs/>
        </w:rPr>
        <w:t xml:space="preserve">Ramos’</w:t>
      </w:r>
      <w:r>
        <w:t xml:space="preserve"> </w:t>
      </w:r>
      <w:r>
        <w:t xml:space="preserve">rule is inseparable from the most critical moment in a trial—the verdict.</w:t>
      </w:r>
    </w:p>
    <w:p>
      <w:pPr>
        <w:pStyle w:val="BodyTextNote"/>
      </w:pPr>
      <w:r>
        <w:rPr>
          <w:i/>
          <w:iCs/>
        </w:rPr>
        <w:t xml:space="preserve">Ramos</w:t>
      </w:r>
      <w:r>
        <w:t xml:space="preserve"> </w:t>
      </w:r>
      <w:r>
        <w:t xml:space="preserve">is rooted in the verdict phase. By contrast, cases like</w:t>
      </w:r>
      <w:r>
        <w:t xml:space="preserve"> </w:t>
      </w:r>
      <w:r>
        <w:rPr>
          <w:i/>
          <w:iCs/>
        </w:rPr>
        <w:t xml:space="preserve">Crawford</w:t>
      </w:r>
      <w:r>
        <w:rPr>
          <w:i/>
          <w:iCs/>
        </w:rPr>
        <w:t xml:space="preserve"> </w:t>
      </w:r>
      <w:r>
        <w:rPr>
          <w:i/>
          <w:iCs/>
        </w:rPr>
        <w:t xml:space="preserve">v. Washington</w:t>
      </w:r>
      <w:r>
        <w:t xml:space="preserve">, 541 U.S. 36 (2004), do not meet the standards for retroactivity because they are not rooted in the verdict phase. Mr. Crawford went to trial for a homicide, and the trial court allowed prosecutors to offer Mr. Crawford’s wife’s out-of-court statement as evidence, despite the fact that Washington, like many states, prohibits spouses from testifying against one another.</w:t>
      </w:r>
      <w:r>
        <w:t xml:space="preserve"> </w:t>
      </w:r>
      <w:r>
        <w:rPr>
          <w:i/>
          <w:iCs/>
        </w:rPr>
        <w:t xml:space="preserve">Id.</w:t>
      </w:r>
      <w:r>
        <w:t xml:space="preserve"> </w:t>
      </w:r>
      <w:r>
        <w:t xml:space="preserve">at 38–40. The Washington Supreme Court determined that the function of evidentiary rules was to exclude evidence with insufficient indices of trustworthiness.</w:t>
      </w:r>
      <w:r>
        <w:t xml:space="preserve"> </w:t>
      </w:r>
      <w:r>
        <w:rPr>
          <w:i/>
          <w:iCs/>
        </w:rPr>
        <w:t xml:space="preserve">Id.</w:t>
      </w:r>
      <w:r>
        <w:t xml:space="preserve"> </w:t>
      </w:r>
      <w:r>
        <w:t xml:space="preserve">at 68. After using a nine-part test to examine the trustworthiness of Mrs. Crawford’s statement to police, the court found sufficient indices to admit the evidence.</w:t>
      </w:r>
      <w:r>
        <w:t xml:space="preserve"> </w:t>
      </w:r>
      <w:r>
        <w:rPr>
          <w:i/>
          <w:iCs/>
        </w:rPr>
        <w:t xml:space="preserve">Id.</w:t>
      </w:r>
      <w:r>
        <w:t xml:space="preserve"> </w:t>
      </w:r>
      <w:r>
        <w:t xml:space="preserve">The U.S. Supreme Court reversed on Confrontation Clause grounds, finding that the right to confront a witness is a matter of fairness, but has no fundamental role in the resulting verdict.</w:t>
      </w:r>
      <w:r>
        <w:rPr>
          <w:rStyle w:val="FootnoteReference"/>
        </w:rPr>
        <w:footnoteReference w:id="88"/>
      </w:r>
      <w:r>
        <w:t xml:space="preserve"> </w:t>
      </w:r>
      <w:r>
        <w:rPr>
          <w:i/>
          <w:iCs/>
        </w:rPr>
        <w:t xml:space="preserve">Id.</w:t>
      </w:r>
      <w:r>
        <w:t xml:space="preserve"> </w:t>
      </w:r>
      <w:r>
        <w:t xml:space="preserve">The Confrontation Clause just does not reach the point of an impermissibly large risk of an inaccurate conviction.</w:t>
      </w:r>
      <w:r>
        <w:t xml:space="preserve"> </w:t>
      </w:r>
      <w:r>
        <w:rPr>
          <w:i/>
          <w:iCs/>
        </w:rPr>
        <w:t xml:space="preserve">Whorton</w:t>
      </w:r>
      <w:r>
        <w:rPr>
          <w:i/>
          <w:iCs/>
        </w:rPr>
        <w:t xml:space="preserve"> </w:t>
      </w:r>
      <w:r>
        <w:rPr>
          <w:i/>
          <w:iCs/>
        </w:rPr>
        <w:t xml:space="preserve">v. Bockting</w:t>
      </w:r>
      <w:r>
        <w:t xml:space="preserve">, 549 U.S. 406, 420–21 (2007). Any comparison to</w:t>
      </w:r>
      <w:r>
        <w:t xml:space="preserve"> </w:t>
      </w:r>
      <w:r>
        <w:rPr>
          <w:i/>
          <w:iCs/>
        </w:rPr>
        <w:t xml:space="preserve">Ramos</w:t>
      </w:r>
      <w:r>
        <w:t xml:space="preserve"> </w:t>
      </w:r>
      <w:r>
        <w:t xml:space="preserve">therefore fails.</w:t>
      </w:r>
    </w:p>
    <w:p>
      <w:pPr>
        <w:pStyle w:val="BodyText"/>
      </w:pPr>
      <w:r>
        <w:t xml:space="preserve">Further, consider cases involving the establishment of the burden of proof, which are inextricably entwined with the verdict.</w:t>
      </w:r>
      <w:r>
        <w:t xml:space="preserve"> </w:t>
      </w:r>
      <w:r>
        <w:rPr>
          <w:i/>
          <w:iCs/>
        </w:rPr>
        <w:t xml:space="preserve">In</w:t>
      </w:r>
      <w:r>
        <w:rPr>
          <w:i/>
          <w:iCs/>
        </w:rPr>
        <w:t xml:space="preserve"> </w:t>
      </w:r>
      <w:r>
        <w:rPr>
          <w:i/>
          <w:iCs/>
        </w:rPr>
        <w:t xml:space="preserve">re Winship</w:t>
      </w:r>
      <w:r>
        <w:t xml:space="preserve">, 397 U.S. 358 (1970), is an example of a case that announced a new rule on what the burden of proof in criminal cases must be, and the U.S. Supreme Court gave it complete retroactive effect.</w:t>
      </w:r>
      <w:r>
        <w:t xml:space="preserve"> </w:t>
      </w:r>
      <w:r>
        <w:rPr>
          <w:i/>
          <w:iCs/>
        </w:rPr>
        <w:t xml:space="preserve">See</w:t>
      </w:r>
      <w:r>
        <w:t xml:space="preserve"> </w:t>
      </w:r>
      <w:r>
        <w:rPr>
          <w:i/>
          <w:iCs/>
        </w:rPr>
        <w:t xml:space="preserve">Ivan</w:t>
      </w:r>
      <w:r>
        <w:rPr>
          <w:i/>
          <w:iCs/>
        </w:rPr>
        <w:t xml:space="preserve"> </w:t>
      </w:r>
      <w:r>
        <w:rPr>
          <w:i/>
          <w:iCs/>
        </w:rPr>
        <w:t xml:space="preserve">V. v. City of New York</w:t>
      </w:r>
      <w:r>
        <w:t xml:space="preserve">, 407 U.S. 203, 204 (1972) (per curiam).</w:t>
      </w:r>
    </w:p>
    <w:p>
      <w:pPr>
        <w:pStyle w:val="BodyTextNote"/>
      </w:pPr>
      <w:r>
        <w:t xml:space="preserve">When a new rule merely seeks to resolve confusion surrounding the primary rule, the courts see these new rules as less fundamental.</w:t>
      </w:r>
      <w:r>
        <w:t xml:space="preserve"> </w:t>
      </w:r>
      <w:r>
        <w:rPr>
          <w:i/>
          <w:iCs/>
        </w:rPr>
        <w:t xml:space="preserve">See, e.g.</w:t>
      </w:r>
      <w:r>
        <w:t xml:space="preserve">,</w:t>
      </w:r>
      <w:r>
        <w:t xml:space="preserve"> </w:t>
      </w:r>
      <w:r>
        <w:rPr>
          <w:i/>
          <w:iCs/>
        </w:rPr>
        <w:t xml:space="preserve">Falconer</w:t>
      </w:r>
      <w:r>
        <w:rPr>
          <w:i/>
          <w:iCs/>
        </w:rPr>
        <w:t xml:space="preserve"> </w:t>
      </w:r>
      <w:r>
        <w:rPr>
          <w:i/>
          <w:iCs/>
        </w:rPr>
        <w:t xml:space="preserve">v. Lane</w:t>
      </w:r>
      <w:r>
        <w:t xml:space="preserve">, 905 F.2d 1129, 1136 (7th Cir. 1990) (finding procedural due process issues where the jury may have been left with the false impression that it could convict Ms. Falconer of murder even if she possessed one of the mitigating states of mind described in the voluntary manslaughter instruction);</w:t>
      </w:r>
      <w:r>
        <w:rPr>
          <w:rStyle w:val="FootnoteReference"/>
        </w:rPr>
        <w:footnoteReference w:id="89"/>
      </w:r>
      <w:r>
        <w:t xml:space="preserve"> </w:t>
      </w:r>
      <w:r>
        <w:rPr>
          <w:i/>
          <w:iCs/>
        </w:rPr>
        <w:t xml:space="preserve">see also</w:t>
      </w:r>
      <w:r>
        <w:t xml:space="preserve"> </w:t>
      </w:r>
      <w:r>
        <w:rPr>
          <w:i/>
          <w:iCs/>
        </w:rPr>
        <w:t xml:space="preserve">Cage</w:t>
      </w:r>
      <w:r>
        <w:rPr>
          <w:i/>
          <w:iCs/>
        </w:rPr>
        <w:t xml:space="preserve"> </w:t>
      </w:r>
      <w:r>
        <w:rPr>
          <w:i/>
          <w:iCs/>
        </w:rPr>
        <w:t xml:space="preserve">v. Louisiana</w:t>
      </w:r>
      <w:r>
        <w:t xml:space="preserve">, 498 U.S. 39, 40 (1990) (finding a jury instruction about “grave uncertainty” and “moral certainty” “taken out of context, might overstate the requisite standard and confuse the jury”);</w:t>
      </w:r>
      <w:r>
        <w:rPr>
          <w:rStyle w:val="FootnoteReference"/>
        </w:rPr>
        <w:footnoteReference w:id="90"/>
      </w:r>
      <w:r>
        <w:t xml:space="preserve"> </w:t>
      </w:r>
      <w:r>
        <w:rPr>
          <w:i/>
          <w:iCs/>
        </w:rPr>
        <w:t xml:space="preserve">Taylor</w:t>
      </w:r>
      <w:r>
        <w:t xml:space="preserve">, 606 So. 2d at 1299 (“[</w:t>
      </w:r>
      <w:r>
        <w:rPr>
          <w:i/>
          <w:iCs/>
        </w:rPr>
        <w:t xml:space="preserve">Cage</w:t>
      </w:r>
      <w:r>
        <w:t xml:space="preserve">] set forth a new rule designed to give guidance to these courts in the future and eliminate the possibility of juror confusion. It did not attempt to create a new procedure ‘without which the likelihood of an accurate conviction is seriously diminished.’”).</w:t>
      </w:r>
      <w:r>
        <w:t xml:space="preserve"> </w:t>
      </w:r>
      <w:r>
        <w:rPr>
          <w:i/>
          <w:iCs/>
        </w:rPr>
        <w:t xml:space="preserve">Ramos</w:t>
      </w:r>
      <w:r>
        <w:t xml:space="preserve"> </w:t>
      </w:r>
      <w:r>
        <w:t xml:space="preserve">does not seek to avoid confusion in the instruction stage, but seeks to stop convictions in the absence of lawful verdicts.</w:t>
      </w:r>
    </w:p>
    <w:p>
      <w:pPr>
        <w:pStyle w:val="BodyText"/>
      </w:pPr>
      <w:r>
        <w:t xml:space="preserve">In summary, two parts of a criminal case are sacrosanct: (1) the opportunity for a meaningful trial before a conviction, and (2) the factfinder’s determination of guilt or innocence. Without</w:t>
      </w:r>
      <w:r>
        <w:t xml:space="preserve"> </w:t>
      </w:r>
      <w:r>
        <w:rPr>
          <w:i/>
          <w:iCs/>
        </w:rPr>
        <w:t xml:space="preserve">Gideon’s</w:t>
      </w:r>
      <w:r>
        <w:t xml:space="preserve"> </w:t>
      </w:r>
      <w:r>
        <w:t xml:space="preserve">guarantee to a right to counsel, we can have no confidence that the State proffers evidence fairly or that a defendant is familiar enough with the law to know what evidence to present; there is no meaningful proceeding before a conviction. Without</w:t>
      </w:r>
      <w:r>
        <w:t xml:space="preserve"> </w:t>
      </w:r>
      <w:r>
        <w:rPr>
          <w:i/>
          <w:iCs/>
        </w:rPr>
        <w:t xml:space="preserve">Winship</w:t>
      </w:r>
      <w:r>
        <w:t xml:space="preserve">, the factfinder cannot come to a final determination of guilt or innocence. Both the</w:t>
      </w:r>
      <w:r>
        <w:t xml:space="preserve"> </w:t>
      </w:r>
      <w:r>
        <w:rPr>
          <w:i/>
          <w:iCs/>
        </w:rPr>
        <w:t xml:space="preserve">Gideon</w:t>
      </w:r>
      <w:r>
        <w:t xml:space="preserve"> </w:t>
      </w:r>
      <w:r>
        <w:t xml:space="preserve">and</w:t>
      </w:r>
      <w:r>
        <w:t xml:space="preserve"> </w:t>
      </w:r>
      <w:r>
        <w:rPr>
          <w:i/>
          <w:iCs/>
        </w:rPr>
        <w:t xml:space="preserve">Winship</w:t>
      </w:r>
      <w:r>
        <w:t xml:space="preserve"> </w:t>
      </w:r>
      <w:r>
        <w:t xml:space="preserve">guarantees are fundamental to fairness and accuracy such that the accused needed an opportunity to raise those new rules past the date of finality. The guarantee of</w:t>
      </w:r>
      <w:r>
        <w:t xml:space="preserve"> </w:t>
      </w:r>
      <w:r>
        <w:rPr>
          <w:i/>
          <w:iCs/>
        </w:rPr>
        <w:t xml:space="preserve">Ramos</w:t>
      </w:r>
      <w:r>
        <w:t xml:space="preserve"> </w:t>
      </w:r>
      <w:r>
        <w:t xml:space="preserve">is equally fundamental. Without</w:t>
      </w:r>
      <w:r>
        <w:t xml:space="preserve"> </w:t>
      </w:r>
      <w:r>
        <w:rPr>
          <w:i/>
          <w:iCs/>
        </w:rPr>
        <w:t xml:space="preserve">Ramos</w:t>
      </w:r>
      <w:r>
        <w:t xml:space="preserve">, there is an impermissible risk of conviction where the jury</w:t>
      </w:r>
      <w:r>
        <w:t xml:space="preserve"> </w:t>
      </w:r>
      <w:r>
        <w:rPr>
          <w:i/>
          <w:iCs/>
        </w:rPr>
        <w:t xml:space="preserve">did not come to a verdict at all</w:t>
      </w:r>
      <w:r>
        <w:t xml:space="preserve">.</w:t>
      </w:r>
    </w:p>
    <w:p>
      <w:pPr>
        <w:keepNext/>
        <w:keepLines/>
        <w:spacing w:before="264" w:after="144" w:line="276" w:lineRule="exact"/>
        <w:ind w:left="0" w:firstLine="0"/>
        <w:jc w:val="left"/>
      </w:pPr>
      <w:r>
        <w:rPr>
          <w:b/>
          <w:bCs/>
        </w:rPr>
        <w:t xml:space="preserve">3.</w:t>
      </w:r>
      <w:r>
        <w:rPr>
          <w:b/>
          <w:bCs/>
        </w:rPr>
        <w:t xml:space="preserve"> </w:t>
      </w:r>
      <w:r>
        <w:rPr>
          <w:b/>
          <w:bCs/>
          <w:i/>
          <w:iCs/>
        </w:rPr>
        <w:t xml:space="preserve">Ramos</w:t>
      </w:r>
      <w:r>
        <w:rPr>
          <w:b/>
          <w:bCs/>
        </w:rPr>
        <w:t xml:space="preserve"> </w:t>
      </w:r>
      <w:r>
        <w:rPr>
          <w:b/>
          <w:bCs/>
        </w:rPr>
        <w:t xml:space="preserve">operates</w:t>
      </w:r>
      <w:r>
        <w:rPr>
          <w:b/>
          <w:bCs/>
        </w:rPr>
        <w:t xml:space="preserve"> </w:t>
      </w:r>
      <w:r>
        <w:rPr>
          <w:b/>
          <w:bCs/>
        </w:rPr>
        <w:t xml:space="preserve">to</w:t>
      </w:r>
      <w:r>
        <w:rPr>
          <w:b/>
          <w:bCs/>
        </w:rPr>
        <w:t xml:space="preserve"> </w:t>
      </w:r>
      <w:r>
        <w:rPr>
          <w:b/>
          <w:bCs/>
        </w:rPr>
        <w:t xml:space="preserve">prevent</w:t>
      </w:r>
      <w:r>
        <w:rPr>
          <w:b/>
          <w:bCs/>
        </w:rPr>
        <w:t xml:space="preserve"> </w:t>
      </w:r>
      <w:r>
        <w:rPr>
          <w:b/>
          <w:bCs/>
        </w:rPr>
        <w:t xml:space="preserve">inaccurate</w:t>
      </w:r>
      <w:r>
        <w:rPr>
          <w:b/>
          <w:bCs/>
        </w:rPr>
        <w:t xml:space="preserve"> </w:t>
      </w:r>
      <w:r>
        <w:rPr>
          <w:b/>
          <w:bCs/>
        </w:rPr>
        <w:t xml:space="preserve">convictions.</w:t>
      </w:r>
    </w:p>
    <w:p>
      <w:pPr>
        <w:pStyle w:val="BodyTextNote"/>
      </w:pPr>
      <w:r>
        <w:t xml:space="preserve">Non-unanimous jury convictions systemically discounted the opinions of jurors of color, convicted many Black defendants, and also contributed to a significant number of wrongful convictions, some of which later led to exonerations.</w:t>
      </w:r>
      <w:r>
        <w:rPr>
          <w:rStyle w:val="FootnoteReference"/>
        </w:rPr>
        <w:footnoteReference w:id="91"/>
      </w:r>
      <w:r>
        <w:t xml:space="preserve"> </w:t>
      </w:r>
      <w:r>
        <w:t xml:space="preserve">An Orleans Parish judge recently exonerated Jermaine Hudson after he spent more than 20 years in prison for a crime that never occurred.</w:t>
      </w:r>
      <w:r>
        <w:rPr>
          <w:rStyle w:val="FootnoteReference"/>
        </w:rPr>
        <w:footnoteReference w:id="92"/>
      </w:r>
      <w:r>
        <w:t xml:space="preserve"> </w:t>
      </w:r>
      <w:r>
        <w:t xml:space="preserve">The State convicted Mr. Hudson of armed robbery and sentenced him to 99 years.</w:t>
      </w:r>
      <w:r>
        <w:rPr>
          <w:rStyle w:val="FootnoteReference"/>
        </w:rPr>
        <w:footnoteReference w:id="93"/>
      </w:r>
      <w:r>
        <w:t xml:space="preserve"> </w:t>
      </w:r>
      <w:r>
        <w:t xml:space="preserve">In early 2021, his alleged victim came forward and submitted an affidavit that he had fabricated the entire story because he did not want to admit to his father that he had spent his paycheck on drugs.</w:t>
      </w:r>
      <w:r>
        <w:rPr>
          <w:rStyle w:val="FootnoteReference"/>
        </w:rPr>
        <w:footnoteReference w:id="94"/>
      </w:r>
      <w:r>
        <w:t xml:space="preserve"> </w:t>
      </w:r>
      <w:r>
        <w:t xml:space="preserve">Two jurors had held serious reservations about the account provided by the alleged victim, but the non-unanimity provision silenced their voices.</w:t>
      </w:r>
      <w:r>
        <w:rPr>
          <w:rStyle w:val="FootnoteReference"/>
        </w:rPr>
        <w:footnoteReference w:id="95"/>
      </w:r>
      <w:r>
        <w:t xml:space="preserve"> </w:t>
      </w:r>
      <w:r>
        <w:t xml:space="preserve">The result was Mr. Hudson’s wrongful conviction—and a 22-year incarceration.</w:t>
      </w:r>
      <w:r>
        <w:rPr>
          <w:rStyle w:val="FootnoteReference"/>
        </w:rPr>
        <w:footnoteReference w:id="96"/>
      </w:r>
      <w:r>
        <w:t xml:space="preserve"> </w:t>
      </w:r>
      <w:r>
        <w:t xml:space="preserve">Mr. Hudson’s case is not unique: the Innocence Project New Orleans submitted briefing to this Court on February 22, 2022 about the inaccuracy of non-unanimous jury convictions leading to exonerations.</w:t>
      </w:r>
    </w:p>
    <w:p>
      <w:pPr>
        <w:pStyle w:val="BodyTextNote"/>
      </w:pPr>
      <w:r>
        <w:t xml:space="preserve">More than half of Louisiana’s exonerations from the relevant pool of cases involved wrongful convictions decided by non-unanimous juries. Of Louisiana’s 70 total confirmed wrongful convictions, 39 resulted from a jury trial where a non-unanimous jury verdict could issue.</w:t>
      </w:r>
      <w:r>
        <w:rPr>
          <w:rStyle w:val="FootnoteReference"/>
        </w:rPr>
        <w:footnoteReference w:id="97"/>
      </w:r>
      <w:r>
        <w:t xml:space="preserve"> </w:t>
      </w:r>
      <w:r>
        <w:rPr>
          <w:i/>
          <w:iCs/>
        </w:rPr>
        <w:t xml:space="preserve">See</w:t>
      </w:r>
      <w:r>
        <w:t xml:space="preserve"> </w:t>
      </w:r>
      <w:r>
        <w:t xml:space="preserve">Amicus Curiae Innocence Project New Orleans In Support of Reginald Reddick, p. 1, 3. And of those 39 cases, 20 were non-unanimous.</w:t>
      </w:r>
      <w:r>
        <w:t xml:space="preserve"> </w:t>
      </w:r>
      <w:r>
        <w:rPr>
          <w:i/>
          <w:iCs/>
        </w:rPr>
        <w:t xml:space="preserve">Id.</w:t>
      </w:r>
      <w:r>
        <w:t xml:space="preserve"> </w:t>
      </w:r>
      <w:r>
        <w:t xml:space="preserve">Since it is estimated that 40% of jury trials in Louisiana result in non-unanimous jury verdicts, the exoneration statistics are significant.</w:t>
      </w:r>
      <w:r>
        <w:t xml:space="preserve"> </w:t>
      </w:r>
      <w:r>
        <w:rPr>
          <w:i/>
          <w:iCs/>
        </w:rPr>
        <w:t xml:space="preserve">See</w:t>
      </w:r>
      <w:r>
        <w:t xml:space="preserve"> </w:t>
      </w:r>
      <w:r>
        <w:t xml:space="preserve">Swenson,</w:t>
      </w:r>
      <w:r>
        <w:t xml:space="preserve"> </w:t>
      </w:r>
      <w:r>
        <w:rPr>
          <w:i/>
          <w:iCs/>
        </w:rPr>
        <w:t xml:space="preserve">supra</w:t>
      </w:r>
      <w:r>
        <w:t xml:space="preserve"> </w:t>
      </w:r>
      <w:r>
        <w:t xml:space="preserve">note 34 (“[during the six-year research window], roughly 40 percent of the people who are convicted after jury trials in Louisiana are convicted by nonunanimous juries”). This means a person is more likely to be wrongfully convicted by a non-unanimous jury verdict than by a unanimous jury. Despite this evidence, the State continues to misunderstand the role that the non-unanimous jury verdict has in wrongful convictions.</w:t>
      </w:r>
    </w:p>
    <w:p>
      <w:pPr>
        <w:pStyle w:val="BodyTextNote"/>
      </w:pPr>
      <w:r>
        <w:t xml:space="preserve">Concerns of accuracy also led to the retroactive application of a 1980s’ decision finding six-person non-unanimous jury verdicts unconstitutional. In</w:t>
      </w:r>
      <w:r>
        <w:t xml:space="preserve"> </w:t>
      </w:r>
      <w:r>
        <w:rPr>
          <w:i/>
          <w:iCs/>
        </w:rPr>
        <w:t xml:space="preserve">Burch</w:t>
      </w:r>
      <w:r>
        <w:rPr>
          <w:i/>
          <w:iCs/>
        </w:rPr>
        <w:t xml:space="preserve"> </w:t>
      </w:r>
      <w:r>
        <w:rPr>
          <w:i/>
          <w:iCs/>
        </w:rPr>
        <w:t xml:space="preserve">v. Louisiana</w:t>
      </w:r>
      <w:r>
        <w:t xml:space="preserve">, 441 U.S. 130 (1979), Mr. Burch was charged with exhibiting two obscene motion pictures.</w:t>
      </w:r>
      <w:r>
        <w:t xml:space="preserve"> </w:t>
      </w:r>
      <w:r>
        <w:rPr>
          <w:i/>
          <w:iCs/>
        </w:rPr>
        <w:t xml:space="preserve">Id.</w:t>
      </w:r>
      <w:r>
        <w:t xml:space="preserve"> </w:t>
      </w:r>
      <w:r>
        <w:t xml:space="preserve">at 132. Under Louisiana law, the court tried him before a six-person jury, and a jury poll showed that the jury voted five-to-one to convict.</w:t>
      </w:r>
      <w:r>
        <w:t xml:space="preserve"> </w:t>
      </w:r>
      <w:r>
        <w:rPr>
          <w:i/>
          <w:iCs/>
        </w:rPr>
        <w:t xml:space="preserve">Id.</w:t>
      </w:r>
      <w:r>
        <w:t xml:space="preserve"> </w:t>
      </w:r>
      <w:r>
        <w:t xml:space="preserve">Mr. Burch appealed, arguing that the Louisiana law permitting conviction by a non-unanimous six-member jury violated his rights to a trial by jury guaranteed by the Sixth and Fourteenth Amendments.</w:t>
      </w:r>
      <w:r>
        <w:t xml:space="preserve"> </w:t>
      </w:r>
      <w:r>
        <w:rPr>
          <w:i/>
          <w:iCs/>
        </w:rPr>
        <w:t xml:space="preserve">Id</w:t>
      </w:r>
      <w:r>
        <w:t xml:space="preserve">. at 132–33. The U.S. Supreme Court agreed and found that convictions by a non-unanimous six-member jury threatened the substance of the jury trial guarantee and violated the Constitution.</w:t>
      </w:r>
      <w:r>
        <w:t xml:space="preserve"> </w:t>
      </w:r>
      <w:r>
        <w:rPr>
          <w:i/>
          <w:iCs/>
        </w:rPr>
        <w:t xml:space="preserve">Id.</w:t>
      </w:r>
      <w:r>
        <w:t xml:space="preserve"> </w:t>
      </w:r>
      <w:r>
        <w:t xml:space="preserve">at 138. In</w:t>
      </w:r>
      <w:r>
        <w:t xml:space="preserve"> </w:t>
      </w:r>
      <w:r>
        <w:rPr>
          <w:i/>
          <w:iCs/>
        </w:rPr>
        <w:t xml:space="preserve">Brown</w:t>
      </w:r>
      <w:r>
        <w:rPr>
          <w:i/>
          <w:iCs/>
        </w:rPr>
        <w:t xml:space="preserve"> </w:t>
      </w:r>
      <w:r>
        <w:rPr>
          <w:i/>
          <w:iCs/>
        </w:rPr>
        <w:t xml:space="preserve">v. Louisiana</w:t>
      </w:r>
      <w:r>
        <w:t xml:space="preserve">, 447 U.S. 323 (1980), the U.S. Supreme Court held that the constitutional principle announced in</w:t>
      </w:r>
      <w:r>
        <w:t xml:space="preserve"> </w:t>
      </w:r>
      <w:r>
        <w:rPr>
          <w:i/>
          <w:iCs/>
        </w:rPr>
        <w:t xml:space="preserve">Burch</w:t>
      </w:r>
      <w:r>
        <w:t xml:space="preserve">—that conviction of a non-petty criminal offense in a state court by a non-unanimous six-person jury violates the accused’s right to trial by jury guaranteed by the Sixth and Fourteenth Amendments—“requires retroactive application” to those on direct appeal.</w:t>
      </w:r>
      <w:r>
        <w:t xml:space="preserve"> </w:t>
      </w:r>
      <w:r>
        <w:rPr>
          <w:i/>
          <w:iCs/>
        </w:rPr>
        <w:t xml:space="preserve">Id</w:t>
      </w:r>
      <w:r>
        <w:t xml:space="preserve">. at 334 (“It is difficult to envision a constitutional rule that more fundamentally implicates ‘the fairness of the trial—the very integrity of the fact-finding process.’ . . . Any practice that threatens the jury’s ability properly to perform that function poses a similar threat to the truth-determining process itself. The rule in</w:t>
      </w:r>
      <w:r>
        <w:t xml:space="preserve"> </w:t>
      </w:r>
      <w:r>
        <w:rPr>
          <w:i/>
          <w:iCs/>
        </w:rPr>
        <w:t xml:space="preserve">Burch</w:t>
      </w:r>
      <w:r>
        <w:t xml:space="preserve"> </w:t>
      </w:r>
      <w:r>
        <w:t xml:space="preserve">was directed toward elimination of just such a practice. Its purpose, therefore, clearly requires retroactive application.”).</w:t>
      </w:r>
      <w:r>
        <w:rPr>
          <w:rStyle w:val="FootnoteReference"/>
        </w:rPr>
        <w:footnoteReference w:id="98"/>
      </w:r>
    </w:p>
    <w:p>
      <w:pPr>
        <w:pStyle w:val="BodyText"/>
      </w:pPr>
      <w:r>
        <w:t xml:space="preserve">The trial court and the Fourth Circuit Court of Appeal disagree with the State’s argument that there are no watershed rules of criminal procedure.</w:t>
      </w:r>
      <w:r>
        <w:t xml:space="preserve"> </w:t>
      </w:r>
      <w:r>
        <w:rPr>
          <w:i/>
          <w:iCs/>
        </w:rPr>
        <w:t xml:space="preserve">See</w:t>
      </w:r>
      <w:r>
        <w:t xml:space="preserve"> </w:t>
      </w:r>
      <w:r>
        <w:t xml:space="preserve">State Writ App. Ex. 5 p. 117–18 (trial court per curiam) (“The right to a jury trial, which includes the requirement of unanimity, is as fundamental as the right to counsel recognized in</w:t>
      </w:r>
      <w:r>
        <w:t xml:space="preserve"> </w:t>
      </w:r>
      <w:r>
        <w:rPr>
          <w:i/>
          <w:iCs/>
        </w:rPr>
        <w:t xml:space="preserve">Gideon</w:t>
      </w:r>
      <w:r>
        <w:t xml:space="preserve"> </w:t>
      </w:r>
      <w:r>
        <w:t xml:space="preserve">which</w:t>
      </w:r>
      <w:r>
        <w:t xml:space="preserve"> </w:t>
      </w:r>
      <w:r>
        <w:rPr>
          <w:i/>
          <w:iCs/>
        </w:rPr>
        <w:t xml:space="preserve">Teague</w:t>
      </w:r>
      <w:r>
        <w:t xml:space="preserve"> </w:t>
      </w:r>
      <w:r>
        <w:t xml:space="preserve">found was a watershed rule of criminal procedure.”);</w:t>
      </w:r>
      <w:r>
        <w:t xml:space="preserve"> </w:t>
      </w:r>
      <w:r>
        <w:rPr>
          <w:i/>
          <w:iCs/>
        </w:rPr>
        <w:t xml:space="preserve">see also</w:t>
      </w:r>
      <w:r>
        <w:t xml:space="preserve"> </w:t>
      </w:r>
      <w:r>
        <w:rPr>
          <w:i/>
          <w:iCs/>
        </w:rPr>
        <w:t xml:space="preserve">Reddick</w:t>
      </w:r>
      <w:r>
        <w:rPr>
          <w:i/>
          <w:iCs/>
        </w:rPr>
        <w:t xml:space="preserve"> </w:t>
      </w:r>
      <w:r>
        <w:rPr>
          <w:i/>
          <w:iCs/>
        </w:rPr>
        <w:t xml:space="preserve">v. State</w:t>
      </w:r>
      <w:r>
        <w:t xml:space="preserve">, 2021</w:t>
      </w:r>
      <w:r>
        <w:noBreakHyphen/>
      </w:r>
      <w:r>
        <w:t xml:space="preserve">0589 (La. App. 4 Cir. 11/18/21) (denying the State’s writ);</w:t>
      </w:r>
      <w:r>
        <w:t xml:space="preserve"> </w:t>
      </w:r>
      <w:r>
        <w:rPr>
          <w:i/>
          <w:iCs/>
        </w:rPr>
        <w:t xml:space="preserve">State v. Waldron</w:t>
      </w:r>
      <w:r>
        <w:t xml:space="preserve">, 2021</w:t>
      </w:r>
      <w:r>
        <w:noBreakHyphen/>
      </w:r>
      <w:r>
        <w:t xml:space="preserve">0512 (La. App. 4 Cir. 01/24/22) (“non-unanimous jury verdicts created an unacceptable risk and consequence of inaccurate, wrongful convictions.”);</w:t>
      </w:r>
      <w:r>
        <w:t xml:space="preserve"> </w:t>
      </w:r>
      <w:r>
        <w:rPr>
          <w:i/>
          <w:iCs/>
        </w:rPr>
        <w:t xml:space="preserve">State</w:t>
      </w:r>
      <w:r>
        <w:rPr>
          <w:i/>
          <w:iCs/>
        </w:rPr>
        <w:t xml:space="preserve"> </w:t>
      </w:r>
      <w:r>
        <w:rPr>
          <w:i/>
          <w:iCs/>
        </w:rPr>
        <w:t xml:space="preserve">v. Melendez</w:t>
      </w:r>
      <w:r>
        <w:t xml:space="preserve">, 2021</w:t>
      </w:r>
      <w:r>
        <w:noBreakHyphen/>
      </w:r>
      <w:r>
        <w:t xml:space="preserve">0597 (La. App. 4 Cir. 12/09/21). This Court need not follow</w:t>
      </w:r>
      <w:r>
        <w:t xml:space="preserve"> </w:t>
      </w:r>
      <w:r>
        <w:rPr>
          <w:i/>
          <w:iCs/>
        </w:rPr>
        <w:t xml:space="preserve">Edwards</w:t>
      </w:r>
      <w:r>
        <w:t xml:space="preserve"> </w:t>
      </w:r>
      <w:r>
        <w:t xml:space="preserve">and need not keep</w:t>
      </w:r>
      <w:r>
        <w:t xml:space="preserve"> </w:t>
      </w:r>
      <w:r>
        <w:rPr>
          <w:i/>
          <w:iCs/>
        </w:rPr>
        <w:t xml:space="preserve">Taylor</w:t>
      </w:r>
      <w:r>
        <w:t xml:space="preserve">, but in the face of all the ways that</w:t>
      </w:r>
      <w:r>
        <w:t xml:space="preserve"> </w:t>
      </w:r>
      <w:r>
        <w:rPr>
          <w:i/>
          <w:iCs/>
        </w:rPr>
        <w:t xml:space="preserve">Ramos</w:t>
      </w:r>
      <w:r>
        <w:t xml:space="preserve"> </w:t>
      </w:r>
      <w:r>
        <w:t xml:space="preserve">is different, and considering what it means for restoring justice, this Court should find</w:t>
      </w:r>
      <w:r>
        <w:t xml:space="preserve"> </w:t>
      </w:r>
      <w:r>
        <w:rPr>
          <w:i/>
          <w:iCs/>
        </w:rPr>
        <w:t xml:space="preserve">Ramos</w:t>
      </w:r>
      <w:r>
        <w:t xml:space="preserve"> </w:t>
      </w:r>
      <w:r>
        <w:t xml:space="preserve">a watershed decision</w:t>
      </w:r>
      <w:r>
        <w:t xml:space="preserve"> </w:t>
      </w:r>
      <w:r>
        <w:rPr>
          <w:i/>
          <w:iCs/>
        </w:rPr>
        <w:t xml:space="preserve">for Louisiana</w:t>
      </w:r>
      <w:r>
        <w:t xml:space="preserve">.</w:t>
      </w:r>
    </w:p>
    <w:p>
      <w:pPr>
        <w:keepNext/>
        <w:keepLines/>
        <w:spacing w:before="288" w:after="192" w:line="276" w:lineRule="exact"/>
        <w:ind w:left="0" w:firstLine="0"/>
        <w:jc w:val="left"/>
      </w:pPr>
      <w:r>
        <w:rPr>
          <w:b/>
          <w:bCs/>
        </w:rPr>
        <w:t xml:space="preserve">B.</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correctly</w:t>
      </w:r>
      <w:r>
        <w:rPr>
          <w:b/>
          <w:bCs/>
        </w:rPr>
        <w:t xml:space="preserve"> </w:t>
      </w:r>
      <w:r>
        <w:rPr>
          <w:b/>
          <w:bCs/>
        </w:rPr>
        <w:t xml:space="preserve">found</w:t>
      </w:r>
      <w:r>
        <w:rPr>
          <w:b/>
          <w:bCs/>
        </w:rPr>
        <w:t xml:space="preserve"> </w:t>
      </w:r>
      <w:r>
        <w:rPr>
          <w:b/>
          <w:bCs/>
          <w:i/>
          <w:iCs/>
        </w:rPr>
        <w:t xml:space="preserve">Ramos</w:t>
      </w:r>
      <w:r>
        <w:rPr>
          <w:b/>
          <w:bCs/>
        </w:rPr>
        <w:t xml:space="preserve"> </w:t>
      </w:r>
      <w:r>
        <w:rPr>
          <w:b/>
          <w:bCs/>
        </w:rPr>
        <w:t xml:space="preserve">retroactive</w:t>
      </w:r>
      <w:r>
        <w:rPr>
          <w:b/>
          <w:bCs/>
        </w:rPr>
        <w:t xml:space="preserve"> </w:t>
      </w:r>
      <w:r>
        <w:rPr>
          <w:b/>
          <w:bCs/>
        </w:rPr>
        <w:t xml:space="preserve">under</w:t>
      </w:r>
      <w:r>
        <w:rPr>
          <w:b/>
          <w:bCs/>
        </w:rPr>
        <w:t xml:space="preserve"> </w:t>
      </w:r>
      <w:r>
        <w:rPr>
          <w:b/>
          <w:bCs/>
          <w:i/>
          <w:iCs/>
        </w:rPr>
        <w:t xml:space="preserve">Taylor</w:t>
      </w:r>
      <w:r>
        <w:rPr>
          <w:b/>
          <w:bCs/>
        </w:rPr>
        <w:t xml:space="preserve">.</w:t>
      </w:r>
    </w:p>
    <w:p>
      <w:pPr>
        <w:keepNext/>
        <w:keepLines/>
        <w:spacing w:before="264" w:after="144" w:line="276" w:lineRule="exact"/>
        <w:ind w:left="0" w:firstLine="0"/>
        <w:jc w:val="left"/>
      </w:pPr>
      <w:r>
        <w:rPr>
          <w:b/>
          <w:bCs/>
        </w:rPr>
        <w:t xml:space="preserve">1.</w:t>
      </w:r>
      <w:r>
        <w:rPr>
          <w:b/>
          <w:bCs/>
        </w:rPr>
        <w:t xml:space="preserve"> </w:t>
      </w:r>
      <w:r>
        <w:rPr>
          <w:b/>
          <w:bCs/>
        </w:rPr>
        <w:t xml:space="preserve">Louisiana</w:t>
      </w:r>
      <w:r>
        <w:rPr>
          <w:b/>
          <w:bCs/>
        </w:rPr>
        <w:t xml:space="preserve"> </w:t>
      </w:r>
      <w:r>
        <w:rPr>
          <w:b/>
          <w:bCs/>
        </w:rPr>
        <w:t xml:space="preserve">presently</w:t>
      </w:r>
      <w:r>
        <w:rPr>
          <w:b/>
          <w:bCs/>
        </w:rPr>
        <w:t xml:space="preserve"> </w:t>
      </w:r>
      <w:r>
        <w:rPr>
          <w:b/>
          <w:bCs/>
        </w:rPr>
        <w:t xml:space="preserve">uses</w:t>
      </w:r>
      <w:r>
        <w:rPr>
          <w:b/>
          <w:bCs/>
        </w:rPr>
        <w:t xml:space="preserve"> </w:t>
      </w:r>
      <w:r>
        <w:rPr>
          <w:b/>
          <w:bCs/>
          <w:i/>
          <w:iCs/>
        </w:rPr>
        <w:t xml:space="preserve">Taylor</w:t>
      </w:r>
      <w:r>
        <w:rPr>
          <w:b/>
          <w:bCs/>
        </w:rPr>
        <w:t xml:space="preserve"> </w:t>
      </w:r>
      <w:r>
        <w:rPr>
          <w:b/>
          <w:bCs/>
        </w:rPr>
        <w:t xml:space="preserve">to</w:t>
      </w:r>
      <w:r>
        <w:rPr>
          <w:b/>
          <w:bCs/>
        </w:rPr>
        <w:t xml:space="preserve"> </w:t>
      </w:r>
      <w:r>
        <w:rPr>
          <w:b/>
          <w:bCs/>
        </w:rPr>
        <w:t xml:space="preserve">decide</w:t>
      </w:r>
      <w:r>
        <w:rPr>
          <w:b/>
          <w:bCs/>
        </w:rPr>
        <w:t xml:space="preserve"> </w:t>
      </w:r>
      <w:r>
        <w:rPr>
          <w:b/>
          <w:bCs/>
        </w:rPr>
        <w:t xml:space="preserve">retroactivity.</w:t>
      </w:r>
    </w:p>
    <w:p>
      <w:pPr>
        <w:pStyle w:val="BodyTextNote"/>
      </w:pPr>
      <w:r>
        <w:t xml:space="preserve">For more than 165 years, the courts recognized a general rule of retroactive application for the constitutional decisions of the U.S. Supreme Court in civil and criminal cases.</w:t>
      </w:r>
      <w:r>
        <w:t xml:space="preserve"> </w:t>
      </w:r>
      <w:r>
        <w:rPr>
          <w:i/>
          <w:iCs/>
        </w:rPr>
        <w:t xml:space="preserve">See, e.g.</w:t>
      </w:r>
      <w:r>
        <w:t xml:space="preserve">,</w:t>
      </w:r>
      <w:r>
        <w:t xml:space="preserve"> </w:t>
      </w:r>
      <w:r>
        <w:rPr>
          <w:i/>
          <w:iCs/>
        </w:rPr>
        <w:t xml:space="preserve">United States v. The Schooner Peggy</w:t>
      </w:r>
      <w:r>
        <w:t xml:space="preserve">, 5</w:t>
      </w:r>
      <w:r>
        <w:t xml:space="preserve"> </w:t>
      </w:r>
      <w:r>
        <w:t xml:space="preserve">U.S. (1 Cranch) 103, 110 (1801) (“if subsequent to the judgment and before the decision of the appellate court, a law intervenes and positively changes the rule which governs, the law must be obeyed, or its obligation denied.”);</w:t>
      </w:r>
      <w:r>
        <w:t xml:space="preserve"> </w:t>
      </w:r>
      <w:r>
        <w:rPr>
          <w:i/>
          <w:iCs/>
        </w:rPr>
        <w:t xml:space="preserve">see also</w:t>
      </w:r>
      <w:r>
        <w:t xml:space="preserve"> </w:t>
      </w:r>
      <w:r>
        <w:rPr>
          <w:i/>
          <w:iCs/>
        </w:rPr>
        <w:t xml:space="preserve">Vandenbark</w:t>
      </w:r>
      <w:r>
        <w:rPr>
          <w:i/>
          <w:iCs/>
        </w:rPr>
        <w:t xml:space="preserve"> </w:t>
      </w:r>
      <w:r>
        <w:rPr>
          <w:i/>
          <w:iCs/>
        </w:rPr>
        <w:t xml:space="preserve">v. Owens-Illinois Glass Co.</w:t>
      </w:r>
      <w:r>
        <w:t xml:space="preserve">, 311 U.S. 538, 543 (1941);</w:t>
      </w:r>
      <w:r>
        <w:t xml:space="preserve"> </w:t>
      </w:r>
      <w:r>
        <w:rPr>
          <w:i/>
          <w:iCs/>
        </w:rPr>
        <w:t xml:space="preserve">Kuhn</w:t>
      </w:r>
      <w:r>
        <w:rPr>
          <w:i/>
          <w:iCs/>
        </w:rPr>
        <w:t xml:space="preserve"> </w:t>
      </w:r>
      <w:r>
        <w:rPr>
          <w:i/>
          <w:iCs/>
        </w:rPr>
        <w:t xml:space="preserve">v. Fairmont Coal Co.</w:t>
      </w:r>
      <w:r>
        <w:t xml:space="preserve">, 215 U.S. 349, 372 (1910) (Holmes, J., dissenting) (“Judicial decisions have had retrospective operation for near a thousand years.”);</w:t>
      </w:r>
      <w:r>
        <w:t xml:space="preserve"> </w:t>
      </w:r>
      <w:r>
        <w:rPr>
          <w:i/>
          <w:iCs/>
        </w:rPr>
        <w:t xml:space="preserve">Robinson</w:t>
      </w:r>
      <w:r>
        <w:rPr>
          <w:i/>
          <w:iCs/>
        </w:rPr>
        <w:t xml:space="preserve"> </w:t>
      </w:r>
      <w:r>
        <w:rPr>
          <w:i/>
          <w:iCs/>
        </w:rPr>
        <w:t xml:space="preserve">v. Neil</w:t>
      </w:r>
      <w:r>
        <w:t xml:space="preserve">, 409 U.S. 505, 507 (1973).</w:t>
      </w:r>
      <w:r>
        <w:rPr>
          <w:rStyle w:val="FootnoteReference"/>
        </w:rPr>
        <w:footnoteReference w:id="99"/>
      </w:r>
      <w:r>
        <w:t xml:space="preserve"> </w:t>
      </w:r>
      <w:r>
        <w:t xml:space="preserve">“Beginning in the 1960s, however, the [U.S.] Supreme Court began to limit certain decisions to prospective application, in part, due to its reluctance to apply the Warren Court’s criminal procedure decisions retroactively, potentially freeing countless defendants.”</w:t>
      </w:r>
      <w:r>
        <w:t xml:space="preserve"> </w:t>
      </w:r>
      <w:r>
        <w:rPr>
          <w:i/>
          <w:iCs/>
        </w:rPr>
        <w:t xml:space="preserve">Quantum</w:t>
      </w:r>
      <w:r>
        <w:rPr>
          <w:i/>
          <w:iCs/>
        </w:rPr>
        <w:t xml:space="preserve"> </w:t>
      </w:r>
      <w:r>
        <w:rPr>
          <w:i/>
          <w:iCs/>
        </w:rPr>
        <w:t xml:space="preserve">Res. Mgmt., L.L.C v. Pirate Lake Oil Corp.</w:t>
      </w:r>
      <w:r>
        <w:t xml:space="preserve">, 2012–1472 (La. 03/19/13); 112 So. 3d 209, 215.</w:t>
      </w:r>
      <w:r>
        <w:rPr>
          <w:rStyle w:val="FootnoteReference"/>
        </w:rPr>
        <w:footnoteReference w:id="100"/>
      </w:r>
      <w:r>
        <w:t xml:space="preserve"> </w:t>
      </w:r>
      <w:r>
        <w:t xml:space="preserve">In 1965, for the first time, the U.S. Supreme Court held that courts</w:t>
      </w:r>
      <w:r>
        <w:t xml:space="preserve"> </w:t>
      </w:r>
      <w:r>
        <w:rPr>
          <w:i/>
          <w:iCs/>
        </w:rPr>
        <w:t xml:space="preserve">could</w:t>
      </w:r>
      <w:r>
        <w:t xml:space="preserve"> </w:t>
      </w:r>
      <w:r>
        <w:t xml:space="preserve">deny retroactive effect to a newly announced rule of criminal law if it was in the interest of justice.</w:t>
      </w:r>
      <w:r>
        <w:t xml:space="preserve"> </w:t>
      </w:r>
      <w:r>
        <w:rPr>
          <w:i/>
          <w:iCs/>
        </w:rPr>
        <w:t xml:space="preserve">Linkletter</w:t>
      </w:r>
      <w:r>
        <w:rPr>
          <w:i/>
          <w:iCs/>
        </w:rPr>
        <w:t xml:space="preserve"> </w:t>
      </w:r>
      <w:r>
        <w:rPr>
          <w:i/>
          <w:iCs/>
        </w:rPr>
        <w:t xml:space="preserve">v. Walker</w:t>
      </w:r>
      <w:r>
        <w:t xml:space="preserve">, 381 U.S. 618, 636 (1965). In 1987, the U.S. Supreme Court determined that courts could</w:t>
      </w:r>
      <w:r>
        <w:t xml:space="preserve"> </w:t>
      </w:r>
      <w:r>
        <w:rPr>
          <w:i/>
          <w:iCs/>
        </w:rPr>
        <w:t xml:space="preserve">never</w:t>
      </w:r>
      <w:r>
        <w:t xml:space="preserve"> </w:t>
      </w:r>
      <w:r>
        <w:t xml:space="preserve">deny retroactivity to cases on direct review.</w:t>
      </w:r>
      <w:r>
        <w:t xml:space="preserve"> </w:t>
      </w:r>
      <w:r>
        <w:rPr>
          <w:i/>
          <w:iCs/>
        </w:rPr>
        <w:t xml:space="preserve">Griffith</w:t>
      </w:r>
      <w:r>
        <w:rPr>
          <w:i/>
          <w:iCs/>
        </w:rPr>
        <w:t xml:space="preserve"> </w:t>
      </w:r>
      <w:r>
        <w:rPr>
          <w:i/>
          <w:iCs/>
        </w:rPr>
        <w:t xml:space="preserve">v. Kentucky</w:t>
      </w:r>
      <w:r>
        <w:t xml:space="preserve">, 479 U.S. 314, 328 (1987) (“[A] new rule . . . applie[s] retroactively to all cases, state or federal, pending on direct review or not yet final.”).</w:t>
      </w:r>
    </w:p>
    <w:p>
      <w:pPr>
        <w:pStyle w:val="BodyText"/>
      </w:pPr>
      <w:r>
        <w:t xml:space="preserve">The U.S. Supreme Court then decided</w:t>
      </w:r>
      <w:r>
        <w:t xml:space="preserve"> </w:t>
      </w:r>
      <w:r>
        <w:rPr>
          <w:i/>
          <w:iCs/>
        </w:rPr>
        <w:t xml:space="preserve">Teague v. Lane</w:t>
      </w:r>
      <w:r>
        <w:t xml:space="preserve"> </w:t>
      </w:r>
      <w:r>
        <w:t xml:space="preserve">in 1989, which limited the criminal procedure decisions that would be retroactive. At the time, prior to the stringent procedural and substantive restrictions on federal habeas review imposed by the Antiterrorism and Effective Death Penalty Act of 1996 (AEDPA), the Court was concerned with the hefty costs of frequent federal collateral attack on final judgments.</w:t>
      </w:r>
      <w:r>
        <w:t xml:space="preserve"> </w:t>
      </w:r>
      <w:r>
        <w:rPr>
          <w:i/>
          <w:iCs/>
        </w:rPr>
        <w:t xml:space="preserve">See</w:t>
      </w:r>
      <w:r>
        <w:t xml:space="preserve"> </w:t>
      </w:r>
      <w:r>
        <w:rPr>
          <w:i/>
          <w:iCs/>
        </w:rPr>
        <w:t xml:space="preserve">Teague</w:t>
      </w:r>
      <w:r>
        <w:t xml:space="preserve">, 489 U.S. at 309–10;</w:t>
      </w:r>
      <w:r>
        <w:t xml:space="preserve"> </w:t>
      </w:r>
      <w:r>
        <w:rPr>
          <w:i/>
          <w:iCs/>
        </w:rPr>
        <w:t xml:space="preserve">see also</w:t>
      </w:r>
      <w:r>
        <w:t xml:space="preserve"> </w:t>
      </w:r>
      <w:r>
        <w:rPr>
          <w:i/>
          <w:iCs/>
        </w:rPr>
        <w:t xml:space="preserve">McCleskey</w:t>
      </w:r>
      <w:r>
        <w:rPr>
          <w:i/>
          <w:iCs/>
        </w:rPr>
        <w:t xml:space="preserve"> </w:t>
      </w:r>
      <w:r>
        <w:rPr>
          <w:i/>
          <w:iCs/>
        </w:rPr>
        <w:t xml:space="preserve">v. Zant</w:t>
      </w:r>
      <w:r>
        <w:t xml:space="preserve">, 499 U.S. 467, 491 (1991) (“Federal collateral litigation places a heavy burden on scarce federal judicial resources, and threatens the capacity of the system to resolve primary disputes.”). In 1992, Louisiana adopted</w:t>
      </w:r>
      <w:r>
        <w:t xml:space="preserve"> </w:t>
      </w:r>
      <w:r>
        <w:rPr>
          <w:i/>
          <w:iCs/>
        </w:rPr>
        <w:t xml:space="preserve">Teague’s test</w:t>
      </w:r>
      <w:r>
        <w:t xml:space="preserve"> </w:t>
      </w:r>
      <w:r>
        <w:t xml:space="preserve">for determining whether decisions affecting new constitutional rules on criminal procedure would be retroactively applied to cases on state collateral review.</w:t>
      </w:r>
      <w:r>
        <w:t xml:space="preserve"> </w:t>
      </w:r>
      <w:r>
        <w:rPr>
          <w:i/>
          <w:iCs/>
        </w:rPr>
        <w:t xml:space="preserve">See</w:t>
      </w:r>
      <w:r>
        <w:t xml:space="preserve"> </w:t>
      </w:r>
      <w:r>
        <w:rPr>
          <w:i/>
          <w:iCs/>
        </w:rPr>
        <w:t xml:space="preserve">Taylor</w:t>
      </w:r>
      <w:r>
        <w:t xml:space="preserve">, 606 So. 2d at 1296;</w:t>
      </w:r>
      <w:r>
        <w:t xml:space="preserve"> </w:t>
      </w:r>
      <w:r>
        <w:rPr>
          <w:i/>
          <w:iCs/>
        </w:rPr>
        <w:t xml:space="preserve">see also</w:t>
      </w:r>
      <w:r>
        <w:t xml:space="preserve"> </w:t>
      </w:r>
      <w:r>
        <w:rPr>
          <w:i/>
          <w:iCs/>
        </w:rPr>
        <w:t xml:space="preserve">State</w:t>
      </w:r>
      <w:r>
        <w:rPr>
          <w:i/>
          <w:iCs/>
        </w:rPr>
        <w:t xml:space="preserve"> </w:t>
      </w:r>
      <w:r>
        <w:rPr>
          <w:i/>
          <w:iCs/>
        </w:rPr>
        <w:t xml:space="preserve">v. Waldron</w:t>
      </w:r>
      <w:r>
        <w:t xml:space="preserve">, No. 2021</w:t>
      </w:r>
      <w:r>
        <w:noBreakHyphen/>
      </w:r>
      <w:r>
        <w:t xml:space="preserve">0512 (La. App. 4 Cir. 01/24/22) (“Louisiana has not abandoned the</w:t>
      </w:r>
      <w:r>
        <w:t xml:space="preserve"> </w:t>
      </w:r>
      <w:r>
        <w:rPr>
          <w:i/>
          <w:iCs/>
        </w:rPr>
        <w:t xml:space="preserve">Teague</w:t>
      </w:r>
      <w:r>
        <w:t xml:space="preserve"> </w:t>
      </w:r>
      <w:r>
        <w:t xml:space="preserve">rule and watershed exception for retroactivity.”).</w:t>
      </w:r>
    </w:p>
    <w:p>
      <w:pPr>
        <w:pStyle w:val="BodyTextNote"/>
      </w:pPr>
      <w:r>
        <w:rPr>
          <w:i/>
          <w:iCs/>
        </w:rPr>
        <w:t xml:space="preserve">Teague</w:t>
      </w:r>
      <w:r>
        <w:t xml:space="preserve"> </w:t>
      </w:r>
      <w:r>
        <w:t xml:space="preserve">requires retroactive application of a new rule if it is a “watershed rule[] of criminal procedure” that “implicate[s] the fundamental fairness [and accuracy]” of the criminal proceeding. 489</w:t>
      </w:r>
      <w:r>
        <w:t xml:space="preserve"> </w:t>
      </w:r>
      <w:r>
        <w:t xml:space="preserve">U.S. at 311–12. Under</w:t>
      </w:r>
      <w:r>
        <w:t xml:space="preserve"> </w:t>
      </w:r>
      <w:r>
        <w:rPr>
          <w:i/>
          <w:iCs/>
        </w:rPr>
        <w:t xml:space="preserve">Teague</w:t>
      </w:r>
      <w:r>
        <w:t xml:space="preserve">, the courts do not balance finality concerns or burdens on the State like courts had done under the</w:t>
      </w:r>
      <w:r>
        <w:t xml:space="preserve"> </w:t>
      </w:r>
      <w:r>
        <w:rPr>
          <w:i/>
          <w:iCs/>
        </w:rPr>
        <w:t xml:space="preserve">Linkletter</w:t>
      </w:r>
      <w:r>
        <w:t xml:space="preserve"> </w:t>
      </w:r>
      <w:r>
        <w:t xml:space="preserve">retroactivity standards.</w:t>
      </w:r>
      <w:r>
        <w:t xml:space="preserve"> </w:t>
      </w:r>
      <w:r>
        <w:rPr>
          <w:i/>
          <w:iCs/>
        </w:rPr>
        <w:t xml:space="preserve">Id.</w:t>
      </w:r>
      <w:r>
        <w:t xml:space="preserve"> </w:t>
      </w:r>
      <w:r>
        <w:t xml:space="preserve">at 309.</w:t>
      </w:r>
      <w:r>
        <w:rPr>
          <w:rStyle w:val="FootnoteReference"/>
        </w:rPr>
        <w:footnoteReference w:id="101"/>
      </w:r>
    </w:p>
    <w:p>
      <w:pPr>
        <w:keepNext/>
        <w:keepLines/>
        <w:spacing w:before="264" w:after="144" w:line="276" w:lineRule="exact"/>
        <w:ind w:left="0" w:firstLine="0"/>
        <w:jc w:val="left"/>
      </w:pPr>
      <w:r>
        <w:rPr>
          <w:b/>
          <w:bCs/>
        </w:rPr>
        <w:t xml:space="preserve">2.</w:t>
      </w:r>
      <w:r>
        <w:rPr>
          <w:b/>
          <w:bCs/>
        </w:rPr>
        <w:t xml:space="preserve"> </w:t>
      </w:r>
      <w:r>
        <w:rPr>
          <w:b/>
          <w:bCs/>
          <w:i/>
          <w:iCs/>
        </w:rPr>
        <w:t xml:space="preserve">Ramos</w:t>
      </w:r>
      <w:r>
        <w:rPr>
          <w:b/>
          <w:bCs/>
        </w:rPr>
        <w:t xml:space="preserve"> </w:t>
      </w:r>
      <w:r>
        <w:rPr>
          <w:b/>
          <w:bCs/>
        </w:rPr>
        <w:t xml:space="preserve">meets</w:t>
      </w:r>
      <w:r>
        <w:rPr>
          <w:b/>
          <w:bCs/>
        </w:rPr>
        <w:t xml:space="preserve"> </w:t>
      </w:r>
      <w:r>
        <w:rPr>
          <w:b/>
          <w:bCs/>
        </w:rPr>
        <w:t xml:space="preserve">the</w:t>
      </w:r>
      <w:r>
        <w:rPr>
          <w:b/>
          <w:bCs/>
        </w:rPr>
        <w:t xml:space="preserve"> </w:t>
      </w:r>
      <w:r>
        <w:rPr>
          <w:b/>
          <w:bCs/>
          <w:i/>
          <w:iCs/>
        </w:rPr>
        <w:t xml:space="preserve">Taylor</w:t>
      </w:r>
      <w:r>
        <w:rPr>
          <w:b/>
          <w:bCs/>
        </w:rPr>
        <w:t xml:space="preserve"> </w:t>
      </w:r>
      <w:r>
        <w:rPr>
          <w:b/>
          <w:bCs/>
        </w:rPr>
        <w:t xml:space="preserve">standard.</w:t>
      </w:r>
    </w:p>
    <w:p>
      <w:pPr>
        <w:pStyle w:val="BodyText"/>
      </w:pPr>
      <w:r>
        <w:t xml:space="preserve">For the reasons detailed in Section A above, the</w:t>
      </w:r>
      <w:r>
        <w:t xml:space="preserve"> </w:t>
      </w:r>
      <w:r>
        <w:rPr>
          <w:i/>
          <w:iCs/>
        </w:rPr>
        <w:t xml:space="preserve">Ramos</w:t>
      </w:r>
      <w:r>
        <w:t xml:space="preserve"> </w:t>
      </w:r>
      <w:r>
        <w:t xml:space="preserve">non–unanimity rule is watershed. It is the only case since</w:t>
      </w:r>
      <w:r>
        <w:t xml:space="preserve"> </w:t>
      </w:r>
      <w:r>
        <w:rPr>
          <w:i/>
          <w:iCs/>
        </w:rPr>
        <w:t xml:space="preserve">Gideon</w:t>
      </w:r>
      <w:r>
        <w:t xml:space="preserve"> </w:t>
      </w:r>
      <w:r>
        <w:t xml:space="preserve">to fundamentally change what it means to have a trial in Louisiana. For 120 years, Louisiana deprived its residents of the benefits conferred to nearly every other U.S. resident. Never before has a case involved such a long-standing and intentional deprivation of a constitutional right in the face of such clear evidence of that deprivation.</w:t>
      </w:r>
    </w:p>
    <w:p>
      <w:pPr>
        <w:pStyle w:val="BodyTextNote"/>
      </w:pPr>
      <w:r>
        <w:t xml:space="preserve">Nearly every opinion concerning retroactivity, including</w:t>
      </w:r>
      <w:r>
        <w:t xml:space="preserve"> </w:t>
      </w:r>
      <w:r>
        <w:rPr>
          <w:i/>
          <w:iCs/>
        </w:rPr>
        <w:t xml:space="preserve">Edwards</w:t>
      </w:r>
      <w:r>
        <w:t xml:space="preserve">, recognizes that the new rule announced by</w:t>
      </w:r>
      <w:r>
        <w:t xml:space="preserve"> </w:t>
      </w:r>
      <w:r>
        <w:rPr>
          <w:i/>
          <w:iCs/>
        </w:rPr>
        <w:t xml:space="preserve">Gideon</w:t>
      </w:r>
      <w:r>
        <w:t xml:space="preserve">—guaranteeing the right to counsel—would be watershed and would need to be retroactive if it were a new rule today.</w:t>
      </w:r>
      <w:r>
        <w:rPr>
          <w:rStyle w:val="FootnoteReference"/>
        </w:rPr>
        <w:footnoteReference w:id="102"/>
      </w:r>
      <w:r>
        <w:t xml:space="preserve"> </w:t>
      </w:r>
      <w:r>
        <w:t xml:space="preserve">In</w:t>
      </w:r>
      <w:r>
        <w:t xml:space="preserve"> </w:t>
      </w:r>
      <w:r>
        <w:rPr>
          <w:i/>
          <w:iCs/>
        </w:rPr>
        <w:t xml:space="preserve">Gideon</w:t>
      </w:r>
      <w:r>
        <w:t xml:space="preserve">, the Court ruled that the Sixth Amendment right to counsel applies to the states through the Fourteenth Amendment. 372</w:t>
      </w:r>
      <w:r>
        <w:t xml:space="preserve"> </w:t>
      </w:r>
      <w:r>
        <w:t xml:space="preserve">U.S. at 342. It is a hallmark of what makes a watershed rule, a bedrock principle of our criminal justice system: the accused shall have counsel. In so holding, the Court overruled</w:t>
      </w:r>
      <w:r>
        <w:t xml:space="preserve"> </w:t>
      </w:r>
      <w:r>
        <w:rPr>
          <w:i/>
          <w:iCs/>
        </w:rPr>
        <w:t xml:space="preserve">Betts</w:t>
      </w:r>
      <w:r>
        <w:rPr>
          <w:i/>
          <w:iCs/>
        </w:rPr>
        <w:t xml:space="preserve"> </w:t>
      </w:r>
      <w:r>
        <w:rPr>
          <w:i/>
          <w:iCs/>
        </w:rPr>
        <w:t xml:space="preserve">v. Brady</w:t>
      </w:r>
      <w:r>
        <w:t xml:space="preserve">, 316 U.S. 455 (1942), which failed to recognize that the right to counsel is fundamental and essential to a fair trial, and noted that the “Sixth Amendment stands as a constant admonition that if the constitutional safeguards it provides be lost, justice will not ‘still be done.’”</w:t>
      </w:r>
      <w:r>
        <w:t xml:space="preserve"> </w:t>
      </w:r>
      <w:r>
        <w:rPr>
          <w:i/>
          <w:iCs/>
        </w:rPr>
        <w:t xml:space="preserve">Gideon</w:t>
      </w:r>
      <w:r>
        <w:t xml:space="preserve">, 372 U.S. at 343. Indeed, the Court in</w:t>
      </w:r>
      <w:r>
        <w:t xml:space="preserve"> </w:t>
      </w:r>
      <w:r>
        <w:rPr>
          <w:i/>
          <w:iCs/>
        </w:rPr>
        <w:t xml:space="preserve">Johnson v. Zerbst</w:t>
      </w:r>
      <w:r>
        <w:t xml:space="preserve"> </w:t>
      </w:r>
      <w:r>
        <w:t xml:space="preserve">had held that the assistance of counsel is “one of the safeguards of the Sixth Amendment deemed necessary to insure fundamental human rights of life and liberty.” 304</w:t>
      </w:r>
      <w:r>
        <w:t xml:space="preserve"> </w:t>
      </w:r>
      <w:r>
        <w:t xml:space="preserve">U.S. 458, 462 (1938). Based in part upon these decisions, the</w:t>
      </w:r>
      <w:r>
        <w:t xml:space="preserve"> </w:t>
      </w:r>
      <w:r>
        <w:rPr>
          <w:i/>
          <w:iCs/>
        </w:rPr>
        <w:t xml:space="preserve">Gideon</w:t>
      </w:r>
      <w:r>
        <w:t xml:space="preserve"> </w:t>
      </w:r>
      <w:r>
        <w:t xml:space="preserve">Court found</w:t>
      </w:r>
      <w:r>
        <w:t xml:space="preserve"> </w:t>
      </w:r>
      <w:r>
        <w:rPr>
          <w:i/>
          <w:iCs/>
        </w:rPr>
        <w:t xml:space="preserve">Betts</w:t>
      </w:r>
      <w:r>
        <w:t xml:space="preserve"> </w:t>
      </w:r>
      <w:r>
        <w:t xml:space="preserve">to be an aberration, and its decision applying the right to counsel to the states to be a restoration of constitutional principles necessary “to achieve a fair system of justice.” 372</w:t>
      </w:r>
      <w:r>
        <w:t xml:space="preserve"> </w:t>
      </w:r>
      <w:r>
        <w:t xml:space="preserve">U.S. at 344.</w:t>
      </w:r>
    </w:p>
    <w:p>
      <w:pPr>
        <w:pStyle w:val="BodyText"/>
      </w:pPr>
      <w:r>
        <w:t xml:space="preserve">This is also what occurred in</w:t>
      </w:r>
      <w:r>
        <w:t xml:space="preserve"> </w:t>
      </w:r>
      <w:r>
        <w:rPr>
          <w:i/>
          <w:iCs/>
        </w:rPr>
        <w:t xml:space="preserve">Ramos</w:t>
      </w:r>
      <w:r>
        <w:t xml:space="preserve">; the Court repudiated its 1972</w:t>
      </w:r>
      <w:r>
        <w:t xml:space="preserve"> </w:t>
      </w:r>
      <w:r>
        <w:rPr>
          <w:i/>
          <w:iCs/>
        </w:rPr>
        <w:t xml:space="preserve">Apodaca</w:t>
      </w:r>
      <w:r>
        <w:t xml:space="preserve"> </w:t>
      </w:r>
      <w:r>
        <w:t xml:space="preserve">decision:</w:t>
      </w:r>
    </w:p>
    <w:p>
      <w:pPr>
        <w:pStyle w:val="XdQuoteOnly"/>
      </w:pPr>
      <w:r>
        <w:t xml:space="preserve">Toppling of precedent needs a special justification—more than a run-of-the-mill claim of error. To meet that demand, the</w:t>
      </w:r>
      <w:r>
        <w:t xml:space="preserve"> </w:t>
      </w:r>
      <w:r>
        <w:rPr>
          <w:i/>
          <w:iCs/>
        </w:rPr>
        <w:t xml:space="preserve">Ramos</w:t>
      </w:r>
      <w:r>
        <w:t xml:space="preserve"> </w:t>
      </w:r>
      <w:r>
        <w:t xml:space="preserve">majority described</w:t>
      </w:r>
      <w:r>
        <w:t xml:space="preserve"> </w:t>
      </w:r>
      <w:r>
        <w:rPr>
          <w:i/>
          <w:iCs/>
        </w:rPr>
        <w:t xml:space="preserve">Apodaca</w:t>
      </w:r>
      <w:r>
        <w:t xml:space="preserve"> </w:t>
      </w:r>
      <w:r>
        <w:t xml:space="preserve">as flouting the essential “meaning of the Sixth Amendment’s jury trial right,” as revealed in both historical practice and judicial decisions.” . . . [T]he Court took the unusual step of overruling precedent for the most fundamental of reasons:</w:t>
      </w:r>
      <w:r>
        <w:t xml:space="preserve"> </w:t>
      </w:r>
      <w:r>
        <w:rPr>
          <w:b/>
          <w:bCs/>
        </w:rPr>
        <w:t xml:space="preserve">the need to ensure, in keeping with the Nation’s oldest traditions, fair and dependable adjudications of a defendant’s guilt</w:t>
      </w:r>
      <w:r>
        <w:t xml:space="preserve">.</w:t>
      </w:r>
    </w:p>
    <w:p>
      <w:pPr>
        <w:pStyle w:val="BodyText"/>
      </w:pPr>
      <w:r>
        <w:rPr>
          <w:i/>
          <w:iCs/>
        </w:rPr>
        <w:t xml:space="preserve">Edwards</w:t>
      </w:r>
      <w:r>
        <w:t xml:space="preserve">, 141 S. Ct. at 1575 (Kagan, J., dissenting) (emphasis added).</w:t>
      </w:r>
    </w:p>
    <w:p>
      <w:pPr>
        <w:keepNext/>
        <w:keepLines/>
        <w:spacing w:before="264" w:after="144" w:line="276" w:lineRule="exact"/>
        <w:ind w:left="0" w:firstLine="0"/>
        <w:jc w:val="left"/>
      </w:pPr>
      <w:r>
        <w:rPr>
          <w:b/>
          <w:bCs/>
        </w:rPr>
        <w:t xml:space="preserve">a.</w:t>
      </w:r>
      <w:r>
        <w:rPr>
          <w:b/>
          <w:bCs/>
        </w:rPr>
        <w:t xml:space="preserve"> </w:t>
      </w:r>
      <w:r>
        <w:rPr>
          <w:b/>
          <w:bCs/>
          <w:i/>
          <w:iCs/>
        </w:rPr>
        <w:t xml:space="preserve">Gideon</w:t>
      </w:r>
      <w:r>
        <w:rPr>
          <w:b/>
          <w:bCs/>
        </w:rPr>
        <w:t xml:space="preserve"> </w:t>
      </w:r>
      <w:r>
        <w:rPr>
          <w:b/>
          <w:bCs/>
        </w:rPr>
        <w:t xml:space="preserve">rejected</w:t>
      </w:r>
      <w:r>
        <w:rPr>
          <w:b/>
          <w:bCs/>
        </w:rPr>
        <w:t xml:space="preserve"> </w:t>
      </w:r>
      <w:r>
        <w:rPr>
          <w:b/>
          <w:bCs/>
        </w:rPr>
        <w:t xml:space="preserve">the</w:t>
      </w:r>
      <w:r>
        <w:rPr>
          <w:b/>
          <w:bCs/>
        </w:rPr>
        <w:t xml:space="preserve"> </w:t>
      </w:r>
      <w:r>
        <w:rPr>
          <w:b/>
          <w:bCs/>
        </w:rPr>
        <w:t xml:space="preserve">relevance</w:t>
      </w:r>
      <w:r>
        <w:rPr>
          <w:b/>
          <w:bCs/>
        </w:rPr>
        <w:t xml:space="preserve"> </w:t>
      </w:r>
      <w:r>
        <w:rPr>
          <w:b/>
          <w:bCs/>
        </w:rPr>
        <w:t xml:space="preserve">of</w:t>
      </w:r>
      <w:r>
        <w:rPr>
          <w:b/>
          <w:bCs/>
        </w:rPr>
        <w:t xml:space="preserve"> </w:t>
      </w:r>
      <w:r>
        <w:rPr>
          <w:b/>
          <w:bCs/>
        </w:rPr>
        <w:t xml:space="preserve">international</w:t>
      </w:r>
      <w:r>
        <w:rPr>
          <w:b/>
          <w:bCs/>
        </w:rPr>
        <w:t xml:space="preserve"> </w:t>
      </w:r>
      <w:r>
        <w:rPr>
          <w:b/>
          <w:bCs/>
        </w:rPr>
        <w:t xml:space="preserve">legal</w:t>
      </w:r>
      <w:r>
        <w:rPr>
          <w:b/>
          <w:bCs/>
        </w:rPr>
        <w:t xml:space="preserve"> </w:t>
      </w:r>
      <w:r>
        <w:rPr>
          <w:b/>
          <w:bCs/>
        </w:rPr>
        <w:t xml:space="preserve">practices.</w:t>
      </w:r>
    </w:p>
    <w:p>
      <w:pPr>
        <w:pStyle w:val="BodyText"/>
      </w:pPr>
      <w:r>
        <w:t xml:space="preserve">The State’s argument that</w:t>
      </w:r>
      <w:r>
        <w:t xml:space="preserve"> </w:t>
      </w:r>
      <w:r>
        <w:rPr>
          <w:i/>
          <w:iCs/>
        </w:rPr>
        <w:t xml:space="preserve">Ramos</w:t>
      </w:r>
      <w:r>
        <w:t xml:space="preserve"> </w:t>
      </w:r>
      <w:r>
        <w:t xml:space="preserve">is different from</w:t>
      </w:r>
      <w:r>
        <w:t xml:space="preserve"> </w:t>
      </w:r>
      <w:r>
        <w:rPr>
          <w:i/>
          <w:iCs/>
        </w:rPr>
        <w:t xml:space="preserve">Gideon</w:t>
      </w:r>
      <w:r>
        <w:t xml:space="preserve"> </w:t>
      </w:r>
      <w:r>
        <w:t xml:space="preserve">because other countries have non-unanimous jury systems echoes an argument that the Court rejected in</w:t>
      </w:r>
      <w:r>
        <w:t xml:space="preserve"> </w:t>
      </w:r>
      <w:r>
        <w:rPr>
          <w:i/>
          <w:iCs/>
        </w:rPr>
        <w:t xml:space="preserve">Gideon</w:t>
      </w:r>
      <w:r>
        <w:t xml:space="preserve">, saying simply that “[t]he right of one charged with crime to counsel may not be deemed fundamental and essential to fair trials in some countries,</w:t>
      </w:r>
      <w:r>
        <w:t xml:space="preserve"> </w:t>
      </w:r>
      <w:r>
        <w:rPr>
          <w:i/>
          <w:iCs/>
        </w:rPr>
        <w:t xml:space="preserve">but it is in ours</w:t>
      </w:r>
      <w:r>
        <w:t xml:space="preserve">.”</w:t>
      </w:r>
      <w:r>
        <w:t xml:space="preserve"> </w:t>
      </w:r>
      <w:r>
        <w:rPr>
          <w:i/>
          <w:iCs/>
        </w:rPr>
        <w:t xml:space="preserve">Gideon</w:t>
      </w:r>
      <w:r>
        <w:t xml:space="preserve">, 372 U.S. at 344 (emphasis added). The Court then emphasized that the right to counsel has long been embedded in U.S. tradition.</w:t>
      </w:r>
      <w:r>
        <w:t xml:space="preserve"> </w:t>
      </w:r>
      <w:r>
        <w:rPr>
          <w:i/>
          <w:iCs/>
        </w:rPr>
        <w:t xml:space="preserve">Id.</w:t>
      </w:r>
    </w:p>
    <w:p>
      <w:pPr>
        <w:keepNext/>
        <w:keepLines/>
        <w:spacing w:before="264" w:after="144" w:line="276" w:lineRule="exact"/>
        <w:ind w:left="0" w:firstLine="0"/>
        <w:jc w:val="left"/>
      </w:pPr>
      <w:r>
        <w:rPr>
          <w:b/>
          <w:bCs/>
        </w:rPr>
        <w:t xml:space="preserve">b.</w:t>
      </w:r>
      <w:r>
        <w:rPr>
          <w:b/>
          <w:bCs/>
        </w:rPr>
        <w:t xml:space="preserve"> </w:t>
      </w:r>
      <w:r>
        <w:rPr>
          <w:b/>
          <w:bCs/>
        </w:rPr>
        <w:t xml:space="preserve">The</w:t>
      </w:r>
      <w:r>
        <w:rPr>
          <w:b/>
          <w:bCs/>
        </w:rPr>
        <w:t xml:space="preserve"> </w:t>
      </w:r>
      <w:r>
        <w:rPr>
          <w:b/>
          <w:bCs/>
        </w:rPr>
        <w:t xml:space="preserve">unanimity</w:t>
      </w:r>
      <w:r>
        <w:rPr>
          <w:b/>
          <w:bCs/>
        </w:rPr>
        <w:t xml:space="preserve"> </w:t>
      </w:r>
      <w:r>
        <w:rPr>
          <w:b/>
          <w:bCs/>
        </w:rPr>
        <w:t xml:space="preserve">tradition</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U.S.</w:t>
      </w:r>
      <w:r>
        <w:rPr>
          <w:b/>
          <w:bCs/>
        </w:rPr>
        <w:t xml:space="preserve"> </w:t>
      </w:r>
      <w:r>
        <w:rPr>
          <w:b/>
          <w:bCs/>
        </w:rPr>
        <w:t xml:space="preserve">is</w:t>
      </w:r>
      <w:r>
        <w:rPr>
          <w:b/>
          <w:bCs/>
        </w:rPr>
        <w:t xml:space="preserve"> </w:t>
      </w:r>
      <w:r>
        <w:rPr>
          <w:b/>
          <w:bCs/>
        </w:rPr>
        <w:t xml:space="preserve">so</w:t>
      </w:r>
      <w:r>
        <w:rPr>
          <w:b/>
          <w:bCs/>
        </w:rPr>
        <w:t xml:space="preserve"> </w:t>
      </w:r>
      <w:r>
        <w:rPr>
          <w:b/>
          <w:bCs/>
        </w:rPr>
        <w:t xml:space="preserve">deep</w:t>
      </w:r>
      <w:r>
        <w:rPr>
          <w:b/>
          <w:bCs/>
        </w:rPr>
        <w:t xml:space="preserve"> </w:t>
      </w:r>
      <w:r>
        <w:rPr>
          <w:b/>
          <w:bCs/>
        </w:rPr>
        <w:t xml:space="preserve">that</w:t>
      </w:r>
      <w:r>
        <w:rPr>
          <w:b/>
          <w:bCs/>
        </w:rPr>
        <w:t xml:space="preserve"> </w:t>
      </w:r>
      <w:r>
        <w:rPr>
          <w:b/>
          <w:bCs/>
        </w:rPr>
        <w:t xml:space="preserve">depriving</w:t>
      </w:r>
      <w:r>
        <w:rPr>
          <w:b/>
          <w:bCs/>
        </w:rPr>
        <w:t xml:space="preserve"> </w:t>
      </w:r>
      <w:r>
        <w:rPr>
          <w:b/>
          <w:bCs/>
        </w:rPr>
        <w:t xml:space="preserve">Louisianans</w:t>
      </w:r>
      <w:r>
        <w:rPr>
          <w:b/>
          <w:bCs/>
        </w:rPr>
        <w:t xml:space="preserve"> </w:t>
      </w:r>
      <w:r>
        <w:rPr>
          <w:b/>
          <w:bCs/>
        </w:rPr>
        <w:t xml:space="preserve">of</w:t>
      </w:r>
      <w:r>
        <w:rPr>
          <w:b/>
          <w:bCs/>
        </w:rPr>
        <w:t xml:space="preserve"> </w:t>
      </w:r>
      <w:r>
        <w:rPr>
          <w:b/>
          <w:bCs/>
        </w:rPr>
        <w:t xml:space="preserve">this</w:t>
      </w:r>
      <w:r>
        <w:rPr>
          <w:b/>
          <w:bCs/>
        </w:rPr>
        <w:t xml:space="preserve"> </w:t>
      </w:r>
      <w:r>
        <w:rPr>
          <w:b/>
          <w:bCs/>
        </w:rPr>
        <w:t xml:space="preserve">right</w:t>
      </w:r>
      <w:r>
        <w:rPr>
          <w:b/>
          <w:bCs/>
        </w:rPr>
        <w:t xml:space="preserve"> </w:t>
      </w:r>
      <w:r>
        <w:rPr>
          <w:b/>
          <w:bCs/>
        </w:rPr>
        <w:t xml:space="preserve">is</w:t>
      </w:r>
      <w:r>
        <w:rPr>
          <w:b/>
          <w:bCs/>
        </w:rPr>
        <w:t xml:space="preserve"> </w:t>
      </w:r>
      <w:r>
        <w:rPr>
          <w:b/>
          <w:bCs/>
        </w:rPr>
        <w:t xml:space="preserve">abhorrent.</w:t>
      </w:r>
    </w:p>
    <w:p>
      <w:pPr>
        <w:pStyle w:val="BodyTextNote"/>
      </w:pPr>
      <w:r>
        <w:t xml:space="preserve">The tradition of unanimity is just as deep as the right to counsel, if not deeper. When James Madison picked up his quill and began drafting the Sixth Amendment, and when the states ratified the same, the idea of jurors dissenting and a conviction still occurring was unthinkable.</w:t>
      </w:r>
      <w:r>
        <w:rPr>
          <w:rStyle w:val="FootnoteReference"/>
        </w:rPr>
        <w:footnoteReference w:id="103"/>
      </w:r>
      <w:r>
        <w:t xml:space="preserve"> </w:t>
      </w:r>
      <w:r>
        <w:t xml:space="preserve">The State accepted this was the common law practice in its</w:t>
      </w:r>
      <w:r>
        <w:t xml:space="preserve"> </w:t>
      </w:r>
      <w:r>
        <w:rPr>
          <w:i/>
          <w:iCs/>
        </w:rPr>
        <w:t xml:space="preserve">Ramos</w:t>
      </w:r>
      <w:r>
        <w:t xml:space="preserve"> </w:t>
      </w:r>
      <w:r>
        <w:t xml:space="preserve">briefing.</w:t>
      </w:r>
      <w:r>
        <w:t xml:space="preserve"> </w:t>
      </w:r>
      <w:r>
        <w:rPr>
          <w:i/>
          <w:iCs/>
        </w:rPr>
        <w:t xml:space="preserve">See</w:t>
      </w:r>
      <w:r>
        <w:t xml:space="preserve"> </w:t>
      </w:r>
      <w:r>
        <w:rPr>
          <w:i/>
          <w:iCs/>
        </w:rPr>
        <w:t xml:space="preserve">Ramos</w:t>
      </w:r>
      <w:r>
        <w:t xml:space="preserve">, 140 S. Ct. at 1400 (“Sensibly, Louisiana doesn’t dispute that the common law required unanimity.”). Louisiana was no different: its practice was rooted in juror unanimity.</w:t>
      </w:r>
      <w:r>
        <w:t xml:space="preserve"> </w:t>
      </w:r>
      <w:r>
        <w:rPr>
          <w:i/>
          <w:iCs/>
        </w:rPr>
        <w:t xml:space="preserve">State</w:t>
      </w:r>
      <w:r>
        <w:rPr>
          <w:i/>
          <w:iCs/>
        </w:rPr>
        <w:t xml:space="preserve"> </w:t>
      </w:r>
      <w:r>
        <w:rPr>
          <w:i/>
          <w:iCs/>
        </w:rPr>
        <w:t xml:space="preserve">v. Ardoin</w:t>
      </w:r>
      <w:r>
        <w:t xml:space="preserve">, 51 La. Ann. 169, 24 So. 802 (Sup. 1899).</w:t>
      </w:r>
    </w:p>
    <w:p>
      <w:pPr>
        <w:pStyle w:val="BodyTextNote"/>
      </w:pPr>
      <w:r>
        <w:t xml:space="preserve">The year that Louisiana’s 1898 Constitution took effect, the U.S. Supreme Court said that a person at trial enjoys a “constitutional right to demand that his liberty should not be taken from him except by the joint action of the court and the unanimous verdict of a jury of twelve persons.”</w:t>
      </w:r>
      <w:r>
        <w:t xml:space="preserve"> </w:t>
      </w:r>
      <w:r>
        <w:rPr>
          <w:i/>
          <w:iCs/>
        </w:rPr>
        <w:t xml:space="preserve">Thompson</w:t>
      </w:r>
      <w:r>
        <w:rPr>
          <w:i/>
          <w:iCs/>
        </w:rPr>
        <w:t xml:space="preserve"> </w:t>
      </w:r>
      <w:r>
        <w:rPr>
          <w:i/>
          <w:iCs/>
        </w:rPr>
        <w:t xml:space="preserve">v. Utah</w:t>
      </w:r>
      <w:r>
        <w:t xml:space="preserve">, 170 U.S. 343, 351 (1898). In all, the U.S. Supreme Court commented 13 times over 120 years that under the Sixth Amendment, juries in the United States require unanimity.</w:t>
      </w:r>
      <w:r>
        <w:rPr>
          <w:rStyle w:val="FootnoteReference"/>
        </w:rPr>
        <w:footnoteReference w:id="104"/>
      </w:r>
    </w:p>
    <w:p>
      <w:pPr>
        <w:pStyle w:val="BodyTextNote"/>
      </w:pPr>
      <w:r>
        <w:t xml:space="preserve">There was no serious debate that the Sixth Amendment applied to state and federal trials, equally.</w:t>
      </w:r>
      <w:r>
        <w:rPr>
          <w:rStyle w:val="FootnoteReference"/>
        </w:rPr>
        <w:footnoteReference w:id="105"/>
      </w:r>
      <w:r>
        <w:t xml:space="preserve"> </w:t>
      </w:r>
      <w:r>
        <w:t xml:space="preserve">In</w:t>
      </w:r>
      <w:r>
        <w:t xml:space="preserve"> </w:t>
      </w:r>
      <w:r>
        <w:rPr>
          <w:i/>
          <w:iCs/>
        </w:rPr>
        <w:t xml:space="preserve">Duncan</w:t>
      </w:r>
      <w:r>
        <w:t xml:space="preserve">, the U.S. Supreme Court said as much when it explained that the Sixth Amendment right to a jury trial is “fundamental to the American scheme of justice” and incorporated against the States under the Fourteenth Amendment. 391</w:t>
      </w:r>
      <w:r>
        <w:t xml:space="preserve"> </w:t>
      </w:r>
      <w:r>
        <w:t xml:space="preserve">U.S. at 148–50. Incorporated provisions of the Bill of Rights bear the same content regardless of whether they are asserted against a state or the federal government.</w:t>
      </w:r>
      <w:r>
        <w:t xml:space="preserve"> </w:t>
      </w:r>
      <w:r>
        <w:rPr>
          <w:i/>
          <w:iCs/>
        </w:rPr>
        <w:t xml:space="preserve">Malloy</w:t>
      </w:r>
      <w:r>
        <w:rPr>
          <w:i/>
          <w:iCs/>
        </w:rPr>
        <w:t xml:space="preserve"> </w:t>
      </w:r>
      <w:r>
        <w:rPr>
          <w:i/>
          <w:iCs/>
        </w:rPr>
        <w:t xml:space="preserve">v. Hogan</w:t>
      </w:r>
      <w:r>
        <w:t xml:space="preserve">, 378 U.S. 1, 10–11 (1964).</w:t>
      </w:r>
    </w:p>
    <w:p>
      <w:pPr>
        <w:pStyle w:val="BodyTextNote"/>
      </w:pPr>
      <w:r>
        <w:t xml:space="preserve">As precedent,</w:t>
      </w:r>
      <w:r>
        <w:t xml:space="preserve"> </w:t>
      </w:r>
      <w:r>
        <w:rPr>
          <w:i/>
          <w:iCs/>
        </w:rPr>
        <w:t xml:space="preserve">Apodaca</w:t>
      </w:r>
      <w:r>
        <w:rPr>
          <w:i/>
          <w:iCs/>
        </w:rPr>
        <w:t xml:space="preserve"> </w:t>
      </w:r>
      <w:r>
        <w:rPr>
          <w:i/>
          <w:iCs/>
        </w:rPr>
        <w:t xml:space="preserve">v. Oregon</w:t>
      </w:r>
      <w:r>
        <w:t xml:space="preserve">, 406 U.S. 404 (1972) (plurality opinion), is unworkable—the U.S. Supreme Court itself has acknowledged this.</w:t>
      </w:r>
      <w:r>
        <w:t xml:space="preserve"> </w:t>
      </w:r>
      <w:r>
        <w:rPr>
          <w:i/>
          <w:iCs/>
        </w:rPr>
        <w:t xml:space="preserve">See</w:t>
      </w:r>
      <w:r>
        <w:t xml:space="preserve"> </w:t>
      </w:r>
      <w:r>
        <w:rPr>
          <w:i/>
          <w:iCs/>
        </w:rPr>
        <w:t xml:space="preserve">Ramos</w:t>
      </w:r>
      <w:r>
        <w:t xml:space="preserve">, 140 S. Ct. 1398–99 (describing the tortured efforts to make sense of</w:t>
      </w:r>
      <w:r>
        <w:t xml:space="preserve"> </w:t>
      </w:r>
      <w:r>
        <w:rPr>
          <w:i/>
          <w:iCs/>
        </w:rPr>
        <w:t xml:space="preserve">Apodaca</w:t>
      </w:r>
      <w:r>
        <w:t xml:space="preserve"> </w:t>
      </w:r>
      <w:r>
        <w:t xml:space="preserve">and noting “[r]eally, no one has found a way to make sense of it.”). Moreover, in</w:t>
      </w:r>
      <w:r>
        <w:t xml:space="preserve"> </w:t>
      </w:r>
      <w:r>
        <w:rPr>
          <w:i/>
          <w:iCs/>
        </w:rPr>
        <w:t xml:space="preserve">Apodaca</w:t>
      </w:r>
      <w:r>
        <w:t xml:space="preserve">, a majority of the justices agreed that non-unanimous jury verdicts violated the Sixth Amendment.</w:t>
      </w:r>
      <w:r>
        <w:rPr>
          <w:rStyle w:val="FootnoteReference"/>
        </w:rPr>
        <w:footnoteReference w:id="106"/>
      </w:r>
      <w:r>
        <w:t xml:space="preserve"> </w:t>
      </w:r>
      <w:r>
        <w:t xml:space="preserve">Thus, there has never been a case up for retroactive consideration that has so blatantly allowed a group of residents to languish in a space created by a clearly incorrect case.</w:t>
      </w:r>
    </w:p>
    <w:p>
      <w:pPr>
        <w:pStyle w:val="BodyText"/>
      </w:pPr>
      <w:r>
        <w:t xml:space="preserve">The strange turn of jurisprudence in the</w:t>
      </w:r>
      <w:r>
        <w:t xml:space="preserve"> </w:t>
      </w:r>
      <w:r>
        <w:rPr>
          <w:i/>
          <w:iCs/>
        </w:rPr>
        <w:t xml:space="preserve">Apodaca</w:t>
      </w:r>
      <w:r>
        <w:t xml:space="preserve"> </w:t>
      </w:r>
      <w:r>
        <w:t xml:space="preserve">case shows how a plurality opinion can impact the freedom and rights of hundreds of people. This caused the</w:t>
      </w:r>
      <w:r>
        <w:t xml:space="preserve"> </w:t>
      </w:r>
      <w:r>
        <w:rPr>
          <w:i/>
          <w:iCs/>
        </w:rPr>
        <w:t xml:space="preserve">Ramos</w:t>
      </w:r>
      <w:r>
        <w:t xml:space="preserve"> </w:t>
      </w:r>
      <w:r>
        <w:t xml:space="preserve">Court to ponder, “[h]ow, despite these seemingly straightforward principles, have Louisiana’s and Oregon’s laws managed to hang on for so long?” 140</w:t>
      </w:r>
      <w:r>
        <w:t xml:space="preserve"> </w:t>
      </w:r>
      <w:r>
        <w:t xml:space="preserve">S. Ct. 1397. The Court further remarked that Louisiana’s justification for having non-unanimous convictions “always stood on shaky ground.”</w:t>
      </w:r>
      <w:r>
        <w:t xml:space="preserve"> </w:t>
      </w:r>
      <w:r>
        <w:rPr>
          <w:i/>
          <w:iCs/>
        </w:rPr>
        <w:t xml:space="preserve">Id.</w:t>
      </w:r>
      <w:r>
        <w:t xml:space="preserve"> </w:t>
      </w:r>
      <w:r>
        <w:t xml:space="preserve">at 1398.</w:t>
      </w:r>
    </w:p>
    <w:p>
      <w:pPr>
        <w:pStyle w:val="BodyText"/>
      </w:pPr>
      <w:r>
        <w:t xml:space="preserve">As the dissent in</w:t>
      </w:r>
      <w:r>
        <w:t xml:space="preserve"> </w:t>
      </w:r>
      <w:r>
        <w:rPr>
          <w:i/>
          <w:iCs/>
        </w:rPr>
        <w:t xml:space="preserve">Edwards</w:t>
      </w:r>
      <w:r>
        <w:t xml:space="preserve"> </w:t>
      </w:r>
      <w:r>
        <w:t xml:space="preserve">explained:</w:t>
      </w:r>
    </w:p>
    <w:p>
      <w:pPr>
        <w:pStyle w:val="XdQuoteOnly"/>
      </w:pPr>
      <w:r>
        <w:t xml:space="preserve">The unanimity rule, as</w:t>
      </w:r>
      <w:r>
        <w:t xml:space="preserve"> </w:t>
      </w:r>
      <w:r>
        <w:rPr>
          <w:i/>
          <w:iCs/>
        </w:rPr>
        <w:t xml:space="preserve">Ramos</w:t>
      </w:r>
      <w:r>
        <w:t xml:space="preserve"> </w:t>
      </w:r>
      <w:r>
        <w:t xml:space="preserve">described it, is as “bedrock” as bedrock comes. It is as grounded in the Nation’s constitutional traditions—with centuries-old practice becoming part of the Sixth Amendment’s original meaning. And it is as central to the Nation’s idea of a fair and reliable guilty verdict. When can the State punish a defendant for committing a crime? Return again to</w:t>
      </w:r>
      <w:r>
        <w:t xml:space="preserve"> </w:t>
      </w:r>
      <w:r>
        <w:rPr>
          <w:i/>
          <w:iCs/>
        </w:rPr>
        <w:t xml:space="preserve">Ramos</w:t>
      </w:r>
      <w:r>
        <w:t xml:space="preserve">, this time going back to Blackstone: Only when “the truth of [an] accusation” is “confirmed by the unanimous suffrage” of a jury “of his equals and neighbours.” For only then is the jury’s finding of guilt certain enough—secure enough, mistake-proof enough—to take away the person’s freedom.</w:t>
      </w:r>
    </w:p>
    <w:p>
      <w:pPr>
        <w:pStyle w:val="BodyText"/>
      </w:pPr>
      <w:r>
        <w:t xml:space="preserve">141</w:t>
      </w:r>
      <w:r>
        <w:t xml:space="preserve"> </w:t>
      </w:r>
      <w:r>
        <w:t xml:space="preserve">S. Ct. at 1576 (Kagan, J., dissenting) (internal citations omitted).</w:t>
      </w:r>
    </w:p>
    <w:p>
      <w:pPr>
        <w:keepNext/>
        <w:keepLines/>
        <w:spacing w:before="264" w:after="144" w:line="276" w:lineRule="exact"/>
        <w:ind w:left="0" w:firstLine="0"/>
        <w:jc w:val="left"/>
      </w:pPr>
      <w:r>
        <w:rPr>
          <w:b/>
          <w:bCs/>
        </w:rPr>
        <w:t xml:space="preserve">c.</w:t>
      </w:r>
      <w:r>
        <w:rPr>
          <w:b/>
          <w:bCs/>
        </w:rPr>
        <w:t xml:space="preserve"> </w:t>
      </w:r>
      <w:r>
        <w:rPr>
          <w:b/>
          <w:bCs/>
        </w:rPr>
        <w:t xml:space="preserve">Courts</w:t>
      </w:r>
      <w:r>
        <w:rPr>
          <w:b/>
          <w:bCs/>
        </w:rPr>
        <w:t xml:space="preserve"> </w:t>
      </w:r>
      <w:r>
        <w:rPr>
          <w:b/>
          <w:bCs/>
        </w:rPr>
        <w:t xml:space="preserve">have</w:t>
      </w:r>
      <w:r>
        <w:rPr>
          <w:b/>
          <w:bCs/>
        </w:rPr>
        <w:t xml:space="preserve"> </w:t>
      </w:r>
      <w:r>
        <w:rPr>
          <w:b/>
          <w:bCs/>
        </w:rPr>
        <w:t xml:space="preserve">found</w:t>
      </w:r>
      <w:r>
        <w:rPr>
          <w:b/>
          <w:bCs/>
        </w:rPr>
        <w:t xml:space="preserve"> </w:t>
      </w:r>
      <w:r>
        <w:rPr>
          <w:b/>
          <w:bCs/>
        </w:rPr>
        <w:t xml:space="preserve">new</w:t>
      </w:r>
      <w:r>
        <w:rPr>
          <w:b/>
          <w:bCs/>
        </w:rPr>
        <w:t xml:space="preserve"> </w:t>
      </w:r>
      <w:r>
        <w:rPr>
          <w:b/>
          <w:bCs/>
        </w:rPr>
        <w:t xml:space="preserve">rules</w:t>
      </w:r>
      <w:r>
        <w:rPr>
          <w:b/>
          <w:bCs/>
        </w:rPr>
        <w:t xml:space="preserve"> </w:t>
      </w:r>
      <w:r>
        <w:rPr>
          <w:b/>
          <w:bCs/>
        </w:rPr>
        <w:t xml:space="preserve">retroactive,</w:t>
      </w:r>
      <w:r>
        <w:rPr>
          <w:b/>
          <w:bCs/>
        </w:rPr>
        <w:t xml:space="preserve"> </w:t>
      </w:r>
      <w:r>
        <w:rPr>
          <w:b/>
          <w:bCs/>
        </w:rPr>
        <w:t xml:space="preserve">including</w:t>
      </w:r>
      <w:r>
        <w:rPr>
          <w:b/>
          <w:bCs/>
        </w:rPr>
        <w:t xml:space="preserve"> </w:t>
      </w:r>
      <w:r>
        <w:rPr>
          <w:b/>
          <w:bCs/>
        </w:rPr>
        <w:t xml:space="preserve">this</w:t>
      </w:r>
      <w:r>
        <w:rPr>
          <w:b/>
          <w:bCs/>
        </w:rPr>
        <w:t xml:space="preserve"> </w:t>
      </w:r>
      <w:r>
        <w:rPr>
          <w:b/>
          <w:bCs/>
        </w:rPr>
        <w:t xml:space="preserve">Court.</w:t>
      </w:r>
    </w:p>
    <w:p>
      <w:pPr>
        <w:pStyle w:val="BodyTextNote"/>
      </w:pPr>
      <w:r>
        <w:t xml:space="preserve">Contrary to the State’s assertion, both the U.S. Supreme Court and this Court has found new rules retroactive under the U.S. Supreme Court’s past standard—a standard still used in many states.</w:t>
      </w:r>
      <w:r>
        <w:rPr>
          <w:rStyle w:val="FootnoteReference"/>
        </w:rPr>
        <w:footnoteReference w:id="107"/>
      </w:r>
      <w:r>
        <w:t xml:space="preserve"> </w:t>
      </w:r>
      <w:r>
        <w:t xml:space="preserve">In</w:t>
      </w:r>
      <w:r>
        <w:t xml:space="preserve"> </w:t>
      </w:r>
      <w:r>
        <w:rPr>
          <w:i/>
          <w:iCs/>
        </w:rPr>
        <w:t xml:space="preserve">Ivan V.</w:t>
      </w:r>
      <w:r>
        <w:t xml:space="preserve">, the U.S. Supreme Court gave “complete retroactive effect” to the rule of</w:t>
      </w:r>
      <w:r>
        <w:t xml:space="preserve"> </w:t>
      </w:r>
      <w:r>
        <w:rPr>
          <w:i/>
          <w:iCs/>
        </w:rPr>
        <w:t xml:space="preserve">In re Winship</w:t>
      </w:r>
      <w:r>
        <w:t xml:space="preserve">, that a jury must find guilt “beyond a reasonable doubt.” 407</w:t>
      </w:r>
      <w:r>
        <w:t xml:space="preserve"> </w:t>
      </w:r>
      <w:r>
        <w:t xml:space="preserve">U.S. at 204. The</w:t>
      </w:r>
      <w:r>
        <w:t xml:space="preserve"> </w:t>
      </w:r>
      <w:r>
        <w:rPr>
          <w:i/>
          <w:iCs/>
        </w:rPr>
        <w:t xml:space="preserve">Ivan V.</w:t>
      </w:r>
      <w:r>
        <w:t xml:space="preserve"> </w:t>
      </w:r>
      <w:r>
        <w:t xml:space="preserve">court needed only two pages to find</w:t>
      </w:r>
      <w:r>
        <w:t xml:space="preserve"> </w:t>
      </w:r>
      <w:r>
        <w:rPr>
          <w:i/>
          <w:iCs/>
        </w:rPr>
        <w:t xml:space="preserve">In re Winship</w:t>
      </w:r>
      <w:r>
        <w:t xml:space="preserve"> </w:t>
      </w:r>
      <w:r>
        <w:t xml:space="preserve">retroactive, because, like</w:t>
      </w:r>
      <w:r>
        <w:t xml:space="preserve"> </w:t>
      </w:r>
      <w:r>
        <w:rPr>
          <w:i/>
          <w:iCs/>
        </w:rPr>
        <w:t xml:space="preserve">Ramos</w:t>
      </w:r>
      <w:r>
        <w:t xml:space="preserve">, the</w:t>
      </w:r>
      <w:r>
        <w:t xml:space="preserve"> </w:t>
      </w:r>
      <w:r>
        <w:rPr>
          <w:i/>
          <w:iCs/>
        </w:rPr>
        <w:t xml:space="preserve">In re Winship</w:t>
      </w:r>
      <w:r>
        <w:t xml:space="preserve"> </w:t>
      </w:r>
      <w:r>
        <w:t xml:space="preserve">case involved an “ancient” legal tradition, in place to “safeguard” from “unjust convictions, with resulting forfeitures” of freedom.</w:t>
      </w:r>
      <w:r>
        <w:t xml:space="preserve"> </w:t>
      </w:r>
      <w:r>
        <w:rPr>
          <w:i/>
          <w:iCs/>
        </w:rPr>
        <w:t xml:space="preserve">See</w:t>
      </w:r>
      <w:r>
        <w:t xml:space="preserve"> </w:t>
      </w:r>
      <w:r>
        <w:rPr>
          <w:i/>
          <w:iCs/>
        </w:rPr>
        <w:t xml:space="preserve">In</w:t>
      </w:r>
      <w:r>
        <w:rPr>
          <w:i/>
          <w:iCs/>
        </w:rPr>
        <w:t xml:space="preserve"> </w:t>
      </w:r>
      <w:r>
        <w:rPr>
          <w:i/>
          <w:iCs/>
        </w:rPr>
        <w:t xml:space="preserve">re Winship</w:t>
      </w:r>
      <w:r>
        <w:t xml:space="preserve">, 397 U.S. at 361–62. When a jury has divided, as when it has failed to apply the reasonable-doubt standard, “there has been no jury verdict within the meaning of the Sixth Amendment.”</w:t>
      </w:r>
      <w:r>
        <w:t xml:space="preserve"> </w:t>
      </w:r>
      <w:r>
        <w:rPr>
          <w:i/>
          <w:iCs/>
        </w:rPr>
        <w:t xml:space="preserve">Sullivan</w:t>
      </w:r>
      <w:r>
        <w:rPr>
          <w:i/>
          <w:iCs/>
        </w:rPr>
        <w:t xml:space="preserve"> </w:t>
      </w:r>
      <w:r>
        <w:rPr>
          <w:i/>
          <w:iCs/>
        </w:rPr>
        <w:t xml:space="preserve">v. Louisiana</w:t>
      </w:r>
      <w:r>
        <w:t xml:space="preserve">, 508 U.S. 275, 280 (1993).</w:t>
      </w:r>
    </w:p>
    <w:p>
      <w:pPr>
        <w:pStyle w:val="BodyText"/>
      </w:pPr>
      <w:r>
        <w:t xml:space="preserve">Under that previous standard, the U.S. Supreme Court also found</w:t>
      </w:r>
      <w:r>
        <w:t xml:space="preserve"> </w:t>
      </w:r>
      <w:r>
        <w:rPr>
          <w:i/>
          <w:iCs/>
        </w:rPr>
        <w:t xml:space="preserve">Burch</w:t>
      </w:r>
      <w:r>
        <w:t xml:space="preserve"> </w:t>
      </w:r>
      <w:r>
        <w:t xml:space="preserve">retroactive in</w:t>
      </w:r>
      <w:r>
        <w:t xml:space="preserve"> </w:t>
      </w:r>
      <w:r>
        <w:rPr>
          <w:i/>
          <w:iCs/>
        </w:rPr>
        <w:t xml:space="preserve">Brown</w:t>
      </w:r>
      <w:r>
        <w:t xml:space="preserve">—the case described</w:t>
      </w:r>
      <w:r>
        <w:t xml:space="preserve"> </w:t>
      </w:r>
      <w:r>
        <w:rPr>
          <w:i/>
          <w:iCs/>
        </w:rPr>
        <w:t xml:space="preserve">supra</w:t>
      </w:r>
      <w:r>
        <w:t xml:space="preserve"> </w:t>
      </w:r>
      <w:r>
        <w:t xml:space="preserve">regarding non-unanimous six-person jury verdicts in Louisiana. 447</w:t>
      </w:r>
      <w:r>
        <w:t xml:space="preserve"> </w:t>
      </w:r>
      <w:r>
        <w:t xml:space="preserve">U.S. at 331 (plurality opinion).</w:t>
      </w:r>
      <w:r>
        <w:t xml:space="preserve"> </w:t>
      </w:r>
      <w:r>
        <w:rPr>
          <w:i/>
          <w:iCs/>
        </w:rPr>
        <w:t xml:space="preserve">Brown</w:t>
      </w:r>
      <w:r>
        <w:t xml:space="preserve"> </w:t>
      </w:r>
      <w:r>
        <w:t xml:space="preserve">found conviction by a non-unanimous jury “impair[s]” the “purpose and functioning of the jury,” undermines the Sixth Amendment’s very “essence,” “raises serious doubts about the fairness of [a] trial,” and fails to “assure the reliability of [a guilty] verdict.”</w:t>
      </w:r>
      <w:r>
        <w:t xml:space="preserve"> </w:t>
      </w:r>
      <w:r>
        <w:rPr>
          <w:i/>
          <w:iCs/>
        </w:rPr>
        <w:t xml:space="preserve">Id.</w:t>
      </w:r>
      <w:r>
        <w:t xml:space="preserve"> </w:t>
      </w:r>
      <w:r>
        <w:t xml:space="preserve">at 331, 334, 334 n.13.</w:t>
      </w:r>
    </w:p>
    <w:p>
      <w:pPr>
        <w:pStyle w:val="BodyText"/>
      </w:pPr>
      <w:r>
        <w:t xml:space="preserve">This Court gave retroactive effect to new rules before</w:t>
      </w:r>
      <w:r>
        <w:t xml:space="preserve"> </w:t>
      </w:r>
      <w:r>
        <w:rPr>
          <w:i/>
          <w:iCs/>
        </w:rPr>
        <w:t xml:space="preserve">Taylor</w:t>
      </w:r>
      <w:r>
        <w:t xml:space="preserve"> </w:t>
      </w:r>
      <w:r>
        <w:t xml:space="preserve">adopted</w:t>
      </w:r>
      <w:r>
        <w:t xml:space="preserve"> </w:t>
      </w:r>
      <w:r>
        <w:rPr>
          <w:i/>
          <w:iCs/>
        </w:rPr>
        <w:t xml:space="preserve">Teague</w:t>
      </w:r>
      <w:r>
        <w:t xml:space="preserve">. It did so, for instance, for the new rule announced in</w:t>
      </w:r>
      <w:r>
        <w:t xml:space="preserve"> </w:t>
      </w:r>
      <w:r>
        <w:rPr>
          <w:i/>
          <w:iCs/>
        </w:rPr>
        <w:t xml:space="preserve">State</w:t>
      </w:r>
      <w:r>
        <w:rPr>
          <w:i/>
          <w:iCs/>
        </w:rPr>
        <w:t xml:space="preserve"> </w:t>
      </w:r>
      <w:r>
        <w:rPr>
          <w:i/>
          <w:iCs/>
        </w:rPr>
        <w:t xml:space="preserve">v. Broussard</w:t>
      </w:r>
      <w:r>
        <w:t xml:space="preserve">, 490 So.2d 273 (La. 1986) (reversing a contempt conviction on the ground that the defendant was not advised of his</w:t>
      </w:r>
      <w:r>
        <w:t xml:space="preserve"> </w:t>
      </w:r>
      <w:r>
        <w:rPr>
          <w:i/>
          <w:iCs/>
        </w:rPr>
        <w:t xml:space="preserve">Boykin</w:t>
      </w:r>
      <w:r>
        <w:t xml:space="preserve"> </w:t>
      </w:r>
      <w:r>
        <w:t xml:space="preserve">rights and not afforded counsel). This Court found</w:t>
      </w:r>
      <w:r>
        <w:t xml:space="preserve"> </w:t>
      </w:r>
      <w:r>
        <w:rPr>
          <w:i/>
          <w:iCs/>
        </w:rPr>
        <w:t xml:space="preserve">Broussard</w:t>
      </w:r>
      <w:r>
        <w:t xml:space="preserve"> </w:t>
      </w:r>
      <w:r>
        <w:t xml:space="preserve">retroactive in</w:t>
      </w:r>
      <w:r>
        <w:t xml:space="preserve"> </w:t>
      </w:r>
      <w:r>
        <w:rPr>
          <w:i/>
          <w:iCs/>
        </w:rPr>
        <w:t xml:space="preserve">State</w:t>
      </w:r>
      <w:r>
        <w:rPr>
          <w:i/>
          <w:iCs/>
        </w:rPr>
        <w:t xml:space="preserve"> </w:t>
      </w:r>
      <w:r>
        <w:rPr>
          <w:i/>
          <w:iCs/>
        </w:rPr>
        <w:t xml:space="preserve">v. St. Pierre</w:t>
      </w:r>
      <w:r>
        <w:t xml:space="preserve">, 515 So.2d 769, 775 (La. 1987) (finding the right to counsel retroactively applicable in contempt proceedings, but the</w:t>
      </w:r>
      <w:r>
        <w:t xml:space="preserve"> </w:t>
      </w:r>
      <w:r>
        <w:rPr>
          <w:i/>
          <w:iCs/>
        </w:rPr>
        <w:t xml:space="preserve">Boykin</w:t>
      </w:r>
      <w:r>
        <w:t xml:space="preserve"> </w:t>
      </w:r>
      <w:r>
        <w:t xml:space="preserve">right prospective only). It did so because the new rule affected “the fairness of the trial—the very integrity of the fact finding process.”</w:t>
      </w:r>
      <w:r>
        <w:t xml:space="preserve"> </w:t>
      </w:r>
      <w:r>
        <w:rPr>
          <w:i/>
          <w:iCs/>
        </w:rPr>
        <w:t xml:space="preserve">Id.</w:t>
      </w:r>
    </w:p>
    <w:p>
      <w:pPr>
        <w:pStyle w:val="BodyTextNote"/>
      </w:pPr>
      <w:r>
        <w:t xml:space="preserve">As noted in the State’s Brief, the Louisiana Supreme Court has rarely had occasion to use the</w:t>
      </w:r>
      <w:r>
        <w:t xml:space="preserve"> </w:t>
      </w:r>
      <w:r>
        <w:rPr>
          <w:i/>
          <w:iCs/>
        </w:rPr>
        <w:t xml:space="preserve">Teague</w:t>
      </w:r>
      <w:r>
        <w:t xml:space="preserve"> </w:t>
      </w:r>
      <w:r>
        <w:t xml:space="preserve">“watershed rule” test for new procedural rules.</w:t>
      </w:r>
      <w:r>
        <w:t xml:space="preserve"> </w:t>
      </w:r>
      <w:r>
        <w:rPr>
          <w:i/>
          <w:iCs/>
        </w:rPr>
        <w:t xml:space="preserve">Stewart</w:t>
      </w:r>
      <w:r>
        <w:rPr>
          <w:i/>
          <w:iCs/>
        </w:rPr>
        <w:t xml:space="preserve"> </w:t>
      </w:r>
      <w:r>
        <w:rPr>
          <w:i/>
          <w:iCs/>
        </w:rPr>
        <w:t xml:space="preserve">v. State</w:t>
      </w:r>
      <w:r>
        <w:t xml:space="preserve">, 95</w:t>
      </w:r>
      <w:r>
        <w:noBreakHyphen/>
      </w:r>
      <w:r>
        <w:t xml:space="preserve">2385 (La. 07/02/96); 676 So.2d 87;</w:t>
      </w:r>
      <w:r>
        <w:t xml:space="preserve"> </w:t>
      </w:r>
      <w:r>
        <w:rPr>
          <w:i/>
          <w:iCs/>
        </w:rPr>
        <w:t xml:space="preserve">State</w:t>
      </w:r>
      <w:r>
        <w:rPr>
          <w:i/>
          <w:iCs/>
        </w:rPr>
        <w:t xml:space="preserve"> </w:t>
      </w:r>
      <w:r>
        <w:rPr>
          <w:i/>
          <w:iCs/>
        </w:rPr>
        <w:t xml:space="preserve">v. Tate</w:t>
      </w:r>
      <w:r>
        <w:t xml:space="preserve">, 12</w:t>
      </w:r>
      <w:r>
        <w:noBreakHyphen/>
      </w:r>
      <w:r>
        <w:t xml:space="preserve">2763 (La. 11/5/13); 130 So.3d 829.</w:t>
      </w:r>
      <w:r>
        <w:rPr>
          <w:rStyle w:val="FootnoteReference"/>
        </w:rPr>
        <w:footnoteReference w:id="108"/>
      </w:r>
      <w:r>
        <w:t xml:space="preserve"> </w:t>
      </w:r>
      <w:r>
        <w:t xml:space="preserve">This scarcity of cases should not lead this Court to think its analysis here unimportant, because the very concept behind</w:t>
      </w:r>
      <w:r>
        <w:t xml:space="preserve"> </w:t>
      </w:r>
      <w:r>
        <w:rPr>
          <w:i/>
          <w:iCs/>
        </w:rPr>
        <w:t xml:space="preserve">Taylor</w:t>
      </w:r>
      <w:r>
        <w:t xml:space="preserve"> </w:t>
      </w:r>
      <w:r>
        <w:t xml:space="preserve">is that an applicable watershed rule will rarely come to the courts. This is that rare case.</w:t>
      </w:r>
    </w:p>
    <w:p>
      <w:pPr>
        <w:pStyle w:val="BodyTextNote"/>
      </w:pPr>
      <w:r>
        <w:t xml:space="preserve">The State would have this Court not even conduct its own inquiry into the nature of</w:t>
      </w:r>
      <w:r>
        <w:t xml:space="preserve"> </w:t>
      </w:r>
      <w:r>
        <w:rPr>
          <w:i/>
          <w:iCs/>
        </w:rPr>
        <w:t xml:space="preserve">Ramos</w:t>
      </w:r>
      <w:r>
        <w:t xml:space="preserve"> </w:t>
      </w:r>
      <w:r>
        <w:t xml:space="preserve">under Louisiana law, instead requesting that this Court subrogate its duty and merely adopt the</w:t>
      </w:r>
      <w:r>
        <w:t xml:space="preserve"> </w:t>
      </w:r>
      <w:r>
        <w:rPr>
          <w:i/>
          <w:iCs/>
        </w:rPr>
        <w:t xml:space="preserve">Edwards</w:t>
      </w:r>
      <w:r>
        <w:t xml:space="preserve"> </w:t>
      </w:r>
      <w:r>
        <w:t xml:space="preserve">reasoning unthinkingly.</w:t>
      </w:r>
      <w:r>
        <w:rPr>
          <w:rStyle w:val="FootnoteReference"/>
        </w:rPr>
        <w:footnoteReference w:id="109"/>
      </w:r>
      <w:r>
        <w:t xml:space="preserve"> </w:t>
      </w:r>
      <w:r>
        <w:t xml:space="preserve">Doing so would abdicate an important state right to the federal government.</w:t>
      </w:r>
    </w:p>
    <w:p>
      <w:pPr>
        <w:keepNext/>
        <w:keepLines/>
        <w:spacing w:before="264" w:after="144" w:line="276" w:lineRule="exact"/>
        <w:ind w:left="0" w:firstLine="0"/>
        <w:jc w:val="left"/>
      </w:pPr>
      <w:r>
        <w:rPr>
          <w:b/>
          <w:bCs/>
        </w:rPr>
        <w:t xml:space="preserve">3.</w:t>
      </w:r>
      <w:r>
        <w:rPr>
          <w:b/>
          <w:bCs/>
        </w:rPr>
        <w:t xml:space="preserve"> </w:t>
      </w:r>
      <w:r>
        <w:rPr>
          <w:b/>
          <w:bCs/>
        </w:rPr>
        <w:t xml:space="preserve">The</w:t>
      </w:r>
      <w:r>
        <w:rPr>
          <w:b/>
          <w:bCs/>
        </w:rPr>
        <w:t xml:space="preserve"> </w:t>
      </w:r>
      <w:r>
        <w:rPr>
          <w:b/>
          <w:bCs/>
          <w:i/>
          <w:iCs/>
        </w:rPr>
        <w:t xml:space="preserve">Edwards</w:t>
      </w:r>
      <w:r>
        <w:rPr>
          <w:b/>
          <w:bCs/>
        </w:rPr>
        <w:t xml:space="preserve"> </w:t>
      </w:r>
      <w:r>
        <w:rPr>
          <w:b/>
          <w:bCs/>
        </w:rPr>
        <w:t xml:space="preserve">Court</w:t>
      </w:r>
      <w:r>
        <w:rPr>
          <w:b/>
          <w:bCs/>
        </w:rPr>
        <w:t xml:space="preserve"> </w:t>
      </w:r>
      <w:r>
        <w:rPr>
          <w:b/>
          <w:bCs/>
        </w:rPr>
        <w:t xml:space="preserve">specifically</w:t>
      </w:r>
      <w:r>
        <w:rPr>
          <w:b/>
          <w:bCs/>
        </w:rPr>
        <w:t xml:space="preserve"> </w:t>
      </w:r>
      <w:r>
        <w:rPr>
          <w:b/>
          <w:bCs/>
        </w:rPr>
        <w:t xml:space="preserve">invited</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to</w:t>
      </w:r>
      <w:r>
        <w:rPr>
          <w:b/>
          <w:bCs/>
        </w:rPr>
        <w:t xml:space="preserve"> </w:t>
      </w:r>
      <w:r>
        <w:rPr>
          <w:b/>
          <w:bCs/>
        </w:rPr>
        <w:t xml:space="preserve">make</w:t>
      </w:r>
      <w:r>
        <w:rPr>
          <w:b/>
          <w:bCs/>
        </w:rPr>
        <w:t xml:space="preserve"> </w:t>
      </w:r>
      <w:r>
        <w:rPr>
          <w:b/>
          <w:bCs/>
        </w:rPr>
        <w:t xml:space="preserve">an</w:t>
      </w:r>
      <w:r>
        <w:rPr>
          <w:b/>
          <w:bCs/>
        </w:rPr>
        <w:t xml:space="preserve"> </w:t>
      </w:r>
      <w:r>
        <w:rPr>
          <w:b/>
          <w:bCs/>
        </w:rPr>
        <w:t xml:space="preserve">independent</w:t>
      </w:r>
      <w:r>
        <w:rPr>
          <w:b/>
          <w:bCs/>
        </w:rPr>
        <w:t xml:space="preserve"> </w:t>
      </w:r>
      <w:r>
        <w:rPr>
          <w:b/>
          <w:bCs/>
        </w:rPr>
        <w:t xml:space="preserve">determination</w:t>
      </w:r>
      <w:r>
        <w:rPr>
          <w:b/>
          <w:bCs/>
        </w:rPr>
        <w:t xml:space="preserve"> </w:t>
      </w:r>
      <w:r>
        <w:rPr>
          <w:b/>
          <w:bCs/>
        </w:rPr>
        <w:t xml:space="preserve">of</w:t>
      </w:r>
      <w:r>
        <w:rPr>
          <w:b/>
          <w:bCs/>
        </w:rPr>
        <w:t xml:space="preserve"> </w:t>
      </w:r>
      <w:r>
        <w:rPr>
          <w:b/>
          <w:bCs/>
        </w:rPr>
        <w:t xml:space="preserve">retroactivity.</w:t>
      </w:r>
    </w:p>
    <w:p>
      <w:pPr>
        <w:pStyle w:val="BodyText"/>
      </w:pPr>
      <w:r>
        <w:t xml:space="preserve">In</w:t>
      </w:r>
      <w:r>
        <w:t xml:space="preserve"> </w:t>
      </w:r>
      <w:r>
        <w:rPr>
          <w:i/>
          <w:iCs/>
        </w:rPr>
        <w:t xml:space="preserve">Edwards</w:t>
      </w:r>
      <w:r>
        <w:t xml:space="preserve">, the U.S. Supreme Court declared that</w:t>
      </w:r>
      <w:r>
        <w:t xml:space="preserve"> </w:t>
      </w:r>
      <w:r>
        <w:rPr>
          <w:i/>
          <w:iCs/>
        </w:rPr>
        <w:t xml:space="preserve">Ramos</w:t>
      </w:r>
      <w:r>
        <w:t xml:space="preserve"> </w:t>
      </w:r>
      <w:r>
        <w:t xml:space="preserve">was a “momentous decision” and a new rule of criminal procedure. 141</w:t>
      </w:r>
      <w:r>
        <w:t xml:space="preserve"> </w:t>
      </w:r>
      <w:r>
        <w:t xml:space="preserve">S. Ct. at 1561. And although</w:t>
      </w:r>
      <w:r>
        <w:t xml:space="preserve"> </w:t>
      </w:r>
      <w:r>
        <w:rPr>
          <w:i/>
          <w:iCs/>
        </w:rPr>
        <w:t xml:space="preserve">Edwards</w:t>
      </w:r>
      <w:r>
        <w:t xml:space="preserve"> </w:t>
      </w:r>
      <w:r>
        <w:t xml:space="preserve">found that no retroactive relief can be granted on</w:t>
      </w:r>
      <w:r>
        <w:t xml:space="preserve"> </w:t>
      </w:r>
      <w:r>
        <w:rPr>
          <w:i/>
          <w:iCs/>
        </w:rPr>
        <w:t xml:space="preserve">federal collateral review</w:t>
      </w:r>
      <w:r>
        <w:t xml:space="preserve">, the U.S. Supreme Court explicitly noted that</w:t>
      </w:r>
      <w:r>
        <w:t xml:space="preserve"> </w:t>
      </w:r>
      <w:r>
        <w:rPr>
          <w:i/>
          <w:iCs/>
        </w:rPr>
        <w:t xml:space="preserve">Edwards</w:t>
      </w:r>
      <w:r>
        <w:t xml:space="preserve"> </w:t>
      </w:r>
      <w:r>
        <w:t xml:space="preserve">should not be interpreted as foreclosing relief for defendants in</w:t>
      </w:r>
      <w:r>
        <w:t xml:space="preserve"> </w:t>
      </w:r>
      <w:r>
        <w:rPr>
          <w:i/>
          <w:iCs/>
        </w:rPr>
        <w:t xml:space="preserve">state</w:t>
      </w:r>
      <w:r>
        <w:t xml:space="preserve"> </w:t>
      </w:r>
      <w:r>
        <w:t xml:space="preserve">post-conviction proceedings: “The</w:t>
      </w:r>
      <w:r>
        <w:t xml:space="preserve"> </w:t>
      </w:r>
      <w:r>
        <w:rPr>
          <w:i/>
          <w:iCs/>
        </w:rPr>
        <w:t xml:space="preserve">Ramos</w:t>
      </w:r>
      <w:r>
        <w:t xml:space="preserve"> </w:t>
      </w:r>
      <w:r>
        <w:t xml:space="preserve">rule does not apply retroactively on</w:t>
      </w:r>
      <w:r>
        <w:t xml:space="preserve"> </w:t>
      </w:r>
      <w:r>
        <w:rPr>
          <w:i/>
          <w:iCs/>
        </w:rPr>
        <w:t xml:space="preserve">federal</w:t>
      </w:r>
      <w:r>
        <w:t xml:space="preserve"> </w:t>
      </w:r>
      <w:r>
        <w:t xml:space="preserve">collateral review. States remain free, if they choose, to retroactively apply the jury-unanimity rule as a matter of state law in state post-conviction proceedings.”</w:t>
      </w:r>
      <w:r>
        <w:t xml:space="preserve"> </w:t>
      </w:r>
      <w:r>
        <w:rPr>
          <w:i/>
          <w:iCs/>
        </w:rPr>
        <w:t xml:space="preserve">Edwards</w:t>
      </w:r>
      <w:r>
        <w:t xml:space="preserve">, 141 S. Ct. at 1559 n.6 (emphasis in original) (citing</w:t>
      </w:r>
      <w:r>
        <w:t xml:space="preserve"> </w:t>
      </w:r>
      <w:r>
        <w:rPr>
          <w:i/>
          <w:iCs/>
        </w:rPr>
        <w:t xml:space="preserve">Danforth</w:t>
      </w:r>
      <w:r>
        <w:rPr>
          <w:i/>
          <w:iCs/>
        </w:rPr>
        <w:t xml:space="preserve"> </w:t>
      </w:r>
      <w:r>
        <w:rPr>
          <w:i/>
          <w:iCs/>
        </w:rPr>
        <w:t xml:space="preserve">v. Minnesota</w:t>
      </w:r>
      <w:r>
        <w:t xml:space="preserve">, 552 U.S. 264, 282 (2008)). Never before had the U.S. Supreme Court offered such an explicit invitation to the states when deciding an issue of retroactivity where the question of what states must do was not squarely presented.</w:t>
      </w:r>
    </w:p>
    <w:p>
      <w:pPr>
        <w:pStyle w:val="BodyText"/>
      </w:pPr>
      <w:r>
        <w:t xml:space="preserve">In</w:t>
      </w:r>
      <w:r>
        <w:t xml:space="preserve"> </w:t>
      </w:r>
      <w:r>
        <w:rPr>
          <w:i/>
          <w:iCs/>
        </w:rPr>
        <w:t xml:space="preserve">Danforth</w:t>
      </w:r>
      <w:r>
        <w:rPr>
          <w:i/>
          <w:iCs/>
        </w:rPr>
        <w:t xml:space="preserve"> </w:t>
      </w:r>
      <w:r>
        <w:rPr>
          <w:i/>
          <w:iCs/>
        </w:rPr>
        <w:t xml:space="preserve">v. Minnesota</w:t>
      </w:r>
      <w:r>
        <w:t xml:space="preserve">, 552 U.S. 264 (2008), the U.S. Supreme Court made clear the states are free to provide their own standards for retroactivity or decide cases differently from the federal courts: “States that give broader retroactive effect to this Court’s new rules of criminal procedure do not do so by misconstruing the federal</w:t>
      </w:r>
      <w:r>
        <w:t xml:space="preserve"> </w:t>
      </w:r>
      <w:r>
        <w:rPr>
          <w:i/>
          <w:iCs/>
        </w:rPr>
        <w:t xml:space="preserve">Teague</w:t>
      </w:r>
      <w:r>
        <w:t xml:space="preserve"> </w:t>
      </w:r>
      <w:r>
        <w:t xml:space="preserve">standard. Rather, they have developed</w:t>
      </w:r>
      <w:r>
        <w:t xml:space="preserve"> </w:t>
      </w:r>
      <w:r>
        <w:rPr>
          <w:i/>
          <w:iCs/>
        </w:rPr>
        <w:t xml:space="preserve">state</w:t>
      </w:r>
      <w:r>
        <w:t xml:space="preserve"> </w:t>
      </w:r>
      <w:r>
        <w:t xml:space="preserve">law to govern retroactivity in state postconviction proceedings.”</w:t>
      </w:r>
      <w:r>
        <w:t xml:space="preserve"> </w:t>
      </w:r>
      <w:r>
        <w:rPr>
          <w:i/>
          <w:iCs/>
        </w:rPr>
        <w:t xml:space="preserve">Id.</w:t>
      </w:r>
      <w:r>
        <w:t xml:space="preserve"> </w:t>
      </w:r>
      <w:r>
        <w:t xml:space="preserve">at 289 (emphasis in original).</w:t>
      </w:r>
    </w:p>
    <w:p>
      <w:pPr>
        <w:pStyle w:val="BodyText"/>
      </w:pPr>
      <w:r>
        <w:t xml:space="preserve">Courts in Louisiana have their own obligation to enforce constitutional guarantees. States are free to see</w:t>
      </w:r>
      <w:r>
        <w:t xml:space="preserve"> </w:t>
      </w:r>
      <w:r>
        <w:rPr>
          <w:i/>
          <w:iCs/>
        </w:rPr>
        <w:t xml:space="preserve">Teague</w:t>
      </w:r>
      <w:r>
        <w:t xml:space="preserve"> </w:t>
      </w:r>
      <w:r>
        <w:t xml:space="preserve">differently from the U.S. Supreme Court, as was shown in</w:t>
      </w:r>
      <w:r>
        <w:t xml:space="preserve"> </w:t>
      </w:r>
      <w:r>
        <w:rPr>
          <w:i/>
          <w:iCs/>
        </w:rPr>
        <w:t xml:space="preserve">Powell</w:t>
      </w:r>
      <w:r>
        <w:rPr>
          <w:i/>
          <w:iCs/>
        </w:rPr>
        <w:t xml:space="preserve"> </w:t>
      </w:r>
      <w:r>
        <w:rPr>
          <w:i/>
          <w:iCs/>
        </w:rPr>
        <w:t xml:space="preserve">v. State</w:t>
      </w:r>
      <w:r>
        <w:t xml:space="preserve">, 153 A.3d 69, 70 (Del. 2016) (finding retroactivity of</w:t>
      </w:r>
      <w:r>
        <w:t xml:space="preserve"> </w:t>
      </w:r>
      <w:r>
        <w:rPr>
          <w:i/>
          <w:iCs/>
        </w:rPr>
        <w:t xml:space="preserve">Hurst v. Florida</w:t>
      </w:r>
      <w:r>
        <w:t xml:space="preserve"> </w:t>
      </w:r>
      <w:r>
        <w:t xml:space="preserve">under</w:t>
      </w:r>
      <w:r>
        <w:t xml:space="preserve"> </w:t>
      </w:r>
      <w:r>
        <w:rPr>
          <w:i/>
          <w:iCs/>
        </w:rPr>
        <w:t xml:space="preserve">Teague</w:t>
      </w:r>
      <w:r>
        <w:t xml:space="preserve">, despite the U.S. Supreme Court not finding</w:t>
      </w:r>
      <w:r>
        <w:t xml:space="preserve"> </w:t>
      </w:r>
      <w:r>
        <w:rPr>
          <w:i/>
          <w:iCs/>
        </w:rPr>
        <w:t xml:space="preserve">Teague</w:t>
      </w:r>
      <w:r>
        <w:t xml:space="preserve"> </w:t>
      </w:r>
      <w:r>
        <w:t xml:space="preserve">retroactivity).</w:t>
      </w:r>
      <w:r>
        <w:t xml:space="preserve"> </w:t>
      </w:r>
      <w:r>
        <w:rPr>
          <w:i/>
          <w:iCs/>
        </w:rPr>
        <w:t xml:space="preserve">Danforth</w:t>
      </w:r>
      <w:r>
        <w:t xml:space="preserve"> </w:t>
      </w:r>
      <w:r>
        <w:t xml:space="preserve">held that</w:t>
      </w:r>
      <w:r>
        <w:t xml:space="preserve"> </w:t>
      </w:r>
      <w:r>
        <w:rPr>
          <w:i/>
          <w:iCs/>
        </w:rPr>
        <w:t xml:space="preserve">Teague</w:t>
      </w:r>
      <w:r>
        <w:t xml:space="preserve"> </w:t>
      </w:r>
      <w:r>
        <w:t xml:space="preserve">does not constrain the authority of state courts to give broader effect to new rules of criminal procedure. 552</w:t>
      </w:r>
      <w:r>
        <w:t xml:space="preserve"> </w:t>
      </w:r>
      <w:r>
        <w:t xml:space="preserve">U.S. at 291. Nothing in</w:t>
      </w:r>
      <w:r>
        <w:t xml:space="preserve"> </w:t>
      </w:r>
      <w:r>
        <w:rPr>
          <w:i/>
          <w:iCs/>
        </w:rPr>
        <w:t xml:space="preserve">Edwards</w:t>
      </w:r>
      <w:r>
        <w:t xml:space="preserve"> </w:t>
      </w:r>
      <w:r>
        <w:t xml:space="preserve">prevents or is contrary to this Court finding retroactivity. Indeed,</w:t>
      </w:r>
      <w:r>
        <w:t xml:space="preserve"> </w:t>
      </w:r>
      <w:r>
        <w:rPr>
          <w:i/>
          <w:iCs/>
        </w:rPr>
        <w:t xml:space="preserve">Edwards</w:t>
      </w:r>
      <w:r>
        <w:t xml:space="preserve"> </w:t>
      </w:r>
      <w:r>
        <w:t xml:space="preserve">itself endorses an independent inquiry from this Court. 141</w:t>
      </w:r>
      <w:r>
        <w:t xml:space="preserve"> </w:t>
      </w:r>
      <w:r>
        <w:t xml:space="preserve">S. Ct. at 1559 n.6.</w:t>
      </w:r>
    </w:p>
    <w:p>
      <w:pPr>
        <w:keepNext/>
        <w:keepLines/>
        <w:spacing w:before="288" w:after="192" w:line="276" w:lineRule="exact"/>
        <w:ind w:left="0" w:firstLine="0"/>
        <w:jc w:val="left"/>
      </w:pPr>
      <w:r>
        <w:rPr>
          <w:b/>
          <w:bCs/>
        </w:rPr>
        <w:t xml:space="preserve">C.</w:t>
      </w:r>
      <w:r>
        <w:rPr>
          <w:b/>
          <w:bCs/>
        </w:rPr>
        <w:t xml:space="preserve"> </w:t>
      </w:r>
      <w:r>
        <w:rPr>
          <w:b/>
          <w:bCs/>
        </w:rPr>
        <w:t xml:space="preserve">Alternatively,</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add</w:t>
      </w:r>
      <w:r>
        <w:rPr>
          <w:b/>
          <w:bCs/>
        </w:rPr>
        <w:t xml:space="preserve"> </w:t>
      </w:r>
      <w:r>
        <w:rPr>
          <w:b/>
          <w:bCs/>
        </w:rPr>
        <w:t xml:space="preserve">an</w:t>
      </w:r>
      <w:r>
        <w:rPr>
          <w:b/>
          <w:bCs/>
        </w:rPr>
        <w:t xml:space="preserve"> </w:t>
      </w:r>
      <w:r>
        <w:rPr>
          <w:b/>
          <w:bCs/>
        </w:rPr>
        <w:t xml:space="preserve">exception</w:t>
      </w:r>
      <w:r>
        <w:rPr>
          <w:b/>
          <w:bCs/>
        </w:rPr>
        <w:t xml:space="preserve"> </w:t>
      </w:r>
      <w:r>
        <w:rPr>
          <w:b/>
          <w:bCs/>
        </w:rPr>
        <w:t xml:space="preserve">to</w:t>
      </w:r>
      <w:r>
        <w:rPr>
          <w:b/>
          <w:bCs/>
        </w:rPr>
        <w:t xml:space="preserve"> </w:t>
      </w:r>
      <w:r>
        <w:rPr>
          <w:b/>
          <w:bCs/>
        </w:rPr>
        <w:t xml:space="preserve">its</w:t>
      </w:r>
      <w:r>
        <w:rPr>
          <w:b/>
          <w:bCs/>
        </w:rPr>
        <w:t xml:space="preserve"> </w:t>
      </w:r>
      <w:r>
        <w:rPr>
          <w:b/>
          <w:bCs/>
        </w:rPr>
        <w:t xml:space="preserve">retroactivity</w:t>
      </w:r>
      <w:r>
        <w:rPr>
          <w:b/>
          <w:bCs/>
        </w:rPr>
        <w:t xml:space="preserve"> </w:t>
      </w:r>
      <w:r>
        <w:rPr>
          <w:b/>
          <w:bCs/>
        </w:rPr>
        <w:t xml:space="preserve">standard.</w:t>
      </w:r>
    </w:p>
    <w:p>
      <w:pPr>
        <w:pStyle w:val="BodyTextNote"/>
      </w:pPr>
      <w:r>
        <w:t xml:space="preserve">As stated above, this case has the potential to be comparable to</w:t>
      </w:r>
      <w:r>
        <w:t xml:space="preserve"> </w:t>
      </w:r>
      <w:r>
        <w:rPr>
          <w:i/>
          <w:iCs/>
        </w:rPr>
        <w:t xml:space="preserve">Brown v. Board</w:t>
      </w:r>
      <w:r>
        <w:t xml:space="preserve">—or to</w:t>
      </w:r>
      <w:r>
        <w:t xml:space="preserve"> </w:t>
      </w:r>
      <w:r>
        <w:rPr>
          <w:i/>
          <w:iCs/>
        </w:rPr>
        <w:t xml:space="preserve">Plessy v. Ferguson</w:t>
      </w:r>
      <w:r>
        <w:t xml:space="preserve">. If Louisiana’s retroactivity standard—which is wholly judge-made—deprives hundreds of individuals of a constitutional trial based on a Jim Crow law, then this Court will be directly responsible for continuing the impacts of Jim Crow through, and even beyond, the natural lives of those who remain in prison based on unconstitutional convictions. Notably, while 33% of Louisiana is Black, and 67% of the prison population is Black, 80% of those with non-unanimous juries still in prison are Black.</w:t>
      </w:r>
      <w:r>
        <w:rPr>
          <w:rStyle w:val="FootnoteReference"/>
        </w:rPr>
        <w:footnoteReference w:id="110"/>
      </w:r>
      <w:r>
        <w:t xml:space="preserve"> </w:t>
      </w:r>
      <w:r>
        <w:t xml:space="preserve">Given the historic context of these convictions, and the seriousness of the stakes, even if this Court does not find</w:t>
      </w:r>
      <w:r>
        <w:t xml:space="preserve"> </w:t>
      </w:r>
      <w:r>
        <w:rPr>
          <w:i/>
          <w:iCs/>
        </w:rPr>
        <w:t xml:space="preserve">Ramos</w:t>
      </w:r>
      <w:r>
        <w:t xml:space="preserve"> </w:t>
      </w:r>
      <w:r>
        <w:t xml:space="preserve">watershed, it can and should modify its retroactivity standard to provide retroactivity in this instance.</w:t>
      </w:r>
    </w:p>
    <w:p>
      <w:pPr>
        <w:keepNext/>
        <w:keepLines/>
        <w:spacing w:before="264" w:after="144" w:line="276" w:lineRule="exact"/>
        <w:ind w:left="0" w:firstLine="0"/>
        <w:jc w:val="left"/>
      </w:pPr>
      <w:r>
        <w:rPr>
          <w:b/>
          <w:bCs/>
        </w:rPr>
        <w:t xml:space="preserve">1.</w:t>
      </w:r>
      <w:r>
        <w:rPr>
          <w:b/>
          <w:bCs/>
        </w:rPr>
        <w:t xml:space="preserve"> </w:t>
      </w:r>
      <w:r>
        <w:rPr>
          <w:b/>
          <w:bCs/>
        </w:rPr>
        <w:t xml:space="preserve">Louisiana’s</w:t>
      </w:r>
      <w:r>
        <w:rPr>
          <w:b/>
          <w:bCs/>
        </w:rPr>
        <w:t xml:space="preserve"> </w:t>
      </w:r>
      <w:r>
        <w:rPr>
          <w:b/>
          <w:bCs/>
        </w:rPr>
        <w:t xml:space="preserve">Constitution</w:t>
      </w:r>
      <w:r>
        <w:rPr>
          <w:b/>
          <w:bCs/>
        </w:rPr>
        <w:t xml:space="preserve"> </w:t>
      </w:r>
      <w:r>
        <w:rPr>
          <w:b/>
          <w:bCs/>
        </w:rPr>
        <w:t xml:space="preserve">should</w:t>
      </w:r>
      <w:r>
        <w:rPr>
          <w:b/>
          <w:bCs/>
        </w:rPr>
        <w:t xml:space="preserve"> </w:t>
      </w:r>
      <w:r>
        <w:rPr>
          <w:b/>
          <w:bCs/>
        </w:rPr>
        <w:t xml:space="preserve">influence</w:t>
      </w:r>
      <w:r>
        <w:rPr>
          <w:b/>
          <w:bCs/>
        </w:rPr>
        <w:t xml:space="preserve"> </w:t>
      </w:r>
      <w:r>
        <w:rPr>
          <w:b/>
          <w:bCs/>
        </w:rPr>
        <w:t xml:space="preserve">the</w:t>
      </w:r>
      <w:r>
        <w:rPr>
          <w:b/>
          <w:bCs/>
        </w:rPr>
        <w:t xml:space="preserve"> </w:t>
      </w:r>
      <w:r>
        <w:rPr>
          <w:b/>
          <w:bCs/>
        </w:rPr>
        <w:t xml:space="preserve">retroactivity</w:t>
      </w:r>
      <w:r>
        <w:rPr>
          <w:b/>
          <w:bCs/>
        </w:rPr>
        <w:t xml:space="preserve"> </w:t>
      </w:r>
      <w:r>
        <w:rPr>
          <w:b/>
          <w:bCs/>
        </w:rPr>
        <w:t xml:space="preserve">standard.</w:t>
      </w:r>
    </w:p>
    <w:p>
      <w:pPr>
        <w:pStyle w:val="BodyText"/>
      </w:pPr>
      <w:r>
        <w:t xml:space="preserve">This Court is empowered to create the retroactivity standard that best affords justice. The Louisiana Constitution neither prohibits nor requires retroactive application of criminal laws.</w:t>
      </w:r>
      <w:r>
        <w:t xml:space="preserve"> </w:t>
      </w:r>
      <w:r>
        <w:rPr>
          <w:i/>
          <w:iCs/>
        </w:rPr>
        <w:t xml:space="preserve">Taylor</w:t>
      </w:r>
      <w:r>
        <w:t xml:space="preserve">, 606 So.2d at 1296 (citing</w:t>
      </w:r>
      <w:r>
        <w:t xml:space="preserve"> </w:t>
      </w:r>
      <w:r>
        <w:rPr>
          <w:i/>
          <w:iCs/>
        </w:rPr>
        <w:t xml:space="preserve">State</w:t>
      </w:r>
      <w:r>
        <w:rPr>
          <w:i/>
          <w:iCs/>
        </w:rPr>
        <w:t xml:space="preserve"> </w:t>
      </w:r>
      <w:r>
        <w:rPr>
          <w:i/>
          <w:iCs/>
        </w:rPr>
        <w:t xml:space="preserve">v. St. Pierre</w:t>
      </w:r>
      <w:r>
        <w:t xml:space="preserve">, 515 So.2d 769, 774 (La. 1987)). That does not mean that the Louisiana Constitution is absent when a standard is put in place that does not allow the State to fix a grave and discriminatory injustice.</w:t>
      </w:r>
    </w:p>
    <w:p>
      <w:pPr>
        <w:pStyle w:val="BodyTextNote"/>
      </w:pPr>
      <w:r>
        <w:t xml:space="preserve">When considering the Declaration of Rights in the 1973 Constitution, Louisiana’s delegates rejected a generic guarantee of “equal protection of laws” and instead adopted a more expansive provision.</w:t>
      </w:r>
      <w:r>
        <w:rPr>
          <w:rStyle w:val="FootnoteReference"/>
        </w:rPr>
        <w:footnoteReference w:id="111"/>
      </w:r>
      <w:r>
        <w:t xml:space="preserve"> </w:t>
      </w:r>
      <w:r>
        <w:t xml:space="preserve">Article</w:t>
      </w:r>
      <w:r>
        <w:t xml:space="preserve"> </w:t>
      </w:r>
      <w:r>
        <w:t xml:space="preserve">I, Section 3 of the Louisiana Constitution provides:</w:t>
      </w:r>
    </w:p>
    <w:p>
      <w:pPr>
        <w:pStyle w:val="XdQuoteFirst"/>
      </w:pPr>
      <w:r>
        <w:t xml:space="preserve">Right to Individual Dignity</w:t>
      </w:r>
    </w:p>
    <w:p>
      <w:pPr>
        <w:pStyle w:val="XdQuoteLast"/>
      </w:pPr>
      <w:r>
        <w:t xml:space="preserve">No person shall be denied the equal protection of the laws. No law shall discriminate against a person because of race or religious ideas, beliefs, or affiliations. No law shall arbitrarily, capriciously, or unreasonably discriminate against a person because of birth, age, sex, culture, physical condition, or political ideas or affiliations. Slavery and involuntary servitude are prohibited, except in the latter case as punishment for crime.</w:t>
      </w:r>
    </w:p>
    <w:p>
      <w:pPr>
        <w:pStyle w:val="BodyText"/>
      </w:pPr>
      <w:r>
        <w:t xml:space="preserve">The Declaration of the Right to Individual Dignity was written to go “beyond the decisional law construing the Fourteenth Amendment.”</w:t>
      </w:r>
      <w:r>
        <w:t xml:space="preserve"> </w:t>
      </w:r>
      <w:r>
        <w:rPr>
          <w:i/>
          <w:iCs/>
        </w:rPr>
        <w:t xml:space="preserve">Sibley</w:t>
      </w:r>
      <w:r>
        <w:rPr>
          <w:i/>
          <w:iCs/>
        </w:rPr>
        <w:t xml:space="preserve"> </w:t>
      </w:r>
      <w:r>
        <w:rPr>
          <w:i/>
          <w:iCs/>
        </w:rPr>
        <w:t xml:space="preserve">v. Bd. of Supervisors of La. State Univ.</w:t>
      </w:r>
      <w:r>
        <w:t xml:space="preserve">, 477 So.2d 1094, 1108 (La. 1985);</w:t>
      </w:r>
      <w:r>
        <w:t xml:space="preserve"> </w:t>
      </w:r>
      <w:r>
        <w:rPr>
          <w:i/>
          <w:iCs/>
        </w:rPr>
        <w:t xml:space="preserve">accord</w:t>
      </w:r>
      <w:r>
        <w:t xml:space="preserve"> </w:t>
      </w:r>
      <w:r>
        <w:rPr>
          <w:i/>
          <w:iCs/>
        </w:rPr>
        <w:t xml:space="preserve">State</w:t>
      </w:r>
      <w:r>
        <w:rPr>
          <w:i/>
          <w:iCs/>
        </w:rPr>
        <w:t xml:space="preserve"> </w:t>
      </w:r>
      <w:r>
        <w:rPr>
          <w:i/>
          <w:iCs/>
        </w:rPr>
        <w:t xml:space="preserve">v. Granger</w:t>
      </w:r>
      <w:r>
        <w:t xml:space="preserve">, 2007</w:t>
      </w:r>
      <w:r>
        <w:noBreakHyphen/>
      </w:r>
      <w:r>
        <w:t xml:space="preserve">2285 (La. 05/21/08); 982 So.2d 779, 787–88. In</w:t>
      </w:r>
      <w:r>
        <w:t xml:space="preserve"> </w:t>
      </w:r>
      <w:r>
        <w:rPr>
          <w:i/>
          <w:iCs/>
        </w:rPr>
        <w:t xml:space="preserve">Granger</w:t>
      </w:r>
      <w:r>
        <w:t xml:space="preserve">, the Court emphasized that:</w:t>
      </w:r>
    </w:p>
    <w:p>
      <w:pPr>
        <w:pStyle w:val="XdQuoteOnly"/>
      </w:pPr>
      <w:r>
        <w:t xml:space="preserve">Article I, Section 3 commands the courts to decline enforcement of a legislative classification of individuals in three different situations: (1) When the law classifies individuals by race or religious beliefs,</w:t>
      </w:r>
      <w:r>
        <w:t xml:space="preserve"> </w:t>
      </w:r>
      <w:r>
        <w:rPr>
          <w:i/>
          <w:iCs/>
        </w:rPr>
        <w:t xml:space="preserve">it shall be repudiated completely;</w:t>
      </w:r>
      <w:r>
        <w:t xml:space="preserve"> </w:t>
      </w:r>
      <w:r>
        <w:t xml:space="preserve">(2) When the statute classifies persons on the basis of birth, age, sex, culture, physical condition, or political ideas or affiliations, its enforcement shall be refused unless the state or other advocate of the classification shows that the classification has a reasonable basis; (3) When the law classifies individuals on any other basis, it shall be rejected whenever a member of a disadvantaged class shows that it does not suitably further any appropriate state interest.</w:t>
      </w:r>
    </w:p>
    <w:p>
      <w:pPr>
        <w:pStyle w:val="BodyText"/>
      </w:pPr>
      <w:r>
        <w:rPr>
          <w:i/>
          <w:iCs/>
        </w:rPr>
        <w:t xml:space="preserve">Id.</w:t>
      </w:r>
      <w:r>
        <w:t xml:space="preserve"> </w:t>
      </w:r>
      <w:r>
        <w:t xml:space="preserve">at 788–89 (quoting</w:t>
      </w:r>
      <w:r>
        <w:t xml:space="preserve"> </w:t>
      </w:r>
      <w:r>
        <w:rPr>
          <w:i/>
          <w:iCs/>
        </w:rPr>
        <w:t xml:space="preserve">Sibley</w:t>
      </w:r>
      <w:r>
        <w:t xml:space="preserve">, 477 So.2d at 1107–08) (emphasis added);</w:t>
      </w:r>
      <w:r>
        <w:t xml:space="preserve"> </w:t>
      </w:r>
      <w:r>
        <w:rPr>
          <w:i/>
          <w:iCs/>
        </w:rPr>
        <w:t xml:space="preserve">see also</w:t>
      </w:r>
      <w:r>
        <w:t xml:space="preserve"> </w:t>
      </w:r>
      <w:r>
        <w:rPr>
          <w:i/>
          <w:iCs/>
        </w:rPr>
        <w:t xml:space="preserve">Moore</w:t>
      </w:r>
      <w:r>
        <w:rPr>
          <w:i/>
          <w:iCs/>
        </w:rPr>
        <w:t xml:space="preserve"> </w:t>
      </w:r>
      <w:r>
        <w:rPr>
          <w:i/>
          <w:iCs/>
        </w:rPr>
        <w:t xml:space="preserve">v. RLCC Techs.</w:t>
      </w:r>
      <w:r>
        <w:t xml:space="preserve">, 95</w:t>
      </w:r>
      <w:r>
        <w:noBreakHyphen/>
      </w:r>
      <w:r>
        <w:t xml:space="preserve">2621 (La. 02/28/96); 668 So.2d 1135, 1140 (“The second sentence [of Article I, § 3] uses absolute language, permitting no discrimination with respect to race or religion.”) (citing Lee</w:t>
      </w:r>
      <w:r>
        <w:t xml:space="preserve"> </w:t>
      </w:r>
      <w:r>
        <w:t xml:space="preserve">Hargrave,</w:t>
      </w:r>
      <w:r>
        <w:t xml:space="preserve"> </w:t>
      </w:r>
      <w:r>
        <w:rPr>
          <w:i/>
          <w:iCs/>
        </w:rPr>
        <w:t xml:space="preserve">The Louisiana Constitution, A Reference Guide</w:t>
      </w:r>
      <w:r>
        <w:t xml:space="preserve"> </w:t>
      </w:r>
      <w:r>
        <w:t xml:space="preserve">24 (1991)). “[E]ven a facially neutral statute can be deemed unconstitutional if . . . [it] was enacted because of a discriminatory purpose.”</w:t>
      </w:r>
      <w:r>
        <w:t xml:space="preserve"> </w:t>
      </w:r>
      <w:r>
        <w:rPr>
          <w:i/>
          <w:iCs/>
        </w:rPr>
        <w:t xml:space="preserve">Granger</w:t>
      </w:r>
      <w:r>
        <w:t xml:space="preserve">, 982 So.2d at 789 n.10.</w:t>
      </w:r>
      <w:r>
        <w:t xml:space="preserve"> </w:t>
      </w:r>
      <w:r>
        <w:rPr>
          <w:i/>
          <w:iCs/>
        </w:rPr>
        <w:t xml:space="preserve">See also</w:t>
      </w:r>
      <w:r>
        <w:t xml:space="preserve"> </w:t>
      </w:r>
      <w:r>
        <w:rPr>
          <w:i/>
          <w:iCs/>
        </w:rPr>
        <w:t xml:space="preserve">State</w:t>
      </w:r>
      <w:r>
        <w:rPr>
          <w:i/>
          <w:iCs/>
        </w:rPr>
        <w:t xml:space="preserve"> </w:t>
      </w:r>
      <w:r>
        <w:rPr>
          <w:i/>
          <w:iCs/>
        </w:rPr>
        <w:t xml:space="preserve">v. Baxley</w:t>
      </w:r>
      <w:r>
        <w:t xml:space="preserve">, 94</w:t>
      </w:r>
      <w:r>
        <w:noBreakHyphen/>
      </w:r>
      <w:r>
        <w:t xml:space="preserve">2982 (La. 05/22/95); 656 So.2d 973, 978.</w:t>
      </w:r>
    </w:p>
    <w:p>
      <w:pPr>
        <w:pStyle w:val="BodyText"/>
      </w:pPr>
      <w:r>
        <w:t xml:space="preserve">Louisiana’s retroactivity test is completely judge-made law. “[T]he courts of this state . . . are not at liberty to borrow and apply judge made rules in disregard of our fundamental law or to reweigh balances of interests and policy considerations already struck by the framers of the constitution and the people who ratified it.”</w:t>
      </w:r>
      <w:r>
        <w:t xml:space="preserve"> </w:t>
      </w:r>
      <w:r>
        <w:rPr>
          <w:i/>
          <w:iCs/>
        </w:rPr>
        <w:t xml:space="preserve">New</w:t>
      </w:r>
      <w:r>
        <w:rPr>
          <w:i/>
          <w:iCs/>
        </w:rPr>
        <w:t xml:space="preserve"> </w:t>
      </w:r>
      <w:r>
        <w:rPr>
          <w:i/>
          <w:iCs/>
        </w:rPr>
        <w:t xml:space="preserve">Orleans v. Bd. of Comm’rs</w:t>
      </w:r>
      <w:r>
        <w:t xml:space="preserve">, 93-C</w:t>
      </w:r>
      <w:r>
        <w:noBreakHyphen/>
      </w:r>
      <w:r>
        <w:t xml:space="preserve">0690 (La. 07/05/94); 640 So.2d 237, 256.</w:t>
      </w:r>
    </w:p>
    <w:p>
      <w:pPr>
        <w:pStyle w:val="BodyTextNote"/>
      </w:pPr>
      <w:r>
        <w:t xml:space="preserve">Mr. Reddick does not ask this Court to find non-unanimous jury verdicts unconstitutional under Louisiana’s Article</w:t>
      </w:r>
      <w:r>
        <w:t xml:space="preserve"> </w:t>
      </w:r>
      <w:r>
        <w:t xml:space="preserve">I, Section 3. It need not do so, because the law has already been deemed unconstitutional under the Sixth Amendment. The Equal Protection cases cited by the State are irrelevant here because Mr. Reddick is not bringing a claim that Article</w:t>
      </w:r>
      <w:r>
        <w:t xml:space="preserve"> </w:t>
      </w:r>
      <w:r>
        <w:t xml:space="preserve">I, § 17 violated Article</w:t>
      </w:r>
      <w:r>
        <w:t xml:space="preserve"> </w:t>
      </w:r>
      <w:r>
        <w:t xml:space="preserve">I, § 3.</w:t>
      </w:r>
      <w:r>
        <w:rPr>
          <w:rStyle w:val="FootnoteReference"/>
        </w:rPr>
        <w:footnoteReference w:id="112"/>
      </w:r>
      <w:r>
        <w:t xml:space="preserve"> </w:t>
      </w:r>
      <w:r>
        <w:t xml:space="preserve">What Mr. Reddick instead suggests is that Louisiana’s retroactivity standard should be altered, as necessary, in the spirit of repudiating completely the harm that a Jim Crow law has visited upon a segment of Louisiana’s population. This harm has deprived hundreds of Louisianans of any confidence in the fairness of the judicial process by denying them constitutional verdicts.</w:t>
      </w:r>
    </w:p>
    <w:p>
      <w:pPr>
        <w:pStyle w:val="BodyText"/>
      </w:pPr>
      <w:r>
        <w:t xml:space="preserve">Failing to apply</w:t>
      </w:r>
      <w:r>
        <w:t xml:space="preserve"> </w:t>
      </w:r>
      <w:r>
        <w:rPr>
          <w:i/>
          <w:iCs/>
        </w:rPr>
        <w:t xml:space="preserve">Ramos</w:t>
      </w:r>
      <w:r>
        <w:t xml:space="preserve"> </w:t>
      </w:r>
      <w:r>
        <w:t xml:space="preserve">retroactively to Mr. Reddick and others like him would violate the letter and spirit of Louisiana’s Declaration of the Right to Individual Dignity and the jurisprudence implementing it. Such a failure would disregard the principle that when a law classifies individuals by race or religious beliefs, the law shall be repudiated</w:t>
      </w:r>
      <w:r>
        <w:t xml:space="preserve"> </w:t>
      </w:r>
      <w:r>
        <w:rPr>
          <w:i/>
          <w:iCs/>
        </w:rPr>
        <w:t xml:space="preserve">completely</w:t>
      </w:r>
      <w:r>
        <w:t xml:space="preserve">. There can be no doubt that non-unanimous jury verdicts operated to create two invidious racial classifications: the first to convict Black and minority defendants efficiently, and the second to nullify the voices of Black and minority jurors. Moreover, given that the U.S. Supreme Court has found this provision to be unconstitutional under the Sixth Amendment, failing to apply</w:t>
      </w:r>
      <w:r>
        <w:t xml:space="preserve"> </w:t>
      </w:r>
      <w:r>
        <w:rPr>
          <w:i/>
          <w:iCs/>
        </w:rPr>
        <w:t xml:space="preserve">Ramos</w:t>
      </w:r>
      <w:r>
        <w:t xml:space="preserve"> </w:t>
      </w:r>
      <w:r>
        <w:t xml:space="preserve">to cases on collateral review does not “repudiate completely” the legislative classifications based on race.</w:t>
      </w:r>
    </w:p>
    <w:p>
      <w:pPr>
        <w:pStyle w:val="BodyTextNote"/>
      </w:pPr>
      <w:r>
        <w:t xml:space="preserve">This Court can and should craft a retroactivity rule that adheres to the intent that this state protect its residents from racial discrimination more zealously than the federal government.</w:t>
      </w:r>
      <w:r>
        <w:rPr>
          <w:rStyle w:val="FootnoteReference"/>
        </w:rPr>
        <w:footnoteReference w:id="113"/>
      </w:r>
    </w:p>
    <w:p>
      <w:pPr>
        <w:keepNext/>
        <w:keepLines/>
        <w:spacing w:before="264" w:after="144" w:line="276" w:lineRule="exact"/>
        <w:ind w:left="0" w:firstLine="0"/>
        <w:jc w:val="left"/>
      </w:pPr>
      <w:r>
        <w:rPr>
          <w:b/>
          <w:bCs/>
        </w:rPr>
        <w:t xml:space="preserve">2.</w:t>
      </w:r>
      <w:r>
        <w:rPr>
          <w:b/>
          <w:bCs/>
        </w:rPr>
        <w:t xml:space="preserve"> </w:t>
      </w:r>
      <w:r>
        <w:rPr>
          <w:b/>
          <w:bCs/>
        </w:rPr>
        <w:t xml:space="preserve">Any</w:t>
      </w:r>
      <w:r>
        <w:rPr>
          <w:b/>
          <w:bCs/>
        </w:rPr>
        <w:t xml:space="preserve"> </w:t>
      </w:r>
      <w:r>
        <w:rPr>
          <w:b/>
          <w:bCs/>
        </w:rPr>
        <w:t xml:space="preserve">finality</w:t>
      </w:r>
      <w:r>
        <w:rPr>
          <w:b/>
          <w:bCs/>
        </w:rPr>
        <w:t xml:space="preserve"> </w:t>
      </w:r>
      <w:r>
        <w:rPr>
          <w:b/>
          <w:bCs/>
        </w:rPr>
        <w:t xml:space="preserve">considerations</w:t>
      </w:r>
      <w:r>
        <w:rPr>
          <w:b/>
          <w:bCs/>
        </w:rPr>
        <w:t xml:space="preserve"> </w:t>
      </w:r>
      <w:r>
        <w:rPr>
          <w:b/>
          <w:bCs/>
        </w:rPr>
        <w:t xml:space="preserve">should</w:t>
      </w:r>
      <w:r>
        <w:rPr>
          <w:b/>
          <w:bCs/>
        </w:rPr>
        <w:t xml:space="preserve"> </w:t>
      </w:r>
      <w:r>
        <w:rPr>
          <w:b/>
          <w:bCs/>
        </w:rPr>
        <w:t xml:space="preserve">favor</w:t>
      </w:r>
      <w:r>
        <w:rPr>
          <w:b/>
          <w:bCs/>
        </w:rPr>
        <w:t xml:space="preserve"> </w:t>
      </w:r>
      <w:r>
        <w:rPr>
          <w:b/>
          <w:bCs/>
        </w:rPr>
        <w:t xml:space="preserve">Mr.</w:t>
      </w:r>
      <w:r>
        <w:rPr>
          <w:b/>
          <w:bCs/>
        </w:rPr>
        <w:t xml:space="preserve"> </w:t>
      </w:r>
      <w:r>
        <w:rPr>
          <w:b/>
          <w:bCs/>
        </w:rPr>
        <w:t xml:space="preserve">Reddick.</w:t>
      </w:r>
    </w:p>
    <w:p>
      <w:pPr>
        <w:pStyle w:val="BodyTextNote"/>
      </w:pPr>
      <w:r>
        <w:t xml:space="preserve">There is no place in</w:t>
      </w:r>
      <w:r>
        <w:t xml:space="preserve"> </w:t>
      </w:r>
      <w:r>
        <w:rPr>
          <w:i/>
          <w:iCs/>
        </w:rPr>
        <w:t xml:space="preserve">Teague</w:t>
      </w:r>
      <w:r>
        <w:t xml:space="preserve"> </w:t>
      </w:r>
      <w:r>
        <w:t xml:space="preserve">or</w:t>
      </w:r>
      <w:r>
        <w:t xml:space="preserve"> </w:t>
      </w:r>
      <w:r>
        <w:rPr>
          <w:i/>
          <w:iCs/>
        </w:rPr>
        <w:t xml:space="preserve">Taylor</w:t>
      </w:r>
      <w:r>
        <w:t xml:space="preserve"> </w:t>
      </w:r>
      <w:r>
        <w:t xml:space="preserve">for considerations of finality, but even if finality comes under consideration in this Court’s construction of a new retroactivity standard, it is clear that the retroactive application of</w:t>
      </w:r>
      <w:r>
        <w:t xml:space="preserve"> </w:t>
      </w:r>
      <w:r>
        <w:rPr>
          <w:i/>
          <w:iCs/>
        </w:rPr>
        <w:t xml:space="preserve">Ramos</w:t>
      </w:r>
      <w:r>
        <w:t xml:space="preserve"> </w:t>
      </w:r>
      <w:r>
        <w:t xml:space="preserve">will not overly burden Louisiana’s justice system. This Court’s ruling in favor of Petitioner would likely require reversal of approximately 1,500 convictions—increasing the number of criminal cases in Louisiana by less than 2%.</w:t>
      </w:r>
      <w:r>
        <w:rPr>
          <w:rStyle w:val="FootnoteReference"/>
        </w:rPr>
        <w:footnoteReference w:id="114"/>
      </w:r>
      <w:r>
        <w:t xml:space="preserve"> </w:t>
      </w:r>
      <w:r>
        <w:t xml:space="preserve">The majority of these cases will either be resolved with plea agreements or dismissed. Even assuming a rate of re-trials ten times the current trial rate, the net effect of retroactive application will be</w:t>
      </w:r>
      <w:r>
        <w:t xml:space="preserve"> </w:t>
      </w:r>
      <w:r>
        <w:rPr>
          <w:i/>
          <w:iCs/>
        </w:rPr>
        <w:t xml:space="preserve">one</w:t>
      </w:r>
      <w:r>
        <w:t xml:space="preserve"> </w:t>
      </w:r>
      <w:r>
        <w:t xml:space="preserve">additional jury trial per year per assistant district attorney, spread over two years. It is also worth noting that one-third of Louisiana’s judicial districts have fewer than five cases with non-unanimous jury verdicts.</w:t>
      </w:r>
      <w:r>
        <w:rPr>
          <w:rStyle w:val="FootnoteReference"/>
        </w:rPr>
        <w:footnoteReference w:id="115"/>
      </w:r>
    </w:p>
    <w:p>
      <w:pPr>
        <w:pStyle w:val="BodyTextNote"/>
      </w:pPr>
      <w:r>
        <w:t xml:space="preserve">In</w:t>
      </w:r>
      <w:r>
        <w:t xml:space="preserve"> </w:t>
      </w:r>
      <w:r>
        <w:rPr>
          <w:i/>
          <w:iCs/>
        </w:rPr>
        <w:t xml:space="preserve">Allen</w:t>
      </w:r>
      <w:r>
        <w:rPr>
          <w:i/>
          <w:iCs/>
        </w:rPr>
        <w:t xml:space="preserve"> </w:t>
      </w:r>
      <w:r>
        <w:rPr>
          <w:i/>
          <w:iCs/>
        </w:rPr>
        <w:t xml:space="preserve">v. Hardy</w:t>
      </w:r>
      <w:r>
        <w:t xml:space="preserve">, 478 U.S. 255 (1986)—a case the State relies upon in its discussion of the difficulty of retrials—the retrials were not the main problem; rather, the problem was how the court would determine whether there were pre-textual reasons provided for excluding jurors.</w:t>
      </w:r>
      <w:r>
        <w:t xml:space="preserve"> </w:t>
      </w:r>
      <w:r>
        <w:rPr>
          <w:i/>
          <w:iCs/>
        </w:rPr>
        <w:t xml:space="preserve">Id.</w:t>
      </w:r>
      <w:r>
        <w:t xml:space="preserve"> </w:t>
      </w:r>
      <w:r>
        <w:t xml:space="preserve">at 260. The language about memories fading and evidence lost was about the burden on prosecutors to recreate the reason for striking a juror. No such issue is present here, because full trials occurred. If witnesses are unavailable, Louisiana’s rules provide that the courts can order the transcripts to be read into the record. La.</w:t>
      </w:r>
      <w:r>
        <w:t xml:space="preserve"> </w:t>
      </w:r>
      <w:r>
        <w:t xml:space="preserve">Code Evid. Ann. § art. 804(1). If memories have faded, witnesses can have their recollections refreshed on the stand. La.</w:t>
      </w:r>
      <w:r>
        <w:t xml:space="preserve"> </w:t>
      </w:r>
      <w:r>
        <w:t xml:space="preserve">Code Evid. Ann. § art. 612(B). After</w:t>
      </w:r>
      <w:r>
        <w:t xml:space="preserve"> </w:t>
      </w:r>
      <w:r>
        <w:rPr>
          <w:i/>
          <w:iCs/>
        </w:rPr>
        <w:t xml:space="preserve">Gideon</w:t>
      </w:r>
      <w:r>
        <w:t xml:space="preserve">, there were also concerns about re-trying cases.</w:t>
      </w:r>
      <w:r>
        <w:rPr>
          <w:rStyle w:val="FootnoteReference"/>
        </w:rPr>
        <w:footnoteReference w:id="116"/>
      </w:r>
      <w:r>
        <w:t xml:space="preserve"> </w:t>
      </w:r>
      <w:r>
        <w:t xml:space="preserve">The only states without a right to counsel were Florida, Alabama, Mississippi, North Carolina and South Carolina.</w:t>
      </w:r>
      <w:r>
        <w:rPr>
          <w:rStyle w:val="FootnoteReference"/>
        </w:rPr>
        <w:footnoteReference w:id="117"/>
      </w:r>
      <w:r>
        <w:t xml:space="preserve"> </w:t>
      </w:r>
      <w:r>
        <w:t xml:space="preserve">Courts overturned more than 3,000 convictions in Florida, alone.</w:t>
      </w:r>
      <w:r>
        <w:rPr>
          <w:rStyle w:val="FootnoteReference"/>
        </w:rPr>
        <w:footnoteReference w:id="118"/>
      </w:r>
    </w:p>
    <w:p>
      <w:pPr>
        <w:pStyle w:val="BodyText"/>
      </w:pPr>
      <w:r>
        <w:t xml:space="preserve">Moreover, Mr. Reddick’s conviction does not meet the precondition for recognizing a state’s interest in finality because his original trial and conviction by a non-unanimous jury was neither “fundamentally fair” nor “conducted under those procedures essential to the substance of a full hearing.”</w:t>
      </w:r>
      <w:r>
        <w:t xml:space="preserve"> </w:t>
      </w:r>
      <w:r>
        <w:rPr>
          <w:i/>
          <w:iCs/>
        </w:rPr>
        <w:t xml:space="preserve">Mackey</w:t>
      </w:r>
      <w:r>
        <w:rPr>
          <w:i/>
          <w:iCs/>
        </w:rPr>
        <w:t xml:space="preserve"> </w:t>
      </w:r>
      <w:r>
        <w:rPr>
          <w:i/>
          <w:iCs/>
        </w:rPr>
        <w:t xml:space="preserve">v. United States</w:t>
      </w:r>
      <w:r>
        <w:t xml:space="preserve">, 401 U.S. 667, 693 (1971);</w:t>
      </w:r>
      <w:r>
        <w:t xml:space="preserve"> </w:t>
      </w:r>
      <w:r>
        <w:rPr>
          <w:i/>
          <w:iCs/>
        </w:rPr>
        <w:t xml:space="preserve">see also</w:t>
      </w:r>
      <w:r>
        <w:t xml:space="preserve"> </w:t>
      </w:r>
      <w:r>
        <w:rPr>
          <w:i/>
          <w:iCs/>
        </w:rPr>
        <w:t xml:space="preserve">Teague</w:t>
      </w:r>
      <w:r>
        <w:t xml:space="preserve">, 489 U.S. at 312 (adopting this language from</w:t>
      </w:r>
      <w:r>
        <w:t xml:space="preserve"> </w:t>
      </w:r>
      <w:r>
        <w:rPr>
          <w:i/>
          <w:iCs/>
        </w:rPr>
        <w:t xml:space="preserve">Mackey</w:t>
      </w:r>
      <w:r>
        <w:t xml:space="preserve">). Under this</w:t>
      </w:r>
      <w:r>
        <w:t xml:space="preserve"> </w:t>
      </w:r>
      <w:r>
        <w:rPr>
          <w:i/>
          <w:iCs/>
        </w:rPr>
        <w:t xml:space="preserve">Mackey</w:t>
      </w:r>
      <w:r>
        <w:t xml:space="preserve"> </w:t>
      </w:r>
      <w:r>
        <w:t xml:space="preserve">standard, if the party seeking retroactive application of current constitutional standards had a trial</w:t>
      </w:r>
      <w:r>
        <w:t xml:space="preserve"> </w:t>
      </w:r>
      <w:r>
        <w:rPr>
          <w:i/>
          <w:iCs/>
        </w:rPr>
        <w:t xml:space="preserve">that was fair enough</w:t>
      </w:r>
      <w:r>
        <w:t xml:space="preserve"> </w:t>
      </w:r>
      <w:r>
        <w:t xml:space="preserve">when measured by constitutional standards in effect at the time, he or she is not entitled to</w:t>
      </w:r>
      <w:r>
        <w:t xml:space="preserve"> </w:t>
      </w:r>
      <w:r>
        <w:rPr>
          <w:i/>
          <w:iCs/>
        </w:rPr>
        <w:t xml:space="preserve">fairer</w:t>
      </w:r>
      <w:r>
        <w:t xml:space="preserve"> </w:t>
      </w:r>
      <w:r>
        <w:t xml:space="preserve">trial now. But Mr. Reddick’s original trial and conviction were not fair enough even by the constitutional standards in effect at the time. Louisiana has no legitimate interest in the finality of a criminal conviction obtained through a system consciously designed to create structural discrimination and enable convictions by less than proof beyond a reasonable doubt. Therefore, any finality balancing should favor Mr. Reddick and others like him, many of whom are set to spend life at hard labor in Louisiana’s prisons.</w:t>
      </w:r>
    </w:p>
    <w:p>
      <w:pPr>
        <w:pStyle w:val="BodyTextNote"/>
      </w:pPr>
      <w:r>
        <w:t xml:space="preserve">The State cites 39 decisions from this Court to make the claim that Louisiana has already foreclosed the issue of retroactivity—this claim is mistaken at best, disingenuous at worst. None of the cases that the State cites were timely filed post-conviction applications raising</w:t>
      </w:r>
      <w:r>
        <w:t xml:space="preserve"> </w:t>
      </w:r>
      <w:r>
        <w:rPr>
          <w:i/>
          <w:iCs/>
        </w:rPr>
        <w:t xml:space="preserve">Ramos</w:t>
      </w:r>
      <w:r>
        <w:t xml:space="preserve"> </w:t>
      </w:r>
      <w:r>
        <w:t xml:space="preserve">retroactivity. In at least 32 of the 39 cases, the respondents filed the post-conviction relief application well before the</w:t>
      </w:r>
      <w:r>
        <w:t xml:space="preserve"> </w:t>
      </w:r>
      <w:r>
        <w:rPr>
          <w:i/>
          <w:iCs/>
        </w:rPr>
        <w:t xml:space="preserve">Ramos</w:t>
      </w:r>
      <w:r>
        <w:t xml:space="preserve"> </w:t>
      </w:r>
      <w:r>
        <w:t xml:space="preserve">decision issued on April 20, 2020.</w:t>
      </w:r>
      <w:r>
        <w:rPr>
          <w:rStyle w:val="FootnoteReference"/>
        </w:rPr>
        <w:footnoteReference w:id="119"/>
      </w:r>
      <w:r>
        <w:t xml:space="preserve"> </w:t>
      </w:r>
      <w:r>
        <w:t xml:space="preserve">In at least two of the cases, there is no post-conviction relief in question.</w:t>
      </w:r>
      <w:r>
        <w:rPr>
          <w:rStyle w:val="FootnoteReference"/>
        </w:rPr>
        <w:footnoteReference w:id="120"/>
      </w:r>
      <w:r>
        <w:t xml:space="preserve"> </w:t>
      </w:r>
      <w:r>
        <w:t xml:space="preserve">And in one case, this Court granted relief due to the matter being on direct review.</w:t>
      </w:r>
      <w:r>
        <w:rPr>
          <w:rStyle w:val="FootnoteReference"/>
        </w:rPr>
        <w:footnoteReference w:id="121"/>
      </w:r>
      <w:r>
        <w:t xml:space="preserve"> </w:t>
      </w:r>
      <w:r>
        <w:t xml:space="preserve">Moreover, in</w:t>
      </w:r>
      <w:r>
        <w:t xml:space="preserve"> </w:t>
      </w:r>
      <w:r>
        <w:rPr>
          <w:i/>
          <w:iCs/>
        </w:rPr>
        <w:t xml:space="preserve">State</w:t>
      </w:r>
      <w:r>
        <w:rPr>
          <w:i/>
          <w:iCs/>
        </w:rPr>
        <w:t xml:space="preserve"> </w:t>
      </w:r>
      <w:r>
        <w:rPr>
          <w:i/>
          <w:iCs/>
        </w:rPr>
        <w:t xml:space="preserve">v. Dotson</w:t>
      </w:r>
      <w:r>
        <w:t xml:space="preserve">, an Orleans Parish court vacated Dotson’s conviction and agreed to a new trial that has since resolved in his release.</w:t>
      </w:r>
      <w:r>
        <w:rPr>
          <w:rStyle w:val="FootnoteReference"/>
        </w:rPr>
        <w:footnoteReference w:id="122"/>
      </w:r>
    </w:p>
    <w:p>
      <w:pPr>
        <w:pStyle w:val="BodyTextNote"/>
      </w:pPr>
      <w:r>
        <w:t xml:space="preserve">In the few writ denials directly attacking the non-unanimous jury verdicts, the post-conviction claims were brought under a theory of law positing that Louisiana’s non-unanimous jury laws violated the U.S. Constitution’s Equal Protection Clause, based on</w:t>
      </w:r>
      <w:r>
        <w:t xml:space="preserve"> </w:t>
      </w:r>
      <w:r>
        <w:rPr>
          <w:i/>
          <w:iCs/>
        </w:rPr>
        <w:t xml:space="preserve">The Advocate’s</w:t>
      </w:r>
      <w:r>
        <w:t xml:space="preserve"> </w:t>
      </w:r>
      <w:r>
        <w:t xml:space="preserve">comprehensive study on the practice as new evidence, the</w:t>
      </w:r>
      <w:r>
        <w:t xml:space="preserve"> </w:t>
      </w:r>
      <w:r>
        <w:rPr>
          <w:i/>
          <w:iCs/>
        </w:rPr>
        <w:t xml:space="preserve">Maxie</w:t>
      </w:r>
      <w:r>
        <w:t xml:space="preserve"> </w:t>
      </w:r>
      <w:r>
        <w:t xml:space="preserve">case’s testimony and ruling, or both.</w:t>
      </w:r>
      <w:r>
        <w:rPr>
          <w:rStyle w:val="FootnoteReference"/>
        </w:rPr>
        <w:footnoteReference w:id="123"/>
      </w:r>
      <w:r>
        <w:t xml:space="preserve"> </w:t>
      </w:r>
      <w:r>
        <w:t xml:space="preserve">In the cases the State cites, the prospect of addressing the retroactivity of</w:t>
      </w:r>
      <w:r>
        <w:t xml:space="preserve"> </w:t>
      </w:r>
      <w:r>
        <w:rPr>
          <w:i/>
          <w:iCs/>
        </w:rPr>
        <w:t xml:space="preserve">Ramos</w:t>
      </w:r>
      <w:r>
        <w:t xml:space="preserve"> </w:t>
      </w:r>
      <w:r>
        <w:t xml:space="preserve">was raised</w:t>
      </w:r>
      <w:r>
        <w:t xml:space="preserve"> </w:t>
      </w:r>
      <w:r>
        <w:rPr>
          <w:i/>
          <w:iCs/>
        </w:rPr>
        <w:t xml:space="preserve">sua sponte</w:t>
      </w:r>
      <w:r>
        <w:t xml:space="preserve"> </w:t>
      </w:r>
      <w:r>
        <w:t xml:space="preserve">by justices in dissenting opinions of this Court. In fact, in at least 24 of the cases that the State cites, the petitioners currently have a post-conviction relief application concerning</w:t>
      </w:r>
      <w:r>
        <w:t xml:space="preserve"> </w:t>
      </w:r>
      <w:r>
        <w:rPr>
          <w:i/>
          <w:iCs/>
        </w:rPr>
        <w:t xml:space="preserve">Ramos</w:t>
      </w:r>
      <w:r>
        <w:t xml:space="preserve"> </w:t>
      </w:r>
      <w:r>
        <w:t xml:space="preserve">retroactivity pending before a court in Louisiana, stayed while awaiting guidance on the matter from this Court.</w:t>
      </w:r>
      <w:r>
        <w:rPr>
          <w:rStyle w:val="FootnoteReference"/>
        </w:rPr>
        <w:footnoteReference w:id="124"/>
      </w:r>
    </w:p>
    <w:p>
      <w:pPr>
        <w:pStyle w:val="BodyTextNote"/>
      </w:pPr>
      <w:r>
        <w:t xml:space="preserve">Even if the State had cited cases in which this Court had denied writ on a claim seeking the retroactivity of</w:t>
      </w:r>
      <w:r>
        <w:t xml:space="preserve"> </w:t>
      </w:r>
      <w:r>
        <w:rPr>
          <w:i/>
          <w:iCs/>
        </w:rPr>
        <w:t xml:space="preserve">Ramos</w:t>
      </w:r>
      <w:r>
        <w:t xml:space="preserve">, this Court has made clear that a denial of writ has no precedential value on this or any other court.</w:t>
      </w:r>
      <w:r>
        <w:t xml:space="preserve"> </w:t>
      </w:r>
      <w:r>
        <w:rPr>
          <w:i/>
          <w:iCs/>
        </w:rPr>
        <w:t xml:space="preserve">State</w:t>
      </w:r>
      <w:r>
        <w:rPr>
          <w:i/>
          <w:iCs/>
        </w:rPr>
        <w:t xml:space="preserve"> </w:t>
      </w:r>
      <w:r>
        <w:rPr>
          <w:i/>
          <w:iCs/>
        </w:rPr>
        <w:t xml:space="preserve">v. David Brown</w:t>
      </w:r>
      <w:r>
        <w:t xml:space="preserve">, 16</w:t>
      </w:r>
      <w:r>
        <w:noBreakHyphen/>
      </w:r>
      <w:r>
        <w:t xml:space="preserve">0998 at 129 (La. 01/28/22).</w:t>
      </w:r>
      <w:r>
        <w:rPr>
          <w:rStyle w:val="FootnoteReference"/>
        </w:rPr>
        <w:footnoteReference w:id="125"/>
      </w:r>
    </w:p>
    <w:p>
      <w:pPr>
        <w:pStyle w:val="BodyText"/>
      </w:pPr>
      <w:r>
        <w:t xml:space="preserve">The goal of our criminal justice system is not finality for finality’s sake; we do not speed toward a resolution merely to preserve judicial momentum. Finality is of importance because once fair evidence has been produced, a fair verdict reached and a fair sentence proscribed, we can have trust that our imperfect system has at least been adjudicated fairly. But when one of those phases is not only imperfect but grossly repugnant, designed to maintain unfairness of the most insidious kind, finality becomes a frivolous concern that only seeks to pervert our notions of law and order.</w:t>
      </w:r>
    </w:p>
    <w:p>
      <w:pPr>
        <w:keepNext/>
        <w:keepLines/>
        <w:spacing w:before="264" w:after="144" w:line="276" w:lineRule="exact"/>
        <w:ind w:left="0" w:firstLine="0"/>
        <w:jc w:val="left"/>
      </w:pPr>
      <w:r>
        <w:rPr>
          <w:b/>
          <w:bCs/>
        </w:rPr>
        <w:t xml:space="preserve">3.</w:t>
      </w:r>
      <w:r>
        <w:rPr>
          <w:b/>
          <w:bCs/>
        </w:rPr>
        <w:t xml:space="preserve"> </w:t>
      </w:r>
      <w:r>
        <w:rPr>
          <w:b/>
          <w:bCs/>
        </w:rPr>
        <w:t xml:space="preserve">Louisiana</w:t>
      </w:r>
      <w:r>
        <w:rPr>
          <w:b/>
          <w:bCs/>
        </w:rPr>
        <w:t xml:space="preserve"> </w:t>
      </w:r>
      <w:r>
        <w:rPr>
          <w:b/>
          <w:bCs/>
        </w:rPr>
        <w:t xml:space="preserve">has</w:t>
      </w:r>
      <w:r>
        <w:rPr>
          <w:b/>
          <w:bCs/>
        </w:rPr>
        <w:t xml:space="preserve"> </w:t>
      </w:r>
      <w:r>
        <w:rPr>
          <w:b/>
          <w:bCs/>
        </w:rPr>
        <w:t xml:space="preserve">state-specific</w:t>
      </w:r>
      <w:r>
        <w:rPr>
          <w:b/>
          <w:bCs/>
        </w:rPr>
        <w:t xml:space="preserve"> </w:t>
      </w:r>
      <w:r>
        <w:rPr>
          <w:b/>
          <w:bCs/>
        </w:rPr>
        <w:t xml:space="preserve">interests</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retroactivity</w:t>
      </w:r>
      <w:r>
        <w:rPr>
          <w:b/>
          <w:bCs/>
        </w:rPr>
        <w:t xml:space="preserve"> </w:t>
      </w:r>
      <w:r>
        <w:rPr>
          <w:b/>
          <w:bCs/>
        </w:rPr>
        <w:t xml:space="preserve">of</w:t>
      </w:r>
      <w:r>
        <w:rPr>
          <w:b/>
          <w:bCs/>
        </w:rPr>
        <w:t xml:space="preserve"> </w:t>
      </w:r>
      <w:r>
        <w:rPr>
          <w:b/>
          <w:bCs/>
          <w:i/>
          <w:iCs/>
        </w:rPr>
        <w:t xml:space="preserve">Ramos</w:t>
      </w:r>
      <w:r>
        <w:rPr>
          <w:b/>
          <w:bCs/>
        </w:rPr>
        <w:t xml:space="preserve">.</w:t>
      </w:r>
    </w:p>
    <w:p>
      <w:pPr>
        <w:pStyle w:val="BodyTextNote"/>
      </w:pPr>
      <w:r>
        <w:t xml:space="preserve">Today, Louisiana has the highest incarceration rate in the United States. It leads the nation in life without the possibility of parole sentences.</w:t>
      </w:r>
      <w:r>
        <w:rPr>
          <w:rStyle w:val="FootnoteReference"/>
        </w:rPr>
        <w:footnoteReference w:id="126"/>
      </w:r>
      <w:r>
        <w:t xml:space="preserve"> </w:t>
      </w:r>
      <w:r>
        <w:t xml:space="preserve">As of June 30, 2020, 4,596 people in Louisiana were serving these life sentences.</w:t>
      </w:r>
      <w:r>
        <w:rPr>
          <w:rStyle w:val="FootnoteReference"/>
        </w:rPr>
        <w:footnoteReference w:id="127"/>
      </w:r>
      <w:r>
        <w:t xml:space="preserve"> </w:t>
      </w:r>
      <w:r>
        <w:t xml:space="preserve">Louisiana has more incarcerated people serving life without parole than Texas, Arkansas, Mississippi, Alabama, and Tennessee combined.</w:t>
      </w:r>
      <w:r>
        <w:rPr>
          <w:rStyle w:val="FootnoteReference"/>
        </w:rPr>
        <w:footnoteReference w:id="128"/>
      </w:r>
      <w:r>
        <w:t xml:space="preserve"> </w:t>
      </w:r>
      <w:r>
        <w:t xml:space="preserve">“In Louisiana, almost one in five of the people serving these life without the possibility of parole sentences, received such a sentence because of a non-unanimous jury verdict, ratified by that 1898 Constitutional Convention.”</w:t>
      </w:r>
      <w:r>
        <w:rPr>
          <w:rStyle w:val="FootnoteReference"/>
        </w:rPr>
        <w:footnoteReference w:id="129"/>
      </w:r>
      <w:r>
        <w:t xml:space="preserve"> </w:t>
      </w:r>
      <w:r>
        <w:t xml:space="preserve">In 48 other states, when the jury failed to reach unanimity, the states retried the cases. Perhaps doing so here will put Louisiana in line with other states across the country.</w:t>
      </w:r>
    </w:p>
    <w:p>
      <w:pPr>
        <w:pStyle w:val="BodyTextNote"/>
      </w:pPr>
      <w:r>
        <w:t xml:space="preserve">This Court must also be mindful of the impact of continued legal enforcement of a Jim Crow law in our state on the confidence of its citizenry, specifically Black Louisianans. Courts are already facing a lack of public confidence from communities of color. In 2015, the National Center for State Courts reported that only 32% of Black Americans believe state courts provide equal justice to all.</w:t>
      </w:r>
      <w:r>
        <w:rPr>
          <w:rStyle w:val="FootnoteReference"/>
        </w:rPr>
        <w:footnoteReference w:id="130"/>
      </w:r>
      <w:r>
        <w:t xml:space="preserve"> </w:t>
      </w:r>
      <w:r>
        <w:t xml:space="preserve">Trust in our judicial system is paramount—without trust, people lose interest in participating and lose respect for our democracy. Louisiana residents know that a Jim Crow law persisted and systematically denied the rights of countless Black and other minority residents for over one hundred years, and they know that this law was able to do so in secret and under the guise of “efficient” law and order. Black Louisianans may accept that our criminal system was unaware that Jim Crow endured, but if the justice system refuses to repudiate it when given the opportunity, the impact will be profound.</w:t>
      </w:r>
      <w:r>
        <w:rPr>
          <w:rStyle w:val="FootnoteReference"/>
        </w:rPr>
        <w:footnoteReference w:id="131"/>
      </w:r>
      <w:r>
        <w:t xml:space="preserve"> </w:t>
      </w:r>
      <w:r>
        <w:t xml:space="preserve">The failure to find</w:t>
      </w:r>
      <w:r>
        <w:t xml:space="preserve"> </w:t>
      </w:r>
      <w:r>
        <w:rPr>
          <w:i/>
          <w:iCs/>
        </w:rPr>
        <w:t xml:space="preserve">Ramos</w:t>
      </w:r>
      <w:r>
        <w:t xml:space="preserve"> </w:t>
      </w:r>
      <w:r>
        <w:t xml:space="preserve">retroactive not only dooms hundreds to forfeit the remainder of their lives to imprisonment—it also serves as a permeant reminder that the rights of Black Louisianans are not inalienable and are not guaranteed.</w:t>
      </w:r>
    </w:p>
    <w:p>
      <w:pPr>
        <w:keepNext/>
        <w:keepLines/>
        <w:spacing w:before="264" w:after="144" w:line="276" w:lineRule="exact"/>
        <w:ind w:left="0" w:firstLine="0"/>
        <w:jc w:val="left"/>
      </w:pPr>
      <w:r>
        <w:rPr>
          <w:b/>
          <w:bCs/>
        </w:rPr>
        <w:t xml:space="preserve">4.</w:t>
      </w:r>
      <w:r>
        <w:rPr>
          <w:b/>
          <w:bCs/>
        </w:rPr>
        <w:t xml:space="preserve"> </w:t>
      </w:r>
      <w:r>
        <w:rPr>
          <w:b/>
          <w:bCs/>
        </w:rPr>
        <w:t xml:space="preserve">Mr.</w:t>
      </w:r>
      <w:r>
        <w:rPr>
          <w:b/>
          <w:bCs/>
        </w:rPr>
        <w:t xml:space="preserve"> </w:t>
      </w:r>
      <w:r>
        <w:rPr>
          <w:b/>
          <w:bCs/>
        </w:rPr>
        <w:t xml:space="preserve">Reddick</w:t>
      </w:r>
      <w:r>
        <w:rPr>
          <w:b/>
          <w:bCs/>
        </w:rPr>
        <w:t xml:space="preserve"> </w:t>
      </w:r>
      <w:r>
        <w:rPr>
          <w:b/>
          <w:bCs/>
        </w:rPr>
        <w:t xml:space="preserve">Proposes</w:t>
      </w:r>
      <w:r>
        <w:rPr>
          <w:b/>
          <w:bCs/>
        </w:rPr>
        <w:t xml:space="preserve"> </w:t>
      </w:r>
      <w:r>
        <w:rPr>
          <w:b/>
          <w:bCs/>
        </w:rPr>
        <w:t xml:space="preserve">the</w:t>
      </w:r>
      <w:r>
        <w:rPr>
          <w:b/>
          <w:bCs/>
        </w:rPr>
        <w:t xml:space="preserve"> </w:t>
      </w:r>
      <w:r>
        <w:rPr>
          <w:b/>
          <w:bCs/>
        </w:rPr>
        <w:t xml:space="preserve">“Jim</w:t>
      </w:r>
      <w:r>
        <w:rPr>
          <w:b/>
          <w:bCs/>
        </w:rPr>
        <w:t xml:space="preserve"> </w:t>
      </w:r>
      <w:r>
        <w:rPr>
          <w:b/>
          <w:bCs/>
        </w:rPr>
        <w:t xml:space="preserve">Crow”</w:t>
      </w:r>
      <w:r>
        <w:rPr>
          <w:b/>
          <w:bCs/>
        </w:rPr>
        <w:t xml:space="preserve"> </w:t>
      </w:r>
      <w:r>
        <w:rPr>
          <w:b/>
          <w:bCs/>
        </w:rPr>
        <w:t xml:space="preserve">retroactivity</w:t>
      </w:r>
      <w:r>
        <w:rPr>
          <w:b/>
          <w:bCs/>
        </w:rPr>
        <w:t xml:space="preserve"> </w:t>
      </w:r>
      <w:r>
        <w:rPr>
          <w:b/>
          <w:bCs/>
        </w:rPr>
        <w:t xml:space="preserve">test.</w:t>
      </w:r>
    </w:p>
    <w:p>
      <w:pPr>
        <w:pStyle w:val="BodyText"/>
      </w:pPr>
      <w:r>
        <w:t xml:space="preserve">One test the Louisiana Supreme Court could adopt is a simple variation of what was requested in Mr. Reddick’s post-conviction relief application: This test would provide for retroactivity of a new constitutional rule under</w:t>
      </w:r>
      <w:r>
        <w:t xml:space="preserve"> </w:t>
      </w:r>
      <w:r>
        <w:rPr>
          <w:i/>
          <w:iCs/>
        </w:rPr>
        <w:t xml:space="preserve">Taylor/​Teague</w:t>
      </w:r>
      <w:r>
        <w:t xml:space="preserve">,</w:t>
      </w:r>
      <w:r>
        <w:t xml:space="preserve"> </w:t>
      </w:r>
      <w:r>
        <w:rPr>
          <w:b/>
          <w:bCs/>
        </w:rPr>
        <w:t xml:space="preserve">or</w:t>
      </w:r>
      <w:r>
        <w:t xml:space="preserve"> </w:t>
      </w:r>
      <w:r>
        <w:t xml:space="preserve">where the new rule impacts the guilt or innocence phase of a proceeding and has emerged from a Jim Crow law.</w:t>
      </w:r>
    </w:p>
    <w:p>
      <w:pPr>
        <w:pStyle w:val="BodyText"/>
      </w:pPr>
      <w:r>
        <w:t xml:space="preserve">As Justice Kavanaugh stated in his concurrence—“the non-unanimous jury is today the last of Louisiana’s Jim Crow laws.”</w:t>
      </w:r>
      <w:r>
        <w:t xml:space="preserve"> </w:t>
      </w:r>
      <w:r>
        <w:rPr>
          <w:i/>
          <w:iCs/>
        </w:rPr>
        <w:t xml:space="preserve">Ramos</w:t>
      </w:r>
      <w:r>
        <w:t xml:space="preserve">, 140 S. Ct. at 1418 (Kavanaugh, J., concurring). Thus, this Court would not need to worry about the future application of a test that provides for retroactivity (independent of</w:t>
      </w:r>
      <w:r>
        <w:t xml:space="preserve"> </w:t>
      </w:r>
      <w:r>
        <w:rPr>
          <w:i/>
          <w:iCs/>
        </w:rPr>
        <w:t xml:space="preserve">Taylor/​Teague</w:t>
      </w:r>
      <w:r>
        <w:t xml:space="preserve">) only when a Jim Crow law is implicated.</w:t>
      </w:r>
    </w:p>
    <w:p>
      <w:pPr>
        <w:keepNext/>
        <w:keepLines/>
        <w:spacing w:before="288" w:after="240" w:line="276" w:lineRule="exact"/>
        <w:ind w:left="0" w:firstLine="0"/>
        <w:jc w:val="center"/>
      </w:pPr>
      <w:r>
        <w:rPr>
          <w:b/>
          <w:bCs/>
        </w:rPr>
        <w:t xml:space="preserve">CONCLUSION</w:t>
      </w:r>
    </w:p>
    <w:p>
      <w:pPr>
        <w:pStyle w:val="XdQuoteOnly"/>
      </w:pPr>
      <w:r>
        <w:rPr>
          <w:i/>
          <w:iCs/>
        </w:rPr>
        <w:t xml:space="preserve">Simply pledging to uphold the Constitution in future criminal trials does not heal the wounds already inflicted on Louisiana’s African American community by the use of this law for 120 years. The reality of that harm “and the resulting perception of unfairness and racial bias—[has] undermine[d] confidence in and respect for the criminal justice system.” At stake here is the very legitimacy of the rule of law, which depends upon all citizens having confidence in the courts to apply equal justice.</w:t>
      </w:r>
      <w:r>
        <w:t xml:space="preserve"> </w:t>
      </w:r>
      <w:r>
        <w:rPr>
          <w:i/>
          <w:iCs/>
        </w:rPr>
        <w:t xml:space="preserve">State</w:t>
      </w:r>
      <w:r>
        <w:rPr>
          <w:i/>
          <w:iCs/>
        </w:rPr>
        <w:t xml:space="preserve"> </w:t>
      </w:r>
      <w:r>
        <w:rPr>
          <w:i/>
          <w:iCs/>
        </w:rPr>
        <w:t xml:space="preserve">v. Gipson</w:t>
      </w:r>
      <w:r>
        <w:t xml:space="preserve">, 2019</w:t>
      </w:r>
      <w:r>
        <w:noBreakHyphen/>
      </w:r>
      <w:r>
        <w:t xml:space="preserve">01815 (La. 06/03/20); 296 So. 3d 1051, 1057 (Johnson, J., dissenting) (internal citation omitted).</w:t>
      </w:r>
    </w:p>
    <w:p>
      <w:pPr>
        <w:pStyle w:val="BodyText"/>
      </w:pPr>
      <w:r>
        <w:t xml:space="preserve">The United States has put in significant effort to remove Jim Crow laws from its books. The nation has also started more candidly acknowledging their existence. Changing a Jim Crow law takes work, and that is work that the courts, voters, and legislators have been willing to do. Where we struggle is in finishing the job we start. We frequently fail to identify who is carrying the weight of the remains of our Jim Crow laws across the country, and as a result, we leave that weight on their shoulders. This Court must remove that weight to prevent the harms of Jim Crow from hindering another generation—the children and families of those incarcerated with these convictions. Mr. Reddick and his family are carrying a weight from 1898, and the only way to lift that weight is to finally give Mr. Reddick an opportunity for a constitutional trial.</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left"/>
            </w:pPr>
            <w:r>
              <w:t xml:space="preserve">Respectfully</w:t>
            </w:r>
            <w:r>
              <w:t xml:space="preserve"> </w:t>
            </w:r>
            <w:r>
              <w:t xml:space="preserve">submitted,</w:t>
            </w:r>
          </w:p>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__________________________</w:t>
                  </w:r>
                </w:p>
                <w:p>
                  <w:pPr>
                    <w:spacing w:before="0" w:after="0" w:line="276" w:lineRule="exact"/>
                    <w:ind w:left="0" w:firstLine="0"/>
                    <w:jc w:val="left"/>
                  </w:pPr>
                  <w:r>
                    <w:t xml:space="preserve">Jamila</w:t>
                  </w:r>
                  <w:r>
                    <w:t xml:space="preserve"> </w:t>
                  </w:r>
                  <w:r>
                    <w:t xml:space="preserve">Asha</w:t>
                  </w:r>
                  <w:r>
                    <w:t xml:space="preserve"> </w:t>
                  </w:r>
                  <w:r>
                    <w:t xml:space="preserve">Johnson,</w:t>
                  </w:r>
                  <w:r>
                    <w:t xml:space="preserve"> </w:t>
                  </w:r>
                  <w:r>
                    <w:t xml:space="preserve">LA</w:t>
                  </w:r>
                  <w:r>
                    <w:t xml:space="preserve"> </w:t>
                  </w:r>
                  <w:r>
                    <w:t xml:space="preserve">37593</w:t>
                  </w:r>
                </w:p>
                <w:p>
                  <w:pPr>
                    <w:spacing w:before="0" w:after="0" w:line="276" w:lineRule="exact"/>
                    <w:ind w:left="0" w:firstLine="0"/>
                    <w:jc w:val="left"/>
                  </w:pPr>
                  <w:r>
                    <w:t xml:space="preserve">Lead</w:t>
                  </w:r>
                  <w:r>
                    <w:t xml:space="preserve"> </w:t>
                  </w:r>
                  <w:r>
                    <w:t xml:space="preserve">Counsel</w:t>
                  </w:r>
                </w:p>
                <w:p>
                  <w:pPr>
                    <w:spacing w:before="0" w:after="0" w:line="276" w:lineRule="exact"/>
                    <w:ind w:left="0" w:firstLine="0"/>
                    <w:jc w:val="left"/>
                  </w:pPr>
                  <w:r>
                    <w:t xml:space="preserve">Hardell</w:t>
                  </w:r>
                  <w:r>
                    <w:t xml:space="preserve"> </w:t>
                  </w:r>
                  <w:r>
                    <w:t xml:space="preserve">Harachio</w:t>
                  </w:r>
                  <w:r>
                    <w:t xml:space="preserve"> </w:t>
                  </w:r>
                  <w:r>
                    <w:t xml:space="preserve">Ward,</w:t>
                  </w:r>
                  <w:r>
                    <w:t xml:space="preserve"> </w:t>
                  </w:r>
                  <w:r>
                    <w:t xml:space="preserve">LA</w:t>
                  </w:r>
                  <w:r>
                    <w:t xml:space="preserve"> </w:t>
                  </w:r>
                  <w:r>
                    <w:t xml:space="preserve">32266</w:t>
                  </w:r>
                </w:p>
                <w:p>
                  <w:pPr>
                    <w:spacing w:before="0" w:after="0" w:line="276" w:lineRule="exact"/>
                    <w:ind w:left="0" w:firstLine="0"/>
                    <w:jc w:val="left"/>
                  </w:pPr>
                  <w:r>
                    <w:t xml:space="preserve">Claude-Michael</w:t>
                  </w:r>
                  <w:r>
                    <w:t xml:space="preserve"> </w:t>
                  </w:r>
                  <w:r>
                    <w:t xml:space="preserve">Comeau,</w:t>
                  </w:r>
                  <w:r>
                    <w:t xml:space="preserve"> </w:t>
                  </w:r>
                  <w:r>
                    <w:t xml:space="preserve">LA</w:t>
                  </w:r>
                  <w:r>
                    <w:t xml:space="preserve"> </w:t>
                  </w:r>
                  <w:r>
                    <w:t xml:space="preserve">35454</w:t>
                  </w:r>
                </w:p>
                <w:p>
                  <w:pPr>
                    <w:spacing w:before="0" w:after="0" w:line="276" w:lineRule="exact"/>
                    <w:ind w:left="0" w:firstLine="0"/>
                    <w:jc w:val="left"/>
                  </w:pPr>
                  <w:r>
                    <w:t xml:space="preserve">/s/</w:t>
                  </w:r>
                  <w:r>
                    <w:t xml:space="preserve"> </w:t>
                  </w:r>
                  <w:r>
                    <w:t xml:space="preserve">Jamila</w:t>
                  </w:r>
                  <w:r>
                    <w:t xml:space="preserve"> </w:t>
                  </w:r>
                  <w:r>
                    <w:t xml:space="preserve">Asha</w:t>
                  </w:r>
                  <w:r>
                    <w:t xml:space="preserve"> </w:t>
                  </w:r>
                  <w:r>
                    <w:t xml:space="preserve">Johnson</w:t>
                  </w:r>
                </w:p>
              </w:tc>
              <w:tc>
                <w:tcPr>
                  <w:tcW w:w="4896" w:type="dxa"/>
                  <w:tcMar>
                    <w:left w:w="432" w:type="dxa"/>
                  </w:tcMar>
                </w:tcPr>
                <w:p>
                  <w:pPr>
                    <w:spacing w:before="0" w:after="0" w:line="1" w:lineRule="exact"/>
                  </w:pPr>
                </w:p>
              </w:tc>
            </w:tr>
          </w:tbl>
          <w:p>
            <w:pPr>
              <w:spacing w:before="0" w:after="0" w:line="1" w:lineRule="exact"/>
            </w:pPr>
          </w:p>
        </w:tc>
      </w:tr>
    </w:tbl>
    <w:p>
      <w:pPr>
        <w:pageBreakBefore/>
        <w:spacing w:before="0" w:after="0" w:line="1" w:lineRule="exact"/>
      </w:pPr>
    </w:p>
    <w:p>
      <w:pPr>
        <w:spacing w:before="0" w:after="288"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certify</w:t>
      </w:r>
      <w:r>
        <w:t xml:space="preserve"> </w:t>
      </w:r>
      <w:r>
        <w:t xml:space="preserve">that</w:t>
      </w:r>
      <w:r>
        <w:t xml:space="preserve"> </w:t>
      </w:r>
      <w:r>
        <w:t xml:space="preserve">all</w:t>
      </w:r>
      <w:r>
        <w:t xml:space="preserve"> </w:t>
      </w:r>
      <w:r>
        <w:t xml:space="preserve">of</w:t>
      </w:r>
      <w:r>
        <w:t xml:space="preserve"> </w:t>
      </w:r>
      <w:r>
        <w:t xml:space="preserve">the</w:t>
      </w:r>
      <w:r>
        <w:t xml:space="preserve"> </w:t>
      </w:r>
      <w:r>
        <w:t xml:space="preserve">information</w:t>
      </w:r>
      <w:r>
        <w:t xml:space="preserve"> </w:t>
      </w:r>
      <w:r>
        <w:t xml:space="preserve">contained</w:t>
      </w:r>
      <w:r>
        <w:t xml:space="preserve"> </w:t>
      </w:r>
      <w:r>
        <w:t xml:space="preserve">in</w:t>
      </w:r>
      <w:r>
        <w:t xml:space="preserve"> </w:t>
      </w:r>
      <w:r>
        <w:t xml:space="preserve">the</w:t>
      </w:r>
      <w:r>
        <w:t xml:space="preserve"> </w:t>
      </w:r>
      <w:r>
        <w:t xml:space="preserve">above</w:t>
      </w:r>
      <w:r>
        <w:t xml:space="preserve"> </w:t>
      </w:r>
      <w:r>
        <w:t xml:space="preserve">brief</w:t>
      </w:r>
      <w:r>
        <w:t xml:space="preserve"> </w:t>
      </w:r>
      <w:r>
        <w:t xml:space="preserve">is</w:t>
      </w:r>
      <w:r>
        <w:t xml:space="preserve"> </w:t>
      </w:r>
      <w:r>
        <w:t xml:space="preserve">true</w:t>
      </w:r>
      <w:r>
        <w:t xml:space="preserve"> </w:t>
      </w:r>
      <w:r>
        <w:t xml:space="preserve">and</w:t>
      </w:r>
      <w:r>
        <w:t xml:space="preserve"> </w:t>
      </w:r>
      <w:r>
        <w:t xml:space="preserve">correct</w:t>
      </w:r>
      <w:r>
        <w:t xml:space="preserve"> </w:t>
      </w:r>
      <w:r>
        <w:t xml:space="preserve">to</w:t>
      </w:r>
      <w:r>
        <w:t xml:space="preserve"> </w:t>
      </w:r>
      <w:r>
        <w:t xml:space="preserve">the</w:t>
      </w:r>
      <w:r>
        <w:t xml:space="preserve"> </w:t>
      </w:r>
      <w:r>
        <w:t xml:space="preserve">best</w:t>
      </w:r>
      <w:r>
        <w:t xml:space="preserve"> </w:t>
      </w:r>
      <w:r>
        <w:t xml:space="preserve">of</w:t>
      </w:r>
      <w:r>
        <w:t xml:space="preserve"> </w:t>
      </w:r>
      <w:r>
        <w:t xml:space="preserve">my</w:t>
      </w:r>
      <w:r>
        <w:t xml:space="preserve"> </w:t>
      </w:r>
      <w:r>
        <w:t xml:space="preserve">knowledge.</w:t>
      </w:r>
      <w:r>
        <w:t xml:space="preserve"> </w:t>
      </w:r>
      <w:r>
        <w:t xml:space="preserve">I</w:t>
      </w:r>
      <w:r>
        <w:t xml:space="preserve"> </w:t>
      </w:r>
      <w:r>
        <w:t xml:space="preserve">further</w:t>
      </w:r>
      <w:r>
        <w:t xml:space="preserve"> </w:t>
      </w:r>
      <w:r>
        <w:t xml:space="preserve">certify</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this</w:t>
      </w:r>
      <w:r>
        <w:t xml:space="preserve"> </w:t>
      </w:r>
      <w:r>
        <w:t xml:space="preserve">brief</w:t>
      </w:r>
      <w:r>
        <w:t xml:space="preserve"> </w:t>
      </w:r>
      <w:r>
        <w:t xml:space="preserve">has</w:t>
      </w:r>
      <w:r>
        <w:t xml:space="preserve"> </w:t>
      </w:r>
      <w:r>
        <w:t xml:space="preserve">been</w:t>
      </w:r>
      <w:r>
        <w:t xml:space="preserve"> </w:t>
      </w:r>
      <w:r>
        <w:t xml:space="preserve">transmitted</w:t>
      </w:r>
      <w:r>
        <w:t xml:space="preserve"> </w:t>
      </w:r>
      <w:r>
        <w:t xml:space="preserve">by</w:t>
      </w:r>
      <w:r>
        <w:t xml:space="preserve"> </w:t>
      </w:r>
      <w:r>
        <w:t xml:space="preserve">electronic</w:t>
      </w:r>
      <w:r>
        <w:t xml:space="preserve"> </w:t>
      </w:r>
      <w:r>
        <w:t xml:space="preserve">means</w:t>
      </w:r>
      <w:r>
        <w:t xml:space="preserve"> </w:t>
      </w:r>
      <w:r>
        <w:t xml:space="preserve">to</w:t>
      </w:r>
      <w:r>
        <w:t xml:space="preserve"> </w:t>
      </w:r>
      <w:r>
        <w:t xml:space="preserve">counsel</w:t>
      </w:r>
      <w:r>
        <w:t xml:space="preserve"> </w:t>
      </w:r>
      <w:r>
        <w:t xml:space="preserve">of</w:t>
      </w:r>
      <w:r>
        <w:t xml:space="preserve"> </w:t>
      </w:r>
      <w:r>
        <w:t xml:space="preserve">record</w:t>
      </w:r>
      <w:r>
        <w:t xml:space="preserve"> </w:t>
      </w:r>
      <w:r>
        <w:t xml:space="preserve">at</w:t>
      </w:r>
      <w:r>
        <w:t xml:space="preserve"> </w:t>
      </w:r>
      <w:r>
        <w:t xml:space="preserve">the</w:t>
      </w:r>
      <w:r>
        <w:t xml:space="preserve"> </w:t>
      </w:r>
      <w:r>
        <w:t xml:space="preserve">email</w:t>
      </w:r>
      <w:r>
        <w:t xml:space="preserve"> </w:t>
      </w:r>
      <w:r>
        <w:t xml:space="preserve">addresses</w:t>
      </w:r>
      <w:r>
        <w:t xml:space="preserve"> </w:t>
      </w:r>
      <w:r>
        <w:t xml:space="preserve">provided</w:t>
      </w:r>
      <w:r>
        <w:t xml:space="preserve"> </w:t>
      </w:r>
      <w:r>
        <w:t xml:space="preserve">on</w:t>
      </w:r>
      <w:r>
        <w:t xml:space="preserve"> </w:t>
      </w:r>
      <w:r>
        <w:t xml:space="preserve">pleadings</w:t>
      </w:r>
      <w:r>
        <w:t xml:space="preserve"> </w:t>
      </w:r>
      <w:r>
        <w:t xml:space="preserve">to</w:t>
      </w:r>
      <w:r>
        <w:t xml:space="preserve"> </w:t>
      </w:r>
      <w:r>
        <w:t xml:space="preserve">this</w:t>
      </w:r>
      <w:r>
        <w:t xml:space="preserve"> </w:t>
      </w:r>
      <w:r>
        <w:t xml:space="preserve">court.</w:t>
      </w:r>
      <w:r>
        <w:t xml:space="preserve"> </w:t>
      </w:r>
      <w:r>
        <w:t xml:space="preserve">Petitioner</w:t>
      </w:r>
      <w:r>
        <w:t xml:space="preserve"> </w:t>
      </w:r>
      <w:r>
        <w:t xml:space="preserve">also</w:t>
      </w:r>
      <w:r>
        <w:t xml:space="preserve"> </w:t>
      </w:r>
      <w:r>
        <w:t xml:space="preserve">provided</w:t>
      </w:r>
      <w:r>
        <w:t xml:space="preserve"> </w:t>
      </w:r>
      <w:r>
        <w:t xml:space="preserve">this</w:t>
      </w:r>
      <w:r>
        <w:t xml:space="preserve"> </w:t>
      </w:r>
      <w:r>
        <w:t xml:space="preserve">pleading</w:t>
      </w:r>
      <w:r>
        <w:t xml:space="preserve"> </w:t>
      </w:r>
      <w:r>
        <w:t xml:space="preserve">by</w:t>
      </w:r>
      <w:r>
        <w:t xml:space="preserve"> </w:t>
      </w:r>
      <w:r>
        <w:t xml:space="preserve">first</w:t>
      </w:r>
      <w:r>
        <w:t xml:space="preserve"> </w:t>
      </w:r>
      <w:r>
        <w:t xml:space="preserve">class</w:t>
      </w:r>
      <w:r>
        <w:t xml:space="preserve"> </w:t>
      </w:r>
      <w:r>
        <w:t xml:space="preserve">mail</w:t>
      </w:r>
      <w:r>
        <w:t xml:space="preserve"> </w:t>
      </w:r>
      <w:r>
        <w:t xml:space="preserve">to</w:t>
      </w:r>
      <w:r>
        <w:t xml:space="preserve"> </w:t>
      </w:r>
      <w:r>
        <w:t xml:space="preserve">the</w:t>
      </w:r>
      <w:r>
        <w:t xml:space="preserve"> </w:t>
      </w:r>
      <w:r>
        <w:t xml:space="preserve">Plaquemines</w:t>
      </w:r>
      <w:r>
        <w:t xml:space="preserve"> </w:t>
      </w:r>
      <w:r>
        <w:t xml:space="preserve">Parish</w:t>
      </w:r>
      <w:r>
        <w:t xml:space="preserve"> </w:t>
      </w:r>
      <w:r>
        <w:t xml:space="preserve">District</w:t>
      </w:r>
      <w:r>
        <w:t xml:space="preserve"> </w:t>
      </w:r>
      <w:r>
        <w:t xml:space="preserve">Court</w:t>
      </w:r>
      <w:r>
        <w:t xml:space="preserve"> </w:t>
      </w:r>
      <w:r>
        <w:t xml:space="preserve">clerk</w:t>
      </w:r>
      <w:r>
        <w:t xml:space="preserve"> </w:t>
      </w:r>
      <w:r>
        <w:t xml:space="preserve">of</w:t>
      </w:r>
      <w:r>
        <w:t xml:space="preserve"> </w:t>
      </w:r>
      <w:r>
        <w:t xml:space="preserve">court</w:t>
      </w:r>
      <w:r>
        <w:t xml:space="preserve"> </w:t>
      </w:r>
      <w:r>
        <w:t xml:space="preserve">at</w:t>
      </w:r>
      <w:r>
        <w:t xml:space="preserve"> </w:t>
      </w:r>
      <w:r>
        <w:t xml:space="preserve">P.O.</w:t>
      </w:r>
      <w:r>
        <w:t xml:space="preserve"> </w:t>
      </w:r>
      <w:r>
        <w:t xml:space="preserve">Box</w:t>
      </w:r>
      <w:r>
        <w:t xml:space="preserve"> </w:t>
      </w:r>
      <w:r>
        <w:t xml:space="preserve">40,</w:t>
      </w:r>
      <w:r>
        <w:t xml:space="preserve"> </w:t>
      </w:r>
      <w:r>
        <w:t xml:space="preserve">Belle</w:t>
      </w:r>
      <w:r>
        <w:t xml:space="preserve"> </w:t>
      </w:r>
      <w:r>
        <w:t xml:space="preserve">Chasse,</w:t>
      </w:r>
      <w:r>
        <w:t xml:space="preserve"> </w:t>
      </w:r>
      <w:r>
        <w:t xml:space="preserve">Louisiana</w:t>
      </w:r>
      <w:r>
        <w:t xml:space="preserve"> </w:t>
      </w:r>
      <w:r>
        <w:t xml:space="preserve">70037</w:t>
      </w:r>
      <w:r>
        <w:t xml:space="preserve"> </w:t>
      </w:r>
      <w:r>
        <w:t xml:space="preserve">on</w:t>
      </w:r>
      <w:r>
        <w:t xml:space="preserve"> </w:t>
      </w:r>
      <w:r>
        <w:t xml:space="preserve">this</w:t>
      </w:r>
      <w:r>
        <w:t xml:space="preserve"> </w:t>
      </w:r>
      <w:r>
        <w:t xml:space="preserve">the</w:t>
      </w:r>
      <w:r>
        <w:t xml:space="preserve"> </w:t>
      </w:r>
      <w:r>
        <w:t xml:space="preserve">2nd</w:t>
      </w:r>
      <w:r>
        <w:t xml:space="preserve"> </w:t>
      </w:r>
      <w:r>
        <w:t xml:space="preserve">day</w:t>
      </w:r>
      <w:r>
        <w:t xml:space="preserve"> </w:t>
      </w:r>
      <w:r>
        <w:t xml:space="preserve">of</w:t>
      </w:r>
      <w:r>
        <w:t xml:space="preserve"> </w:t>
      </w:r>
      <w:r>
        <w:t xml:space="preserve">May,</w:t>
      </w:r>
      <w:r>
        <w:t xml:space="preserve"> </w:t>
      </w:r>
      <w:r>
        <w:t xml:space="preserve">2022:</w:t>
      </w:r>
    </w:p>
    <w:p>
      <w:pPr>
        <w:spacing w:before="288" w:after="0" w:line="276" w:lineRule="exact"/>
        <w:ind w:left="0" w:firstLine="0"/>
        <w:jc w:val="left"/>
      </w:pPr>
      <w:r>
        <w:t xml:space="preserve">THE</w:t>
      </w:r>
      <w:r>
        <w:t xml:space="preserve"> </w:t>
      </w:r>
      <w:r>
        <w:t xml:space="preserve">HONORABLE</w:t>
      </w:r>
      <w:r>
        <w:t xml:space="preserve"> </w:t>
      </w:r>
      <w:r>
        <w:t xml:space="preserve">MICHAEL</w:t>
      </w:r>
      <w:r>
        <w:t xml:space="preserve"> </w:t>
      </w:r>
      <w:r>
        <w:t xml:space="preserve">D.</w:t>
      </w:r>
      <w:r>
        <w:t xml:space="preserve"> </w:t>
      </w:r>
      <w:r>
        <w:t xml:space="preserve">CLEMENT</w:t>
      </w:r>
    </w:p>
    <w:p>
      <w:pPr>
        <w:spacing w:before="0" w:after="0" w:line="276" w:lineRule="exact"/>
        <w:ind w:left="0" w:firstLine="0"/>
        <w:jc w:val="left"/>
      </w:pPr>
      <w:r>
        <w:t xml:space="preserve">25th</w:t>
      </w:r>
      <w:r>
        <w:t xml:space="preserve"> </w:t>
      </w:r>
      <w:r>
        <w:t xml:space="preserve">Judicial</w:t>
      </w:r>
      <w:r>
        <w:t xml:space="preserve"> </w:t>
      </w:r>
      <w:r>
        <w:t xml:space="preserve">District</w:t>
      </w:r>
      <w:r>
        <w:t xml:space="preserve"> </w:t>
      </w:r>
      <w:r>
        <w:t xml:space="preserve">Court,</w:t>
      </w:r>
      <w:r>
        <w:t xml:space="preserve"> </w:t>
      </w:r>
      <w:r>
        <w:t xml:space="preserve">Parish</w:t>
      </w:r>
      <w:r>
        <w:t xml:space="preserve"> </w:t>
      </w:r>
      <w:r>
        <w:t xml:space="preserve">of</w:t>
      </w:r>
    </w:p>
    <w:p>
      <w:pPr>
        <w:spacing w:before="0" w:after="0" w:line="276" w:lineRule="exact"/>
        <w:ind w:left="0" w:firstLine="0"/>
        <w:jc w:val="left"/>
      </w:pPr>
      <w:r>
        <w:t xml:space="preserve">Plaquemines</w:t>
      </w:r>
    </w:p>
    <w:p>
      <w:pPr>
        <w:spacing w:before="0" w:after="0" w:line="276" w:lineRule="exact"/>
        <w:ind w:left="0" w:firstLine="0"/>
        <w:jc w:val="left"/>
      </w:pPr>
      <w:r>
        <w:t xml:space="preserve">Division</w:t>
      </w:r>
      <w:r>
        <w:t xml:space="preserve"> </w:t>
      </w:r>
      <w:r>
        <w:t xml:space="preserve">B</w:t>
      </w:r>
    </w:p>
    <w:p>
      <w:pPr>
        <w:spacing w:before="0" w:after="0" w:line="276" w:lineRule="exact"/>
        <w:ind w:left="0" w:firstLine="0"/>
        <w:jc w:val="left"/>
      </w:pPr>
      <w:r>
        <w:t xml:space="preserve">P.O.</w:t>
      </w:r>
      <w:r>
        <w:t xml:space="preserve"> </w:t>
      </w:r>
      <w:r>
        <w:t xml:space="preserve">Box</w:t>
      </w:r>
      <w:r>
        <w:t xml:space="preserve"> </w:t>
      </w:r>
      <w:r>
        <w:t xml:space="preserve">7126</w:t>
      </w:r>
    </w:p>
    <w:p>
      <w:pPr>
        <w:spacing w:before="0" w:after="0" w:line="276" w:lineRule="exact"/>
        <w:ind w:left="0" w:firstLine="0"/>
        <w:jc w:val="left"/>
      </w:pPr>
      <w:r>
        <w:t xml:space="preserve">Belle</w:t>
      </w:r>
      <w:r>
        <w:t xml:space="preserve"> </w:t>
      </w:r>
      <w:r>
        <w:t xml:space="preserve">Chasse,</w:t>
      </w:r>
      <w:r>
        <w:t xml:space="preserve"> </w:t>
      </w:r>
      <w:r>
        <w:t xml:space="preserve">Louisiana</w:t>
      </w:r>
      <w:r>
        <w:t xml:space="preserve"> </w:t>
      </w:r>
      <w:r>
        <w:t xml:space="preserve">70037</w:t>
      </w:r>
    </w:p>
    <w:p>
      <w:pPr>
        <w:spacing w:before="0" w:after="0" w:line="276" w:lineRule="exact"/>
        <w:ind w:left="0" w:firstLine="0"/>
        <w:jc w:val="left"/>
      </w:pPr>
      <w:r>
        <w:t xml:space="preserve">mclement@25thjdc.com</w:t>
      </w:r>
    </w:p>
    <w:p>
      <w:pPr>
        <w:spacing w:before="0" w:after="0" w:line="276" w:lineRule="exact"/>
        <w:ind w:left="0" w:firstLine="0"/>
        <w:jc w:val="left"/>
      </w:pPr>
      <w:r>
        <w:t xml:space="preserve">504</w:t>
        <w:noBreakHyphen/>
        <w:t xml:space="preserve">934</w:t>
        <w:noBreakHyphen/>
        <w:t xml:space="preserve">6715</w:t>
      </w:r>
    </w:p>
    <w:p>
      <w:pPr>
        <w:spacing w:before="0" w:after="0" w:line="276" w:lineRule="exact"/>
        <w:ind w:left="0" w:firstLine="0"/>
        <w:jc w:val="left"/>
      </w:pPr>
    </w:p>
    <w:p>
      <w:pPr>
        <w:spacing w:before="0" w:after="0" w:line="276" w:lineRule="exact"/>
        <w:ind w:left="0" w:firstLine="0"/>
        <w:jc w:val="left"/>
      </w:pPr>
      <w:r>
        <w:t xml:space="preserve">JUSTIN</w:t>
      </w:r>
      <w:r>
        <w:t xml:space="preserve"> </w:t>
      </w:r>
      <w:r>
        <w:t xml:space="preserve">I.</w:t>
      </w:r>
      <w:r>
        <w:t xml:space="preserve"> </w:t>
      </w:r>
      <w:r>
        <w:t xml:space="preserve">WOODS</w:t>
      </w:r>
    </w:p>
    <w:p>
      <w:pPr>
        <w:spacing w:before="0" w:after="0" w:line="276" w:lineRule="exact"/>
        <w:ind w:left="0" w:firstLine="0"/>
        <w:jc w:val="left"/>
      </w:pPr>
      <w:r>
        <w:t xml:space="preserve">Clerk</w:t>
      </w:r>
      <w:r>
        <w:t xml:space="preserve"> </w:t>
      </w:r>
      <w:r>
        <w:t xml:space="preserve">of</w:t>
      </w:r>
      <w:r>
        <w:t xml:space="preserve"> </w:t>
      </w:r>
      <w:r>
        <w:t xml:space="preserve">Court</w:t>
      </w:r>
    </w:p>
    <w:p>
      <w:pPr>
        <w:spacing w:before="0" w:after="0" w:line="276" w:lineRule="exact"/>
        <w:ind w:left="0" w:firstLine="0"/>
        <w:jc w:val="left"/>
      </w:pPr>
      <w:r>
        <w:t xml:space="preserve">Louisiana</w:t>
      </w:r>
      <w:r>
        <w:t xml:space="preserve"> </w:t>
      </w:r>
      <w:r>
        <w:t xml:space="preserve">Fourth</w:t>
      </w:r>
      <w:r>
        <w:t xml:space="preserve"> </w:t>
      </w:r>
      <w:r>
        <w:t xml:space="preserve">Circuit</w:t>
      </w:r>
      <w:r>
        <w:t xml:space="preserve"> </w:t>
      </w:r>
      <w:r>
        <w:t xml:space="preserve">Court</w:t>
      </w:r>
      <w:r>
        <w:t xml:space="preserve"> </w:t>
      </w:r>
      <w:r>
        <w:t xml:space="preserve">of</w:t>
      </w:r>
      <w:r>
        <w:t xml:space="preserve"> </w:t>
      </w:r>
      <w:r>
        <w:t xml:space="preserve">Appeal</w:t>
      </w:r>
    </w:p>
    <w:p>
      <w:pPr>
        <w:spacing w:before="0" w:after="0" w:line="276" w:lineRule="exact"/>
        <w:ind w:left="0" w:firstLine="0"/>
        <w:jc w:val="left"/>
      </w:pPr>
      <w:r>
        <w:t xml:space="preserve">410</w:t>
      </w:r>
      <w:r>
        <w:t xml:space="preserve"> </w:t>
      </w:r>
      <w:r>
        <w:t xml:space="preserve">Royal</w:t>
      </w:r>
      <w:r>
        <w:t xml:space="preserve"> </w:t>
      </w:r>
      <w:r>
        <w:t xml:space="preserve">Street</w:t>
      </w:r>
    </w:p>
    <w:p>
      <w:pPr>
        <w:spacing w:before="0" w:after="0" w:line="276" w:lineRule="exact"/>
        <w:ind w:left="0" w:firstLine="0"/>
        <w:jc w:val="left"/>
      </w:pPr>
      <w:r>
        <w:t xml:space="preserve">New</w:t>
      </w:r>
      <w:r>
        <w:t xml:space="preserve"> </w:t>
      </w:r>
      <w:r>
        <w:t xml:space="preserve">Orleans,</w:t>
      </w:r>
      <w:r>
        <w:t xml:space="preserve"> </w:t>
      </w:r>
      <w:r>
        <w:t xml:space="preserve">Louisiana</w:t>
      </w:r>
      <w:r>
        <w:t xml:space="preserve"> </w:t>
      </w:r>
      <w:r>
        <w:t xml:space="preserve">70130</w:t>
      </w:r>
    </w:p>
    <w:p>
      <w:pPr>
        <w:spacing w:before="0" w:after="0" w:line="276" w:lineRule="exact"/>
        <w:ind w:left="0" w:firstLine="0"/>
        <w:jc w:val="left"/>
      </w:pPr>
      <w:r>
        <w:t xml:space="preserve">coc@la4th.org</w:t>
      </w:r>
    </w:p>
    <w:p>
      <w:pPr>
        <w:spacing w:before="0" w:after="0" w:line="276" w:lineRule="exact"/>
        <w:ind w:left="0" w:firstLine="0"/>
        <w:jc w:val="left"/>
      </w:pPr>
      <w:r>
        <w:t xml:space="preserve">504</w:t>
        <w:noBreakHyphen/>
        <w:t xml:space="preserve">412</w:t>
        <w:noBreakHyphen/>
        <w:t xml:space="preserve">6001</w:t>
      </w:r>
    </w:p>
    <w:p>
      <w:pPr>
        <w:spacing w:before="0" w:after="0" w:line="276" w:lineRule="exact"/>
        <w:ind w:left="0" w:firstLine="0"/>
        <w:jc w:val="left"/>
      </w:pPr>
    </w:p>
    <w:p>
      <w:pPr>
        <w:spacing w:before="0" w:after="0" w:line="276" w:lineRule="exact"/>
        <w:ind w:left="0" w:firstLine="0"/>
        <w:jc w:val="left"/>
      </w:pPr>
      <w:r>
        <w:t xml:space="preserve">ELIZABETH</w:t>
      </w:r>
      <w:r>
        <w:t xml:space="preserve"> </w:t>
      </w:r>
      <w:r>
        <w:t xml:space="preserve">BAKER</w:t>
      </w:r>
      <w:r>
        <w:t xml:space="preserve"> </w:t>
      </w:r>
      <w:r>
        <w:t xml:space="preserve">MURRILL</w:t>
      </w:r>
      <w:r>
        <w:t xml:space="preserve"> </w:t>
      </w:r>
      <w:r>
        <w:t xml:space="preserve">(#20685)</w:t>
      </w:r>
    </w:p>
    <w:p>
      <w:pPr>
        <w:spacing w:before="0" w:after="0" w:line="276" w:lineRule="exact"/>
        <w:ind w:left="0" w:firstLine="0"/>
        <w:jc w:val="left"/>
      </w:pPr>
      <w:r>
        <w:t xml:space="preserve">Solicitor</w:t>
      </w:r>
      <w:r>
        <w:t xml:space="preserve"> </w:t>
      </w:r>
      <w:r>
        <w:t xml:space="preserve">General</w:t>
      </w:r>
    </w:p>
    <w:p>
      <w:pPr>
        <w:spacing w:before="0" w:after="0" w:line="276" w:lineRule="exact"/>
        <w:ind w:left="0" w:firstLine="0"/>
        <w:jc w:val="left"/>
      </w:pPr>
      <w:r>
        <w:t xml:space="preserve">SHAE</w:t>
      </w:r>
      <w:r>
        <w:t xml:space="preserve"> </w:t>
      </w:r>
      <w:r>
        <w:t xml:space="preserve">MCPHEE</w:t>
      </w:r>
      <w:r>
        <w:t xml:space="preserve"> </w:t>
      </w:r>
      <w:r>
        <w:t xml:space="preserve">(#38565)</w:t>
      </w:r>
    </w:p>
    <w:p>
      <w:pPr>
        <w:spacing w:before="0" w:after="0" w:line="276" w:lineRule="exact"/>
        <w:ind w:left="0" w:firstLine="0"/>
        <w:jc w:val="left"/>
      </w:pPr>
      <w:r>
        <w:t xml:space="preserve">Deputy</w:t>
      </w:r>
      <w:r>
        <w:t xml:space="preserve"> </w:t>
      </w:r>
      <w:r>
        <w:t xml:space="preserve">Solicitor</w:t>
      </w:r>
      <w:r>
        <w:t xml:space="preserve"> </w:t>
      </w:r>
      <w:r>
        <w:t xml:space="preserve">General</w:t>
      </w:r>
    </w:p>
    <w:p>
      <w:pPr>
        <w:spacing w:before="0" w:after="0" w:line="276" w:lineRule="exact"/>
        <w:ind w:left="0" w:firstLine="0"/>
        <w:jc w:val="left"/>
      </w:pPr>
      <w:r>
        <w:t xml:space="preserve">Lead</w:t>
      </w:r>
      <w:r>
        <w:t xml:space="preserve"> </w:t>
      </w:r>
      <w:r>
        <w:t xml:space="preserve">Counsel</w:t>
      </w:r>
    </w:p>
    <w:p>
      <w:pPr>
        <w:spacing w:before="0" w:after="0" w:line="276" w:lineRule="exact"/>
        <w:ind w:left="0" w:firstLine="0"/>
        <w:jc w:val="left"/>
      </w:pPr>
      <w:r>
        <w:t xml:space="preserve">J.</w:t>
      </w:r>
      <w:r>
        <w:t xml:space="preserve"> </w:t>
      </w:r>
      <w:r>
        <w:t xml:space="preserve">TAYLOR</w:t>
      </w:r>
      <w:r>
        <w:t xml:space="preserve"> </w:t>
      </w:r>
      <w:r>
        <w:t xml:space="preserve">GRAY</w:t>
      </w:r>
      <w:r>
        <w:t xml:space="preserve"> </w:t>
      </w:r>
      <w:r>
        <w:t xml:space="preserve">(#33562)</w:t>
      </w:r>
    </w:p>
    <w:p>
      <w:pPr>
        <w:spacing w:before="0" w:after="0" w:line="276" w:lineRule="exact"/>
        <w:ind w:left="0" w:firstLine="0"/>
        <w:jc w:val="left"/>
      </w:pPr>
      <w:r>
        <w:t xml:space="preserve">Assistant</w:t>
      </w:r>
      <w:r>
        <w:t xml:space="preserve"> </w:t>
      </w:r>
      <w:r>
        <w:t xml:space="preserve">Attorney</w:t>
      </w:r>
      <w:r>
        <w:t xml:space="preserve"> </w:t>
      </w:r>
      <w:r>
        <w:t xml:space="preserve">General</w:t>
      </w:r>
    </w:p>
    <w:p>
      <w:pPr>
        <w:spacing w:before="0" w:after="0" w:line="276" w:lineRule="exact"/>
        <w:ind w:left="0" w:firstLine="0"/>
        <w:jc w:val="left"/>
      </w:pPr>
      <w:r>
        <w:t xml:space="preserve">Louisiana</w:t>
      </w:r>
      <w:r>
        <w:t xml:space="preserve"> </w:t>
      </w:r>
      <w:r>
        <w:t xml:space="preserve">Department</w:t>
      </w:r>
      <w:r>
        <w:t xml:space="preserve"> </w:t>
      </w:r>
      <w:r>
        <w:t xml:space="preserve">of</w:t>
      </w:r>
      <w:r>
        <w:t xml:space="preserve"> </w:t>
      </w:r>
      <w:r>
        <w:t xml:space="preserve">Justice</w:t>
      </w:r>
    </w:p>
    <w:p>
      <w:pPr>
        <w:spacing w:before="0" w:after="0" w:line="276" w:lineRule="exact"/>
        <w:ind w:left="0" w:firstLine="0"/>
        <w:jc w:val="left"/>
      </w:pPr>
      <w:r>
        <w:t xml:space="preserve">909</w:t>
      </w:r>
      <w:r>
        <w:t xml:space="preserve"> </w:t>
      </w:r>
      <w:r>
        <w:t xml:space="preserve">Poydras</w:t>
      </w:r>
      <w:r>
        <w:t xml:space="preserve"> </w:t>
      </w:r>
      <w:r>
        <w:t xml:space="preserve">Street,</w:t>
      </w:r>
      <w:r>
        <w:t xml:space="preserve"> </w:t>
      </w:r>
      <w:r>
        <w:t xml:space="preserve">Suite</w:t>
      </w:r>
      <w:r>
        <w:t xml:space="preserve"> </w:t>
      </w:r>
      <w:r>
        <w:t xml:space="preserve">1850</w:t>
      </w:r>
    </w:p>
    <w:p>
      <w:pPr>
        <w:spacing w:before="0" w:after="0" w:line="276" w:lineRule="exact"/>
        <w:ind w:left="0" w:firstLine="0"/>
        <w:jc w:val="left"/>
      </w:pPr>
      <w:r>
        <w:t xml:space="preserve">New</w:t>
      </w:r>
      <w:r>
        <w:t xml:space="preserve"> </w:t>
      </w:r>
      <w:r>
        <w:t xml:space="preserve">Orleans,</w:t>
      </w:r>
      <w:r>
        <w:t xml:space="preserve"> </w:t>
      </w:r>
      <w:r>
        <w:t xml:space="preserve">Louisiana</w:t>
      </w:r>
      <w:r>
        <w:t xml:space="preserve"> </w:t>
      </w:r>
      <w:r>
        <w:t xml:space="preserve">70112</w:t>
      </w:r>
    </w:p>
    <w:p>
      <w:pPr>
        <w:spacing w:before="0" w:after="0" w:line="276" w:lineRule="exact"/>
        <w:ind w:left="0" w:firstLine="0"/>
        <w:jc w:val="left"/>
      </w:pPr>
      <w:r>
        <w:t xml:space="preserve">mcphees@ag.louisiana.gov</w:t>
      </w:r>
    </w:p>
    <w:p>
      <w:pPr>
        <w:spacing w:before="0" w:after="0" w:line="276" w:lineRule="exact"/>
        <w:ind w:left="0" w:firstLine="0"/>
        <w:jc w:val="left"/>
      </w:pPr>
      <w:r>
        <w:t xml:space="preserve">GrayJ@ag.louisiana.gov</w:t>
      </w:r>
    </w:p>
    <w:p>
      <w:pPr>
        <w:spacing w:before="0" w:after="0" w:line="276" w:lineRule="exact"/>
        <w:ind w:left="0" w:firstLine="0"/>
        <w:jc w:val="left"/>
      </w:pPr>
      <w:r>
        <w:t xml:space="preserve">murrille@ag.louisiana.gov</w:t>
      </w:r>
    </w:p>
    <w:p>
      <w:pPr>
        <w:spacing w:before="0" w:after="0" w:line="276" w:lineRule="exact"/>
        <w:ind w:left="0" w:firstLine="0"/>
        <w:jc w:val="left"/>
      </w:pPr>
      <w:r>
        <w:t xml:space="preserve">225</w:t>
        <w:noBreakHyphen/>
        <w:t xml:space="preserve">326</w:t>
        <w:noBreakHyphen/>
        <w:t xml:space="preserve">6705</w:t>
      </w:r>
    </w:p>
    <w:p>
      <w:pPr>
        <w:spacing w:before="0" w:after="0" w:line="276" w:lineRule="exact"/>
        <w:ind w:left="0" w:firstLine="0"/>
        <w:jc w:val="left"/>
      </w:pPr>
      <w:r>
        <w:t xml:space="preserve">Counsel</w:t>
      </w:r>
      <w:r>
        <w:t xml:space="preserve"> </w:t>
      </w:r>
      <w:r>
        <w:t xml:space="preserve">for</w:t>
      </w:r>
      <w:r>
        <w:t xml:space="preserve"> </w:t>
      </w:r>
      <w:r>
        <w:t xml:space="preserve">State</w:t>
      </w:r>
      <w:r>
        <w:t xml:space="preserve"> </w:t>
      </w:r>
      <w:r>
        <w:t xml:space="preserve">of</w:t>
      </w:r>
      <w:r>
        <w:t xml:space="preserve"> </w:t>
      </w:r>
      <w:r>
        <w:t xml:space="preserve">Louisiana</w:t>
      </w:r>
    </w:p>
    <w:p>
      <w:pPr>
        <w:spacing w:before="0" w:after="0" w:line="276" w:lineRule="exact"/>
        <w:ind w:left="0" w:firstLine="0"/>
        <w:jc w:val="left"/>
      </w:pPr>
    </w:p>
    <w:p>
      <w:pPr>
        <w:spacing w:before="0" w:after="0" w:line="276" w:lineRule="exact"/>
        <w:ind w:left="0" w:firstLine="0"/>
        <w:jc w:val="left"/>
      </w:pPr>
      <w:r>
        <w:t xml:space="preserve">CHARLES</w:t>
      </w:r>
      <w:r>
        <w:t xml:space="preserve"> </w:t>
      </w:r>
      <w:r>
        <w:t xml:space="preserve">J.</w:t>
      </w:r>
      <w:r>
        <w:t xml:space="preserve"> </w:t>
      </w:r>
      <w:r>
        <w:t xml:space="preserve">BALLAY</w:t>
      </w:r>
      <w:r>
        <w:t xml:space="preserve"> </w:t>
      </w:r>
      <w:r>
        <w:t xml:space="preserve">(#2719)</w:t>
      </w:r>
    </w:p>
    <w:p>
      <w:pPr>
        <w:spacing w:before="0" w:after="0" w:line="276" w:lineRule="exact"/>
        <w:ind w:left="0" w:firstLine="0"/>
        <w:jc w:val="left"/>
      </w:pPr>
      <w:r>
        <w:t xml:space="preserve">District</w:t>
      </w:r>
      <w:r>
        <w:t xml:space="preserve"> </w:t>
      </w:r>
      <w:r>
        <w:t xml:space="preserve">Attorney</w:t>
      </w:r>
    </w:p>
    <w:p>
      <w:pPr>
        <w:spacing w:before="0" w:after="0" w:line="276" w:lineRule="exact"/>
        <w:ind w:left="0" w:firstLine="0"/>
        <w:jc w:val="left"/>
      </w:pPr>
      <w:r>
        <w:t xml:space="preserve">25th</w:t>
      </w:r>
      <w:r>
        <w:t xml:space="preserve"> </w:t>
      </w:r>
      <w:r>
        <w:t xml:space="preserve">Judicial</w:t>
      </w:r>
      <w:r>
        <w:t xml:space="preserve"> </w:t>
      </w:r>
      <w:r>
        <w:t xml:space="preserve">District,</w:t>
      </w:r>
      <w:r>
        <w:t xml:space="preserve"> </w:t>
      </w:r>
      <w:r>
        <w:t xml:space="preserve">Plaquemines</w:t>
      </w:r>
      <w:r>
        <w:t xml:space="preserve"> </w:t>
      </w:r>
      <w:r>
        <w:t xml:space="preserve">Parish</w:t>
      </w:r>
    </w:p>
    <w:p>
      <w:pPr>
        <w:spacing w:before="0" w:after="0" w:line="276" w:lineRule="exact"/>
        <w:ind w:left="0" w:firstLine="0"/>
        <w:jc w:val="left"/>
      </w:pPr>
      <w:r>
        <w:t xml:space="preserve">333</w:t>
      </w:r>
      <w:r>
        <w:t xml:space="preserve"> </w:t>
      </w:r>
      <w:r>
        <w:t xml:space="preserve">F.</w:t>
      </w:r>
      <w:r>
        <w:t xml:space="preserve"> </w:t>
      </w:r>
      <w:r>
        <w:t xml:space="preserve">Edward</w:t>
      </w:r>
      <w:r>
        <w:t xml:space="preserve"> </w:t>
      </w:r>
      <w:r>
        <w:t xml:space="preserve">Hebert</w:t>
      </w:r>
      <w:r>
        <w:t xml:space="preserve"> </w:t>
      </w:r>
      <w:r>
        <w:t xml:space="preserve">Blvd.,</w:t>
      </w:r>
      <w:r>
        <w:t xml:space="preserve"> </w:t>
      </w:r>
      <w:r>
        <w:t xml:space="preserve">Bldg.</w:t>
      </w:r>
      <w:r>
        <w:t xml:space="preserve"> </w:t>
      </w:r>
      <w:r>
        <w:t xml:space="preserve">201</w:t>
      </w:r>
    </w:p>
    <w:p>
      <w:pPr>
        <w:spacing w:before="0" w:after="0" w:line="276" w:lineRule="exact"/>
        <w:ind w:left="0" w:firstLine="0"/>
        <w:jc w:val="left"/>
      </w:pPr>
      <w:r>
        <w:t xml:space="preserve">Belle</w:t>
      </w:r>
      <w:r>
        <w:t xml:space="preserve"> </w:t>
      </w:r>
      <w:r>
        <w:t xml:space="preserve">Chasse,</w:t>
      </w:r>
      <w:r>
        <w:t xml:space="preserve"> </w:t>
      </w:r>
      <w:r>
        <w:t xml:space="preserve">LA</w:t>
      </w:r>
      <w:r>
        <w:t xml:space="preserve"> </w:t>
      </w:r>
      <w:r>
        <w:t xml:space="preserve">70037</w:t>
      </w:r>
    </w:p>
    <w:p>
      <w:pPr>
        <w:spacing w:before="0" w:after="0" w:line="276" w:lineRule="exact"/>
        <w:ind w:left="0" w:firstLine="0"/>
        <w:jc w:val="left"/>
      </w:pPr>
      <w:r>
        <w:t xml:space="preserve">charlesballay@25thda.org</w:t>
      </w:r>
    </w:p>
    <w:p>
      <w:pPr>
        <w:spacing w:before="0" w:after="0" w:line="276" w:lineRule="exact"/>
        <w:ind w:left="0" w:firstLine="0"/>
        <w:jc w:val="left"/>
      </w:pPr>
      <w:r>
        <w:t xml:space="preserve">504</w:t>
        <w:noBreakHyphen/>
        <w:t xml:space="preserve">934</w:t>
        <w:noBreakHyphen/>
        <w:t xml:space="preserve">6630</w:t>
      </w:r>
    </w:p>
    <w:p>
      <w:pPr>
        <w:spacing w:before="0" w:after="0" w:line="276" w:lineRule="exact"/>
        <w:ind w:left="0" w:firstLine="0"/>
        <w:jc w:val="left"/>
      </w:pPr>
      <w:r>
        <w:t xml:space="preserve">Counsel</w:t>
      </w:r>
      <w:r>
        <w:t xml:space="preserve"> </w:t>
      </w:r>
      <w:r>
        <w:t xml:space="preserve">for</w:t>
      </w:r>
      <w:r>
        <w:t xml:space="preserve"> </w:t>
      </w:r>
      <w:r>
        <w:t xml:space="preserve">State</w:t>
      </w:r>
      <w:r>
        <w:t xml:space="preserve"> </w:t>
      </w:r>
      <w:r>
        <w:t xml:space="preserve">of</w:t>
      </w:r>
      <w:r>
        <w:t xml:space="preserve"> </w:t>
      </w:r>
      <w:r>
        <w:t xml:space="preserve">Louisiana</w:t>
      </w:r>
    </w:p>
    <w:p>
      <w:pPr>
        <w:spacing w:before="0" w:after="0" w:line="276" w:lineRule="exact"/>
        <w:ind w:left="0" w:firstLine="0"/>
        <w:jc w:val="left"/>
      </w:pPr>
    </w:p>
    <w:p>
      <w:pPr>
        <w:spacing w:before="0" w:after="0" w:line="276" w:lineRule="exact"/>
        <w:ind w:left="0" w:firstLine="0"/>
        <w:jc w:val="left"/>
      </w:pPr>
      <w:r>
        <w:t xml:space="preserve">ZACHARY</w:t>
      </w:r>
      <w:r>
        <w:t xml:space="preserve"> </w:t>
      </w:r>
      <w:r>
        <w:t xml:space="preserve">CRAWFORD-PECHUKAS</w:t>
      </w:r>
      <w:r>
        <w:t xml:space="preserve"> </w:t>
      </w:r>
      <w:r>
        <w:t xml:space="preserve">(#39692)</w:t>
      </w:r>
    </w:p>
    <w:p>
      <w:pPr>
        <w:spacing w:before="0" w:after="0" w:line="276" w:lineRule="exact"/>
        <w:ind w:left="0" w:firstLine="0"/>
        <w:jc w:val="left"/>
      </w:pPr>
      <w:r>
        <w:t xml:space="preserve">RICHARD</w:t>
      </w:r>
      <w:r>
        <w:t xml:space="preserve"> </w:t>
      </w:r>
      <w:r>
        <w:t xml:space="preserve">DAVIS</w:t>
      </w:r>
      <w:r>
        <w:t xml:space="preserve"> </w:t>
      </w:r>
      <w:r>
        <w:t xml:space="preserve">(#34273)</w:t>
      </w:r>
    </w:p>
    <w:p>
      <w:pPr>
        <w:spacing w:before="0" w:after="0" w:line="276" w:lineRule="exact"/>
        <w:ind w:left="0" w:firstLine="0"/>
        <w:jc w:val="left"/>
      </w:pPr>
      <w:r>
        <w:t xml:space="preserve">JEE</w:t>
      </w:r>
      <w:r>
        <w:t xml:space="preserve"> </w:t>
      </w:r>
      <w:r>
        <w:t xml:space="preserve">PARK</w:t>
      </w:r>
      <w:r>
        <w:t xml:space="preserve"> </w:t>
      </w:r>
      <w:r>
        <w:t xml:space="preserve">(#31522)</w:t>
      </w:r>
    </w:p>
    <w:p>
      <w:pPr>
        <w:spacing w:before="0" w:after="0" w:line="276" w:lineRule="exact"/>
        <w:ind w:left="0" w:firstLine="0"/>
        <w:jc w:val="left"/>
      </w:pPr>
      <w:r>
        <w:t xml:space="preserve">Innocence</w:t>
      </w:r>
      <w:r>
        <w:t xml:space="preserve"> </w:t>
      </w:r>
      <w:r>
        <w:t xml:space="preserve">Project</w:t>
      </w:r>
      <w:r>
        <w:t xml:space="preserve"> </w:t>
      </w:r>
      <w:r>
        <w:t xml:space="preserve">New</w:t>
      </w:r>
      <w:r>
        <w:t xml:space="preserve"> </w:t>
      </w:r>
      <w:r>
        <w:t xml:space="preserve">Orleans</w:t>
      </w:r>
    </w:p>
    <w:p>
      <w:pPr>
        <w:spacing w:before="0" w:after="0" w:line="276" w:lineRule="exact"/>
        <w:ind w:left="0" w:firstLine="0"/>
        <w:jc w:val="left"/>
      </w:pPr>
      <w:r>
        <w:t xml:space="preserve">4051</w:t>
      </w:r>
      <w:r>
        <w:t xml:space="preserve"> </w:t>
      </w:r>
      <w:r>
        <w:t xml:space="preserve">Ulloa</w:t>
      </w:r>
      <w:r>
        <w:t xml:space="preserve"> </w:t>
      </w:r>
      <w:r>
        <w:t xml:space="preserve">Street</w:t>
      </w:r>
    </w:p>
    <w:p>
      <w:pPr>
        <w:spacing w:before="0" w:after="0" w:line="276" w:lineRule="exact"/>
        <w:ind w:left="0" w:firstLine="0"/>
        <w:jc w:val="left"/>
      </w:pPr>
      <w:r>
        <w:t xml:space="preserve">New</w:t>
      </w:r>
      <w:r>
        <w:t xml:space="preserve"> </w:t>
      </w:r>
      <w:r>
        <w:t xml:space="preserve">Orleans,</w:t>
      </w:r>
      <w:r>
        <w:t xml:space="preserve"> </w:t>
      </w:r>
      <w:r>
        <w:t xml:space="preserve">LA</w:t>
      </w:r>
      <w:r>
        <w:t xml:space="preserve"> </w:t>
      </w:r>
      <w:r>
        <w:t xml:space="preserve">70119</w:t>
      </w:r>
    </w:p>
    <w:p>
      <w:pPr>
        <w:spacing w:before="0" w:after="0" w:line="276" w:lineRule="exact"/>
        <w:ind w:left="0" w:firstLine="0"/>
        <w:jc w:val="left"/>
      </w:pPr>
      <w:r>
        <w:t xml:space="preserve">zacC@ip-no.org</w:t>
      </w:r>
    </w:p>
    <w:p>
      <w:pPr>
        <w:spacing w:before="0" w:after="0" w:line="276" w:lineRule="exact"/>
        <w:ind w:left="0" w:firstLine="0"/>
        <w:jc w:val="left"/>
      </w:pPr>
      <w:r>
        <w:t xml:space="preserve">richardd@ip-no.org</w:t>
      </w:r>
    </w:p>
    <w:p>
      <w:pPr>
        <w:spacing w:before="0" w:after="0" w:line="276" w:lineRule="exact"/>
        <w:ind w:left="0" w:firstLine="0"/>
        <w:jc w:val="left"/>
      </w:pPr>
      <w:r>
        <w:t xml:space="preserve">jeep@ip-no.org</w:t>
      </w:r>
    </w:p>
    <w:p>
      <w:pPr>
        <w:spacing w:before="0" w:after="0" w:line="276" w:lineRule="exact"/>
        <w:ind w:left="0" w:firstLine="0"/>
        <w:jc w:val="left"/>
      </w:pPr>
      <w:r>
        <w:t xml:space="preserve">504</w:t>
        <w:noBreakHyphen/>
        <w:t xml:space="preserve">943</w:t>
        <w:noBreakHyphen/>
        <w:t xml:space="preserve">1902</w:t>
      </w:r>
    </w:p>
    <w:p>
      <w:pPr>
        <w:spacing w:before="0" w:after="0" w:line="276" w:lineRule="exact"/>
        <w:ind w:left="0" w:firstLine="0"/>
        <w:jc w:val="left"/>
      </w:pPr>
      <w:r>
        <w:t xml:space="preserve">Counsel</w:t>
      </w:r>
      <w:r>
        <w:t xml:space="preserve"> </w:t>
      </w:r>
      <w:r>
        <w:t xml:space="preserve">for</w:t>
      </w:r>
      <w:r>
        <w:t xml:space="preserve"> </w:t>
      </w:r>
      <w:r>
        <w:t xml:space="preserve">IPNO</w:t>
      </w:r>
      <w:r>
        <w:t xml:space="preserve"> </w:t>
      </w:r>
      <w:r>
        <w:t xml:space="preserve">Amicus</w:t>
      </w:r>
    </w:p>
    <w:p>
      <w:pPr>
        <w:spacing w:before="0" w:after="0" w:line="276" w:lineRule="exact"/>
        <w:ind w:left="0" w:firstLine="0"/>
        <w:jc w:val="left"/>
      </w:pPr>
    </w:p>
    <w:p>
      <w:pPr>
        <w:spacing w:before="0" w:after="0" w:line="276" w:lineRule="exact"/>
        <w:ind w:left="0" w:firstLine="0"/>
        <w:jc w:val="left"/>
      </w:pPr>
      <w:r>
        <w:t xml:space="preserve">LOREN</w:t>
      </w:r>
      <w:r>
        <w:t xml:space="preserve"> </w:t>
      </w:r>
      <w:r>
        <w:t xml:space="preserve">LAMPERT</w:t>
      </w:r>
      <w:r>
        <w:t xml:space="preserve"> </w:t>
      </w:r>
      <w:r>
        <w:t xml:space="preserve">(#24822)</w:t>
      </w:r>
    </w:p>
    <w:p>
      <w:pPr>
        <w:spacing w:before="0" w:after="0" w:line="276" w:lineRule="exact"/>
        <w:ind w:left="0" w:firstLine="0"/>
        <w:jc w:val="left"/>
      </w:pPr>
      <w:r>
        <w:t xml:space="preserve">Louisiana</w:t>
      </w:r>
      <w:r>
        <w:t xml:space="preserve"> </w:t>
      </w:r>
      <w:r>
        <w:t xml:space="preserve">District</w:t>
      </w:r>
      <w:r>
        <w:t xml:space="preserve"> </w:t>
      </w:r>
      <w:r>
        <w:t xml:space="preserve">Attorneys</w:t>
      </w:r>
      <w:r>
        <w:t xml:space="preserve"> </w:t>
      </w:r>
      <w:r>
        <w:t xml:space="preserve">Association</w:t>
      </w:r>
    </w:p>
    <w:p>
      <w:pPr>
        <w:spacing w:before="0" w:after="0" w:line="276" w:lineRule="exact"/>
        <w:ind w:left="0" w:firstLine="0"/>
        <w:jc w:val="left"/>
      </w:pPr>
      <w:r>
        <w:t xml:space="preserve">2525</w:t>
      </w:r>
      <w:r>
        <w:t xml:space="preserve"> </w:t>
      </w:r>
      <w:r>
        <w:t xml:space="preserve">Quail</w:t>
      </w:r>
      <w:r>
        <w:t xml:space="preserve"> </w:t>
      </w:r>
      <w:r>
        <w:t xml:space="preserve">Dr.</w:t>
      </w:r>
    </w:p>
    <w:p>
      <w:pPr>
        <w:spacing w:before="0" w:after="0" w:line="276" w:lineRule="exact"/>
        <w:ind w:left="0" w:firstLine="0"/>
        <w:jc w:val="left"/>
      </w:pPr>
      <w:r>
        <w:t xml:space="preserve">Baton</w:t>
      </w:r>
      <w:r>
        <w:t xml:space="preserve"> </w:t>
      </w:r>
      <w:r>
        <w:t xml:space="preserve">Rouge,</w:t>
      </w:r>
      <w:r>
        <w:t xml:space="preserve"> </w:t>
      </w:r>
      <w:r>
        <w:t xml:space="preserve">Louisiana</w:t>
      </w:r>
      <w:r>
        <w:t xml:space="preserve"> </w:t>
      </w:r>
      <w:r>
        <w:t xml:space="preserve">70808</w:t>
      </w:r>
    </w:p>
    <w:p>
      <w:pPr>
        <w:spacing w:before="0" w:after="0" w:line="276" w:lineRule="exact"/>
        <w:ind w:left="0" w:firstLine="0"/>
        <w:jc w:val="left"/>
      </w:pPr>
      <w:r>
        <w:t xml:space="preserve">loren@ldaa.org</w:t>
      </w:r>
    </w:p>
    <w:p>
      <w:pPr>
        <w:spacing w:before="0" w:after="0" w:line="276" w:lineRule="exact"/>
        <w:ind w:left="0" w:firstLine="0"/>
        <w:jc w:val="left"/>
      </w:pPr>
      <w:r>
        <w:t xml:space="preserve">225</w:t>
        <w:noBreakHyphen/>
        <w:t xml:space="preserve">387</w:t>
        <w:noBreakHyphen/>
        <w:t xml:space="preserve">0237</w:t>
      </w:r>
    </w:p>
    <w:p>
      <w:pPr>
        <w:spacing w:before="0" w:after="0" w:line="276" w:lineRule="exact"/>
        <w:ind w:left="0" w:firstLine="0"/>
        <w:jc w:val="left"/>
      </w:pPr>
      <w:r>
        <w:t xml:space="preserve">Counsel</w:t>
      </w:r>
      <w:r>
        <w:t xml:space="preserve"> </w:t>
      </w:r>
      <w:r>
        <w:t xml:space="preserve">for</w:t>
      </w:r>
      <w:r>
        <w:t xml:space="preserve"> </w:t>
      </w:r>
      <w:r>
        <w:t xml:space="preserve">LDAA</w:t>
      </w:r>
      <w:r>
        <w:t xml:space="preserve"> </w:t>
      </w:r>
      <w:r>
        <w:t xml:space="preserve">Amicus</w:t>
      </w:r>
    </w:p>
    <w:p>
      <w:pPr>
        <w:spacing w:before="336" w:after="0" w:line="276" w:lineRule="exact"/>
        <w:ind w:left="4608" w:firstLine="0"/>
        <w:jc w:val="left"/>
      </w:pPr>
      <w:r>
        <w:t xml:space="preserve">__________________________</w:t>
      </w:r>
    </w:p>
    <w:p>
      <w:pPr>
        <w:spacing w:before="0" w:after="0" w:line="276" w:lineRule="exact"/>
        <w:ind w:left="4608" w:firstLine="0"/>
        <w:jc w:val="left"/>
      </w:pPr>
      <w:r>
        <w:t xml:space="preserve">Jamila</w:t>
      </w:r>
      <w:r>
        <w:t xml:space="preserve"> </w:t>
      </w:r>
      <w:r>
        <w:t xml:space="preserve">Asha</w:t>
      </w:r>
      <w:r>
        <w:t xml:space="preserve"> </w:t>
      </w:r>
      <w:r>
        <w:t xml:space="preserve">Johnson,</w:t>
      </w:r>
      <w:r>
        <w:t xml:space="preserve"> </w:t>
      </w:r>
      <w:r>
        <w:t xml:space="preserve">LA</w:t>
      </w:r>
      <w:r>
        <w:t xml:space="preserve"> </w:t>
      </w:r>
      <w:r>
        <w:t xml:space="preserve">#</w:t>
      </w:r>
      <w:r>
        <w:t xml:space="preserve"> </w:t>
      </w:r>
      <w:r>
        <w:t xml:space="preserve">37953</w:t>
      </w:r>
    </w:p>
    <w:p>
      <w:pPr>
        <w:spacing w:before="0" w:after="0" w:line="276" w:lineRule="exact"/>
        <w:ind w:left="4608" w:firstLine="0"/>
        <w:jc w:val="left"/>
      </w:pPr>
      <w:r>
        <w:t xml:space="preserve">Counsel</w:t>
      </w:r>
      <w:r>
        <w:t xml:space="preserve"> </w:t>
      </w:r>
      <w:r>
        <w:t xml:space="preserve">for</w:t>
      </w:r>
      <w:r>
        <w:t xml:space="preserve"> </w:t>
      </w:r>
      <w:r>
        <w:t xml:space="preserve">Reginald</w:t>
      </w:r>
      <w:r>
        <w:t xml:space="preserve"> </w:t>
      </w:r>
      <w:r>
        <w:t xml:space="preserve">Reddick</w:t>
      </w:r>
    </w:p>
    <w:p>
      <w:pPr>
        <w:spacing w:before="0" w:after="0" w:line="276" w:lineRule="exact"/>
        <w:ind w:left="4608" w:firstLine="0"/>
        <w:jc w:val="left"/>
      </w:pPr>
      <w:r>
        <w:t xml:space="preserve">/s/</w:t>
      </w:r>
      <w:r>
        <w:t xml:space="preserve"> </w:t>
      </w:r>
      <w:r>
        <w:t xml:space="preserve">Jamila</w:t>
      </w:r>
      <w:r>
        <w:t xml:space="preserve"> </w:t>
      </w:r>
      <w:r>
        <w:t xml:space="preserve">Asha</w:t>
      </w:r>
      <w:r>
        <w:t xml:space="preserve"> </w:t>
      </w:r>
      <w:r>
        <w:t xml:space="preserve">Johnson</w:t>
      </w:r>
    </w:p>
    <w:sectPr>
      <w:footerReference w:type="default" r:id="rIdXdPage"/>
      <w:pgSz w:w="12240" w:h="20160"/>
      <w:pgMar w:top="216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R. 519 (</w:t>
      </w:r>
      <w:r>
        <w:rPr>
          <w:i/>
          <w:iCs/>
        </w:rPr>
        <w:t xml:space="preserve">citing</w:t>
      </w:r>
      <w:r>
        <w:t xml:space="preserve"> </w:t>
      </w:r>
      <w:r>
        <w:t xml:space="preserve">Bill</w:t>
      </w:r>
      <w:r>
        <w:t xml:space="preserve"> </w:t>
      </w:r>
      <w:r>
        <w:t xml:space="preserve">Quigley,</w:t>
      </w:r>
      <w:r>
        <w:t xml:space="preserve"> </w:t>
      </w:r>
      <w:r>
        <w:rPr>
          <w:i/>
          <w:iCs/>
        </w:rPr>
        <w:t xml:space="preserve">The Continuing Significance of Race: Official Legislative Racial Discrimination in Louisiana 1861 to 1974</w:t>
      </w:r>
      <w:r>
        <w:t xml:space="preserve">, 47 S.U.L. REV. 1, 17 (2019)).</w:t>
      </w:r>
    </w:p>
  </w:footnote>
  <w:footnote w:id="10">
    <w:p>
      <w:pPr>
        <w:pStyle w:val="FootnoteText"/>
      </w:pPr>
      <w:r>
        <w:rPr>
          <w:rStyle w:val="FootnoteReference"/>
        </w:rPr>
        <w:footnoteRef/>
      </w:r>
      <w:r>
        <w:t xml:space="preserve"> </w:t>
      </w:r>
      <w:r>
        <w:rPr>
          <w:i/>
          <w:iCs/>
        </w:rPr>
        <w:t xml:space="preserve">Id.</w:t>
      </w:r>
      <w:r>
        <w:t xml:space="preserve"> </w:t>
      </w:r>
      <w:r>
        <w:t xml:space="preserve">at 1–2.</w:t>
      </w:r>
    </w:p>
  </w:footnote>
  <w:footnote w:id="11">
    <w:p>
      <w:pPr>
        <w:pStyle w:val="FootnoteText"/>
      </w:pPr>
      <w:r>
        <w:rPr>
          <w:rStyle w:val="FootnoteReference"/>
        </w:rPr>
        <w:footnoteRef/>
      </w:r>
      <w:r>
        <w:t xml:space="preserve"> </w:t>
      </w:r>
      <w:r>
        <w:rPr>
          <w:i/>
          <w:iCs/>
        </w:rPr>
        <w:t xml:space="preserve">Id.</w:t>
      </w:r>
      <w:r>
        <w:t xml:space="preserve"> </w:t>
      </w:r>
      <w:r>
        <w:t xml:space="preserve">at 12; Angela</w:t>
      </w:r>
      <w:r>
        <w:t xml:space="preserve"> </w:t>
      </w:r>
      <w:r>
        <w:t xml:space="preserve">A. Allen-Bell,</w:t>
      </w:r>
      <w:r>
        <w:t xml:space="preserve"> </w:t>
      </w:r>
      <w:r>
        <w:rPr>
          <w:i/>
          <w:iCs/>
        </w:rPr>
        <w:t xml:space="preserve">How the Narrative About Louisiana’s Non-Unanimous Criminal Jury System Became a Person of Interest in the Case Against Justice in the Deep South</w:t>
      </w:r>
      <w:r>
        <w:t xml:space="preserve">, 67 MERCER L. REV 585, 593–94 (2016).</w:t>
      </w:r>
    </w:p>
  </w:footnote>
  <w:footnote w:id="12">
    <w:p>
      <w:pPr>
        <w:pStyle w:val="FootnoteText"/>
      </w:pPr>
      <w:r>
        <w:rPr>
          <w:rStyle w:val="FootnoteReference"/>
        </w:rPr>
        <w:footnoteRef/>
      </w:r>
      <w:r>
        <w:t xml:space="preserve"> </w:t>
      </w:r>
      <w:r>
        <w:t xml:space="preserve">Quigley,</w:t>
      </w:r>
      <w:r>
        <w:t xml:space="preserve"> </w:t>
      </w:r>
      <w:r>
        <w:rPr>
          <w:i/>
          <w:iCs/>
        </w:rPr>
        <w:t xml:space="preserve">supra</w:t>
      </w:r>
      <w:r>
        <w:t xml:space="preserve"> </w:t>
      </w:r>
      <w:r>
        <w:t xml:space="preserve">note 1, at 12. Additionally, Louisiana passed laws in 1865 centralizing its prison population and creating the Board of Control of the Louisiana penitentiary system. Allen-Bell,</w:t>
      </w:r>
      <w:r>
        <w:t xml:space="preserve"> </w:t>
      </w:r>
      <w:r>
        <w:rPr>
          <w:i/>
          <w:iCs/>
        </w:rPr>
        <w:t xml:space="preserve">supra</w:t>
      </w:r>
      <w:r>
        <w:t xml:space="preserve"> </w:t>
      </w:r>
      <w:r>
        <w:t xml:space="preserve">note 3, at 594.</w:t>
      </w:r>
    </w:p>
  </w:footnote>
  <w:footnote w:id="13">
    <w:p>
      <w:pPr>
        <w:pStyle w:val="FootnoteText"/>
      </w:pPr>
      <w:r>
        <w:rPr>
          <w:rStyle w:val="FootnoteReference"/>
        </w:rPr>
        <w:footnoteRef/>
      </w:r>
      <w:r>
        <w:t xml:space="preserve"> </w:t>
      </w:r>
      <w:r>
        <w:t xml:space="preserve">Allen-Bell,</w:t>
      </w:r>
      <w:r>
        <w:t xml:space="preserve"> </w:t>
      </w:r>
      <w:r>
        <w:rPr>
          <w:i/>
          <w:iCs/>
        </w:rPr>
        <w:t xml:space="preserve">supra</w:t>
      </w:r>
      <w:r>
        <w:t xml:space="preserve"> </w:t>
      </w:r>
      <w:r>
        <w:t xml:space="preserve">note 3, at 594.</w:t>
      </w:r>
    </w:p>
  </w:footnote>
  <w:footnote w:id="14">
    <w:p>
      <w:pPr>
        <w:pStyle w:val="FootnoteText"/>
      </w:pPr>
      <w:r>
        <w:rPr>
          <w:rStyle w:val="FootnoteReference"/>
        </w:rPr>
        <w:footnoteRef/>
      </w:r>
      <w:r>
        <w:t xml:space="preserve"> </w:t>
      </w:r>
      <w:r>
        <w:t xml:space="preserve">Quigley,</w:t>
      </w:r>
      <w:r>
        <w:t xml:space="preserve"> </w:t>
      </w:r>
      <w:r>
        <w:rPr>
          <w:i/>
          <w:iCs/>
        </w:rPr>
        <w:t xml:space="preserve">supra</w:t>
      </w:r>
      <w:r>
        <w:t xml:space="preserve"> </w:t>
      </w:r>
      <w:r>
        <w:t xml:space="preserve">note 1, at 14–15.</w:t>
      </w:r>
    </w:p>
  </w:footnote>
  <w:footnote w:id="15">
    <w:p>
      <w:pPr>
        <w:pStyle w:val="FootnoteText"/>
      </w:pPr>
      <w:r>
        <w:rPr>
          <w:rStyle w:val="FootnoteReference"/>
        </w:rPr>
        <w:footnoteRef/>
      </w:r>
      <w:r>
        <w:t xml:space="preserve"> </w:t>
      </w:r>
      <w:r>
        <w:rPr>
          <w:i/>
          <w:iCs/>
        </w:rPr>
        <w:t xml:space="preserve">Id.</w:t>
      </w:r>
      <w:r>
        <w:t xml:space="preserve"> </w:t>
      </w:r>
      <w:r>
        <w:t xml:space="preserve">at 17.</w:t>
      </w:r>
    </w:p>
  </w:footnote>
  <w:footnote w:id="16">
    <w:p>
      <w:pPr>
        <w:pStyle w:val="FootnoteText"/>
      </w:pPr>
      <w:r>
        <w:rPr>
          <w:rStyle w:val="FootnoteReference"/>
        </w:rPr>
        <w:footnoteRef/>
      </w:r>
      <w:r>
        <w:t xml:space="preserve"> </w:t>
      </w:r>
      <w:r>
        <w:rPr>
          <w:i/>
          <w:iCs/>
        </w:rPr>
        <w:t xml:space="preserve">Id.</w:t>
      </w:r>
      <w:r>
        <w:t xml:space="preserve"> </w:t>
      </w:r>
      <w:r>
        <w:t xml:space="preserve">at 18 (citing</w:t>
      </w:r>
      <w:r>
        <w:t xml:space="preserve"> </w:t>
      </w:r>
      <w:r>
        <w:rPr>
          <w:i/>
          <w:iCs/>
        </w:rPr>
        <w:t xml:space="preserve">United</w:t>
      </w:r>
      <w:r>
        <w:rPr>
          <w:i/>
          <w:iCs/>
        </w:rPr>
        <w:t xml:space="preserve"> </w:t>
      </w:r>
      <w:r>
        <w:rPr>
          <w:i/>
          <w:iCs/>
        </w:rPr>
        <w:t xml:space="preserve">States v. Louisiana</w:t>
      </w:r>
      <w:r>
        <w:t xml:space="preserve">, 225 F. Supp. 353, 364 (E.D. La. 1963),</w:t>
      </w:r>
      <w:r>
        <w:t xml:space="preserve"> </w:t>
      </w:r>
      <w:r>
        <w:rPr>
          <w:i/>
          <w:iCs/>
        </w:rPr>
        <w:t xml:space="preserve">aff’d sub nom. Louisiana v. United States</w:t>
      </w:r>
      <w:r>
        <w:t xml:space="preserve">, 380 U.S. 145 (1965)).</w:t>
      </w:r>
    </w:p>
  </w:footnote>
  <w:footnote w:id="17">
    <w:p>
      <w:pPr>
        <w:pStyle w:val="FootnoteText"/>
      </w:pPr>
      <w:r>
        <w:rPr>
          <w:rStyle w:val="FootnoteReference"/>
        </w:rPr>
        <w:footnoteRef/>
      </w:r>
      <w:r>
        <w:t xml:space="preserve"> </w:t>
      </w:r>
      <w:r>
        <w:t xml:space="preserve">Reddick App. at 1, p. 52. (</w:t>
      </w:r>
      <w:r>
        <w:rPr>
          <w:i/>
          <w:iCs/>
        </w:rPr>
        <w:t xml:space="preserve">State</w:t>
      </w:r>
      <w:r>
        <w:rPr>
          <w:i/>
          <w:iCs/>
        </w:rPr>
        <w:t xml:space="preserve"> </w:t>
      </w:r>
      <w:r>
        <w:rPr>
          <w:i/>
          <w:iCs/>
        </w:rPr>
        <w:t xml:space="preserve">v. Maxie</w:t>
      </w:r>
      <w:r>
        <w:t xml:space="preserve">, No. 13-CR</w:t>
      </w:r>
      <w:r>
        <w:noBreakHyphen/>
      </w:r>
      <w:r>
        <w:t xml:space="preserve">72522 (La. 11th Jud. Dist., Oct. 11, 2018)). Mr. Reddick submitted with his PCR Application the opinion from</w:t>
      </w:r>
      <w:r>
        <w:t xml:space="preserve"> </w:t>
      </w:r>
      <w:r>
        <w:rPr>
          <w:i/>
          <w:iCs/>
        </w:rPr>
        <w:t xml:space="preserve">Maxie</w:t>
      </w:r>
      <w:r>
        <w:t xml:space="preserve"> </w:t>
      </w:r>
      <w:r>
        <w:t xml:space="preserve">and the transcript from a hearing where the Court in that case considered testimony on the history and present day impact of non-unanimous jury verdicts.</w:t>
      </w:r>
      <w:r>
        <w:t xml:space="preserve"> </w:t>
      </w:r>
      <w:r>
        <w:rPr>
          <w:i/>
          <w:iCs/>
        </w:rPr>
        <w:t xml:space="preserve">See</w:t>
      </w:r>
      <w:r>
        <w:t xml:space="preserve"> </w:t>
      </w:r>
      <w:r>
        <w:t xml:space="preserve">R. 469 at fn. 11. The</w:t>
      </w:r>
      <w:r>
        <w:t xml:space="preserve"> </w:t>
      </w:r>
      <w:r>
        <w:rPr>
          <w:i/>
          <w:iCs/>
        </w:rPr>
        <w:t xml:space="preserve">Maxie</w:t>
      </w:r>
      <w:r>
        <w:t xml:space="preserve"> </w:t>
      </w:r>
      <w:r>
        <w:t xml:space="preserve">court heard testimony from Professor Thomas Aiello, Pulitzer Prize winning reporter John Simerman, and Professor Thomas Frampton. The link provided to the court for these materials is below. The documents were absent from the clerk-provided record, but Mr. Reddick submits them for court ease at Appendix 1 https://​drive.​google.​com/​file/​d/​1_Wzi6fuDopqcHwmhLlNRejJ96stBLfAN/​view?​usp=sharing.</w:t>
      </w:r>
    </w:p>
  </w:footnote>
  <w:footnote w:id="18">
    <w:p>
      <w:pPr>
        <w:pStyle w:val="FootnoteText"/>
      </w:pPr>
      <w:r>
        <w:rPr>
          <w:rStyle w:val="FootnoteReference"/>
        </w:rPr>
        <w:footnoteRef/>
      </w:r>
      <w:r>
        <w:t xml:space="preserve"> </w:t>
      </w:r>
      <w:r>
        <w:t xml:space="preserve">Quigley,</w:t>
      </w:r>
      <w:r>
        <w:t xml:space="preserve"> </w:t>
      </w:r>
      <w:r>
        <w:rPr>
          <w:i/>
          <w:iCs/>
        </w:rPr>
        <w:t xml:space="preserve">supra</w:t>
      </w:r>
      <w:r>
        <w:t xml:space="preserve"> </w:t>
      </w:r>
      <w:r>
        <w:t xml:space="preserve">note 1, at 14–15.</w:t>
      </w:r>
    </w:p>
  </w:footnote>
  <w:footnote w:id="19">
    <w:p>
      <w:pPr>
        <w:pStyle w:val="FootnoteText"/>
      </w:pPr>
      <w:r>
        <w:rPr>
          <w:rStyle w:val="FootnoteReference"/>
        </w:rPr>
        <w:footnoteRef/>
      </w:r>
      <w:r>
        <w:t xml:space="preserve"> </w:t>
      </w:r>
      <w:r>
        <w:rPr>
          <w:i/>
          <w:iCs/>
        </w:rPr>
        <w:t xml:space="preserve">Id.</w:t>
      </w:r>
    </w:p>
  </w:footnote>
  <w:footnote w:id="20">
    <w:p>
      <w:pPr>
        <w:pStyle w:val="FootnoteText"/>
      </w:pPr>
      <w:r>
        <w:rPr>
          <w:rStyle w:val="FootnoteReference"/>
        </w:rPr>
        <w:footnoteRef/>
      </w:r>
      <w:r>
        <w:t xml:space="preserve"> </w:t>
      </w:r>
      <w:r>
        <w:rPr>
          <w:i/>
          <w:iCs/>
        </w:rPr>
        <w:t xml:space="preserve">Id.</w:t>
      </w:r>
      <w:r>
        <w:t xml:space="preserve"> </w:t>
      </w:r>
      <w:r>
        <w:t xml:space="preserve">at 14.</w:t>
      </w:r>
    </w:p>
  </w:footnote>
  <w:footnote w:id="21">
    <w:p>
      <w:pPr>
        <w:pStyle w:val="FootnoteText"/>
      </w:pPr>
      <w:r>
        <w:rPr>
          <w:rStyle w:val="FootnoteReference"/>
        </w:rPr>
        <w:footnoteRef/>
      </w:r>
      <w:r>
        <w:t xml:space="preserve"> </w:t>
      </w:r>
      <w:r>
        <w:rPr>
          <w:i/>
          <w:iCs/>
        </w:rPr>
        <w:t xml:space="preserve">Id.</w:t>
      </w:r>
      <w:r>
        <w:t xml:space="preserve"> </w:t>
      </w:r>
      <w:r>
        <w:t xml:space="preserve">at 24–25. Reddick App. 1 at p. 166:25–167:21.</w:t>
      </w:r>
    </w:p>
  </w:footnote>
  <w:footnote w:id="22">
    <w:p>
      <w:pPr>
        <w:pStyle w:val="FootnoteText"/>
      </w:pPr>
      <w:r>
        <w:rPr>
          <w:rStyle w:val="FootnoteReference"/>
        </w:rPr>
        <w:footnoteRef/>
      </w:r>
      <w:r>
        <w:t xml:space="preserve"> </w:t>
      </w:r>
      <w:r>
        <w:t xml:space="preserve">Quigley,</w:t>
      </w:r>
      <w:r>
        <w:t xml:space="preserve"> </w:t>
      </w:r>
      <w:r>
        <w:rPr>
          <w:i/>
          <w:iCs/>
        </w:rPr>
        <w:t xml:space="preserve">supra</w:t>
      </w:r>
      <w:r>
        <w:t xml:space="preserve"> </w:t>
      </w:r>
      <w:r>
        <w:t xml:space="preserve">note 1, at 27–28.</w:t>
      </w:r>
    </w:p>
  </w:footnote>
  <w:footnote w:id="23">
    <w:p>
      <w:pPr>
        <w:pStyle w:val="FootnoteText"/>
      </w:pPr>
      <w:r>
        <w:rPr>
          <w:rStyle w:val="FootnoteReference"/>
        </w:rPr>
        <w:footnoteRef/>
      </w:r>
      <w:r>
        <w:t xml:space="preserve"> </w:t>
      </w:r>
      <w:r>
        <w:rPr>
          <w:i/>
          <w:iCs/>
        </w:rPr>
        <w:t xml:space="preserve">Id.</w:t>
      </w:r>
      <w:r>
        <w:t xml:space="preserve"> </w:t>
      </w:r>
      <w:r>
        <w:t xml:space="preserve">at 28.</w:t>
      </w:r>
    </w:p>
  </w:footnote>
  <w:footnote w:id="24">
    <w:p>
      <w:pPr>
        <w:pStyle w:val="FootnoteText"/>
      </w:pPr>
      <w:r>
        <w:rPr>
          <w:rStyle w:val="FootnoteReference"/>
        </w:rPr>
        <w:footnoteRef/>
      </w:r>
      <w:r>
        <w:t xml:space="preserve"> </w:t>
      </w:r>
      <w:r>
        <w:t xml:space="preserve">Thomas</w:t>
      </w:r>
      <w:r>
        <w:t xml:space="preserve"> </w:t>
      </w:r>
      <w:r>
        <w:t xml:space="preserve">Ward Frampton,</w:t>
      </w:r>
      <w:r>
        <w:t xml:space="preserve"> </w:t>
      </w:r>
      <w:r>
        <w:rPr>
          <w:i/>
          <w:iCs/>
        </w:rPr>
        <w:t xml:space="preserve">The Jim Crow Jury</w:t>
      </w:r>
      <w:r>
        <w:t xml:space="preserve">, 71 VAND. L. REV. 1593, 1615 (2018) (citing Official Journal of the Proceedings of the Constitutional of the State of Louisiana: Held in New Orleans, Tuesday, February 8, 1898, at 380).</w:t>
      </w:r>
    </w:p>
  </w:footnote>
  <w:footnote w:id="25">
    <w:p>
      <w:pPr>
        <w:pStyle w:val="FootnoteText"/>
      </w:pPr>
      <w:r>
        <w:rPr>
          <w:rStyle w:val="FootnoteReference"/>
        </w:rPr>
        <w:footnoteRef/>
      </w:r>
      <w:r>
        <w:t xml:space="preserve"> </w:t>
      </w:r>
      <w:r>
        <w:rPr>
          <w:i/>
          <w:iCs/>
        </w:rPr>
        <w:t xml:space="preserve">Id.</w:t>
      </w:r>
      <w:r>
        <w:t xml:space="preserve"> </w:t>
      </w:r>
      <w:r>
        <w:t xml:space="preserve">(citing Official Journal,</w:t>
      </w:r>
      <w:r>
        <w:t xml:space="preserve"> </w:t>
      </w:r>
      <w:r>
        <w:rPr>
          <w:i/>
          <w:iCs/>
        </w:rPr>
        <w:t xml:space="preserve">supra</w:t>
      </w:r>
      <w:r>
        <w:t xml:space="preserve"> </w:t>
      </w:r>
      <w:r>
        <w:t xml:space="preserve">note 16, at 375).</w:t>
      </w:r>
    </w:p>
  </w:footnote>
  <w:footnote w:id="26">
    <w:p>
      <w:pPr>
        <w:pStyle w:val="FootnoteText"/>
      </w:pPr>
      <w:r>
        <w:rPr>
          <w:rStyle w:val="FootnoteReference"/>
        </w:rPr>
        <w:footnoteRef/>
      </w:r>
      <w:r>
        <w:t xml:space="preserve"> </w:t>
      </w:r>
      <w:r>
        <w:rPr>
          <w:i/>
          <w:iCs/>
        </w:rPr>
        <w:t xml:space="preserve">Ramos</w:t>
      </w:r>
      <w:r>
        <w:t xml:space="preserve">, 140 S. Ct. at 1417;</w:t>
      </w:r>
      <w:r>
        <w:t xml:space="preserve"> </w:t>
      </w:r>
      <w:r>
        <w:rPr>
          <w:i/>
          <w:iCs/>
        </w:rPr>
        <w:t xml:space="preserve">see also</w:t>
      </w:r>
      <w:r>
        <w:t xml:space="preserve"> </w:t>
      </w:r>
      <w:r>
        <w:rPr>
          <w:i/>
          <w:iCs/>
        </w:rPr>
        <w:t xml:space="preserve">Frampton</w:t>
      </w:r>
      <w:r>
        <w:t xml:space="preserve">,</w:t>
      </w:r>
      <w:r>
        <w:t xml:space="preserve"> </w:t>
      </w:r>
      <w:r>
        <w:rPr>
          <w:i/>
          <w:iCs/>
        </w:rPr>
        <w:t xml:space="preserve">supra</w:t>
      </w:r>
      <w:r>
        <w:t xml:space="preserve"> </w:t>
      </w:r>
      <w:r>
        <w:t xml:space="preserve">note 16, at 1615 n.130 (“Semmes was a leading legal figure in Louisiana and the President of the American Bar Association in 1886. During the Civil War, he helped draft Louisiana’s articles of secession and served as a Louisiana senator in the Senate of the Confederate States of America.”)</w:t>
      </w:r>
    </w:p>
  </w:footnote>
  <w:footnote w:id="27">
    <w:p>
      <w:pPr>
        <w:pStyle w:val="FootnoteText"/>
      </w:pPr>
      <w:r>
        <w:rPr>
          <w:rStyle w:val="FootnoteReference"/>
        </w:rPr>
        <w:footnoteRef/>
      </w:r>
      <w:r>
        <w:t xml:space="preserve"> </w:t>
      </w:r>
      <w:r>
        <w:t xml:space="preserve">R. 467;</w:t>
      </w:r>
      <w:r>
        <w:t xml:space="preserve"> </w:t>
      </w:r>
      <w:r>
        <w:rPr>
          <w:i/>
          <w:iCs/>
        </w:rPr>
        <w:t xml:space="preserve">see also</w:t>
      </w:r>
      <w:r>
        <w:t xml:space="preserve"> </w:t>
      </w:r>
      <w:r>
        <w:rPr>
          <w:i/>
          <w:iCs/>
        </w:rPr>
        <w:t xml:space="preserve">United</w:t>
      </w:r>
      <w:r>
        <w:rPr>
          <w:i/>
          <w:iCs/>
        </w:rPr>
        <w:t xml:space="preserve"> </w:t>
      </w:r>
      <w:r>
        <w:rPr>
          <w:i/>
          <w:iCs/>
        </w:rPr>
        <w:t xml:space="preserve">States v. Louisiana</w:t>
      </w:r>
      <w:r>
        <w:t xml:space="preserve">, 225 F. Supp. 353 (E.D. La. 1963).</w:t>
      </w:r>
    </w:p>
  </w:footnote>
  <w:footnote w:id="28">
    <w:p>
      <w:pPr>
        <w:pStyle w:val="FootnoteText"/>
      </w:pPr>
      <w:r>
        <w:rPr>
          <w:rStyle w:val="FootnoteReference"/>
        </w:rPr>
        <w:footnoteRef/>
      </w:r>
      <w:r>
        <w:t xml:space="preserve"> </w:t>
      </w:r>
      <w:r>
        <w:t xml:space="preserve">R. 467. Robert</w:t>
      </w:r>
      <w:r>
        <w:t xml:space="preserve"> </w:t>
      </w:r>
      <w:r>
        <w:t xml:space="preserve">J. Smith &amp; Bidish J. Sarma,</w:t>
      </w:r>
      <w:r>
        <w:t xml:space="preserve"> </w:t>
      </w:r>
      <w:r>
        <w:rPr>
          <w:i/>
          <w:iCs/>
        </w:rPr>
        <w:t xml:space="preserve">How and Why Race Continues to Influence the Administration of Criminal Justice in Louisiana</w:t>
      </w:r>
      <w:r>
        <w:t xml:space="preserve">, 72 LA. L. REV. 361, 375–76 (2012) (quoting</w:t>
      </w:r>
      <w:r>
        <w:t xml:space="preserve"> </w:t>
      </w:r>
      <w:r>
        <w:rPr>
          <w:i/>
          <w:iCs/>
        </w:rPr>
        <w:t xml:space="preserve">Future of the Freedman</w:t>
      </w:r>
      <w:r>
        <w:t xml:space="preserve">, DAILY PICAYUNE, Aug. 31, 1873, at 5).</w:t>
      </w:r>
      <w:r>
        <w:t xml:space="preserve"> </w:t>
      </w:r>
      <w:r>
        <w:rPr>
          <w:i/>
          <w:iCs/>
        </w:rPr>
        <w:t xml:space="preserve">See also</w:t>
      </w:r>
      <w:r>
        <w:t xml:space="preserve"> </w:t>
      </w:r>
      <w:r>
        <w:t xml:space="preserve">Reddick App. 1 at p. 171:15–172:7.</w:t>
      </w:r>
    </w:p>
  </w:footnote>
  <w:footnote w:id="29">
    <w:p>
      <w:pPr>
        <w:pStyle w:val="FootnoteText"/>
      </w:pPr>
      <w:r>
        <w:rPr>
          <w:rStyle w:val="FootnoteReference"/>
        </w:rPr>
        <w:footnoteRef/>
      </w:r>
      <w:r>
        <w:t xml:space="preserve"> </w:t>
      </w:r>
      <w:r>
        <w:t xml:space="preserve">R. 525.</w:t>
      </w:r>
      <w:r>
        <w:t xml:space="preserve"> </w:t>
      </w:r>
      <w:r>
        <w:rPr>
          <w:i/>
          <w:iCs/>
        </w:rPr>
        <w:t xml:space="preserve">Put a Stop to Bulldozing</w:t>
      </w:r>
      <w:r>
        <w:t xml:space="preserve">, DAILY PICAYUNE, Feb. 1, 1893, at 4.</w:t>
      </w:r>
    </w:p>
  </w:footnote>
  <w:footnote w:id="30">
    <w:p>
      <w:pPr>
        <w:pStyle w:val="FootnoteText"/>
      </w:pPr>
      <w:r>
        <w:rPr>
          <w:rStyle w:val="FootnoteReference"/>
        </w:rPr>
        <w:footnoteRef/>
      </w:r>
      <w:r>
        <w:t xml:space="preserve"> </w:t>
      </w:r>
      <w:r>
        <w:t xml:space="preserve">R. 468.</w:t>
      </w:r>
      <w:r>
        <w:t xml:space="preserve"> </w:t>
      </w:r>
      <w:r>
        <w:rPr>
          <w:i/>
          <w:iCs/>
        </w:rPr>
        <w:t xml:space="preserve">Remedy for Lynching</w:t>
      </w:r>
      <w:r>
        <w:t xml:space="preserve">, DAILY COM. HERALD, Sept. 11, 1894, at 2.</w:t>
      </w:r>
    </w:p>
  </w:footnote>
  <w:footnote w:id="31">
    <w:p>
      <w:pPr>
        <w:pStyle w:val="FootnoteText"/>
      </w:pPr>
      <w:r>
        <w:rPr>
          <w:rStyle w:val="FootnoteReference"/>
        </w:rPr>
        <w:footnoteRef/>
      </w:r>
      <w:r>
        <w:t xml:space="preserve"> </w:t>
      </w:r>
      <w:r>
        <w:rPr>
          <w:i/>
          <w:iCs/>
        </w:rPr>
        <w:t xml:space="preserve">See also</w:t>
      </w:r>
      <w:r>
        <w:t xml:space="preserve"> </w:t>
      </w:r>
      <w:r>
        <w:t xml:space="preserve">Reddick App. 1 at 175:1–193:18. Louisiana had well over 20 incidents of lynching per year through the 1890s.</w:t>
      </w:r>
      <w:r>
        <w:t xml:space="preserve"> </w:t>
      </w:r>
      <w:r>
        <w:rPr>
          <w:i/>
          <w:iCs/>
        </w:rPr>
        <w:t xml:space="preserve">See</w:t>
      </w:r>
      <w:r>
        <w:t xml:space="preserve"> </w:t>
      </w:r>
      <w:r>
        <w:t xml:space="preserve">Reddick App. at 1, p. 165:4–6.</w:t>
      </w:r>
    </w:p>
  </w:footnote>
  <w:footnote w:id="32">
    <w:p>
      <w:pPr>
        <w:pStyle w:val="FootnoteText"/>
      </w:pPr>
      <w:r>
        <w:rPr>
          <w:rStyle w:val="FootnoteReference"/>
        </w:rPr>
        <w:footnoteRef/>
      </w:r>
      <w:r>
        <w:t xml:space="preserve"> </w:t>
      </w:r>
      <w:r>
        <w:rPr>
          <w:i/>
          <w:iCs/>
        </w:rPr>
        <w:t xml:space="preserve">Ramos</w:t>
      </w:r>
      <w:r>
        <w:t xml:space="preserve">, 140 S. Ct. at 1394;</w:t>
      </w:r>
      <w:r>
        <w:t xml:space="preserve"> </w:t>
      </w:r>
      <w:r>
        <w:rPr>
          <w:i/>
          <w:iCs/>
        </w:rPr>
        <w:t xml:space="preserve">see also</w:t>
      </w:r>
      <w:r>
        <w:t xml:space="preserve"> </w:t>
      </w:r>
      <w:r>
        <w:t xml:space="preserve">Reddick App. at 1, p. 189:14–192:29 (describing the Congressional Record regarding “Service on Juries in Louisiana”).</w:t>
      </w:r>
    </w:p>
  </w:footnote>
  <w:footnote w:id="33">
    <w:p>
      <w:pPr>
        <w:pStyle w:val="FootnoteText"/>
      </w:pPr>
      <w:r>
        <w:rPr>
          <w:rStyle w:val="FootnoteReference"/>
        </w:rPr>
        <w:footnoteRef/>
      </w:r>
      <w:r>
        <w:t xml:space="preserve"> </w:t>
      </w:r>
      <w:r>
        <w:rPr>
          <w:i/>
          <w:iCs/>
        </w:rPr>
        <w:t xml:space="preserve">Ramos</w:t>
      </w:r>
      <w:r>
        <w:t xml:space="preserve">, 140 S. Ct. at 1394 (quoting</w:t>
      </w:r>
      <w:r>
        <w:t xml:space="preserve"> </w:t>
      </w:r>
      <w:r>
        <w:rPr>
          <w:i/>
          <w:iCs/>
        </w:rPr>
        <w:t xml:space="preserve">State v. Maxie</w:t>
      </w:r>
      <w:r>
        <w:t xml:space="preserve">, No. 13–CR–72522);</w:t>
      </w:r>
      <w:r>
        <w:t xml:space="preserve"> </w:t>
      </w:r>
      <w:r>
        <w:rPr>
          <w:i/>
          <w:iCs/>
        </w:rPr>
        <w:t xml:space="preserve">see also</w:t>
      </w:r>
      <w:r>
        <w:t xml:space="preserve"> </w:t>
      </w:r>
      <w:r>
        <w:t xml:space="preserve">Brief of Amicus Curiae JonRe Taylor in Support of Petitioner at 7–13,</w:t>
      </w:r>
      <w:r>
        <w:t xml:space="preserve"> </w:t>
      </w:r>
      <w:r>
        <w:rPr>
          <w:i/>
          <w:iCs/>
        </w:rPr>
        <w:t xml:space="preserve">Edwards</w:t>
      </w:r>
      <w:r>
        <w:rPr>
          <w:i/>
          <w:iCs/>
        </w:rPr>
        <w:t xml:space="preserve"> </w:t>
      </w:r>
      <w:r>
        <w:rPr>
          <w:i/>
          <w:iCs/>
        </w:rPr>
        <w:t xml:space="preserve">v. Vannoy</w:t>
      </w:r>
      <w:r>
        <w:t xml:space="preserve">, 141 S. Ct. 1547 (2021) (describing Ms. Taylor’s experience as a dissenting vote on the Edwards jury).</w:t>
      </w:r>
    </w:p>
  </w:footnote>
  <w:footnote w:id="34">
    <w:p>
      <w:pPr>
        <w:pStyle w:val="FootnoteText"/>
      </w:pPr>
      <w:r>
        <w:rPr>
          <w:rStyle w:val="FootnoteReference"/>
        </w:rPr>
        <w:footnoteRef/>
      </w:r>
      <w:r>
        <w:t xml:space="preserve"> </w:t>
      </w:r>
      <w:r>
        <w:rPr>
          <w:i/>
          <w:iCs/>
        </w:rPr>
        <w:t xml:space="preserve">Ramos</w:t>
      </w:r>
      <w:r>
        <w:t xml:space="preserve">, 140 S. Ct. at 1394.</w:t>
      </w:r>
    </w:p>
  </w:footnote>
  <w:footnote w:id="35">
    <w:p>
      <w:pPr>
        <w:pStyle w:val="FootnoteText"/>
      </w:pPr>
      <w:r>
        <w:rPr>
          <w:rStyle w:val="FootnoteReference"/>
        </w:rPr>
        <w:footnoteRef/>
      </w:r>
      <w:r>
        <w:t xml:space="preserve"> </w:t>
      </w:r>
      <w:r>
        <w:rPr>
          <w:i/>
          <w:iCs/>
        </w:rPr>
        <w:t xml:space="preserve">See</w:t>
      </w:r>
      <w:r>
        <w:t xml:space="preserve"> </w:t>
      </w:r>
      <w:r>
        <w:t xml:space="preserve">Reddick App. 1 at 200:31–204:30.</w:t>
      </w:r>
    </w:p>
  </w:footnote>
  <w:footnote w:id="36">
    <w:p>
      <w:pPr>
        <w:pStyle w:val="FootnoteText"/>
      </w:pPr>
      <w:r>
        <w:rPr>
          <w:rStyle w:val="FootnoteReference"/>
        </w:rPr>
        <w:footnoteRef/>
      </w:r>
      <w:r>
        <w:t xml:space="preserve"> </w:t>
      </w:r>
      <w:r>
        <w:rPr>
          <w:i/>
          <w:iCs/>
        </w:rPr>
        <w:t xml:space="preserve">See, e.g.</w:t>
      </w:r>
      <w:r>
        <w:t xml:space="preserve">, Smith</w:t>
      </w:r>
      <w:r>
        <w:t xml:space="preserve"> </w:t>
      </w:r>
      <w:r>
        <w:t xml:space="preserve">and Sarma,</w:t>
      </w:r>
      <w:r>
        <w:t xml:space="preserve"> </w:t>
      </w:r>
      <w:r>
        <w:rPr>
          <w:i/>
          <w:iCs/>
        </w:rPr>
        <w:t xml:space="preserve">supra</w:t>
      </w:r>
      <w:r>
        <w:t xml:space="preserve"> </w:t>
      </w:r>
      <w:r>
        <w:t xml:space="preserve">note 20, at 376–77;</w:t>
      </w:r>
      <w:r>
        <w:t xml:space="preserve"> </w:t>
      </w:r>
      <w:r>
        <w:rPr>
          <w:i/>
          <w:iCs/>
        </w:rPr>
        <w:t xml:space="preserve">see also</w:t>
      </w:r>
      <w:r>
        <w:t xml:space="preserve"> </w:t>
      </w:r>
      <w:r>
        <w:t xml:space="preserve">Frampton,</w:t>
      </w:r>
      <w:r>
        <w:t xml:space="preserve"> </w:t>
      </w:r>
      <w:r>
        <w:rPr>
          <w:i/>
          <w:iCs/>
        </w:rPr>
        <w:t xml:space="preserve">supra</w:t>
      </w:r>
      <w:r>
        <w:t xml:space="preserve"> </w:t>
      </w:r>
      <w:r>
        <w:t xml:space="preserve">note 16, at 1599; Allen-Bell,</w:t>
      </w:r>
      <w:r>
        <w:t xml:space="preserve"> </w:t>
      </w:r>
      <w:r>
        <w:rPr>
          <w:i/>
          <w:iCs/>
        </w:rPr>
        <w:t xml:space="preserve">supra</w:t>
      </w:r>
      <w:r>
        <w:t xml:space="preserve"> </w:t>
      </w:r>
      <w:r>
        <w:t xml:space="preserve">note 3, at 606–07.</w:t>
      </w:r>
    </w:p>
  </w:footnote>
  <w:footnote w:id="37">
    <w:p>
      <w:pPr>
        <w:pStyle w:val="FootnoteText"/>
      </w:pPr>
      <w:r>
        <w:rPr>
          <w:rStyle w:val="FootnoteReference"/>
        </w:rPr>
        <w:footnoteRef/>
      </w:r>
      <w:r>
        <w:t xml:space="preserve"> </w:t>
      </w:r>
      <w:r>
        <w:rPr>
          <w:i/>
          <w:iCs/>
        </w:rPr>
        <w:t xml:space="preserve">Maxie</w:t>
      </w:r>
      <w:r>
        <w:t xml:space="preserve">, No. 13–CR–72522, at Reddick App. at 1, p. 63–64 (“[T]he comparative disparities are statistically significant and startling [;] African-American jurors are casting empty votes 64 percent above the expected outcome[.]”);</w:t>
      </w:r>
      <w:r>
        <w:t xml:space="preserve"> </w:t>
      </w:r>
      <w:r>
        <w:rPr>
          <w:i/>
          <w:iCs/>
        </w:rPr>
        <w:t xml:space="preserve">see also</w:t>
      </w:r>
      <w:r>
        <w:t xml:space="preserve"> </w:t>
      </w:r>
      <w:r>
        <w:rPr>
          <w:i/>
          <w:iCs/>
        </w:rPr>
        <w:t xml:space="preserve">Ramos</w:t>
      </w:r>
      <w:r>
        <w:t xml:space="preserve">, 140 U.S. at 1417–18.</w:t>
      </w:r>
    </w:p>
  </w:footnote>
  <w:footnote w:id="38">
    <w:p>
      <w:pPr>
        <w:pStyle w:val="FootnoteText"/>
      </w:pPr>
      <w:r>
        <w:rPr>
          <w:rStyle w:val="FootnoteReference"/>
        </w:rPr>
        <w:footnoteRef/>
      </w:r>
      <w:r>
        <w:t xml:space="preserve"> </w:t>
      </w:r>
      <w:r>
        <w:t xml:space="preserve">Reddick App. at 1, p. 206:17–209:11.</w:t>
      </w:r>
    </w:p>
  </w:footnote>
  <w:footnote w:id="39">
    <w:p>
      <w:pPr>
        <w:pStyle w:val="FootnoteText"/>
      </w:pPr>
      <w:r>
        <w:rPr>
          <w:rStyle w:val="FootnoteReference"/>
        </w:rPr>
        <w:footnoteRef/>
      </w:r>
      <w:r>
        <w:t xml:space="preserve"> </w:t>
      </w:r>
      <w:r>
        <w:rPr>
          <w:i/>
          <w:iCs/>
        </w:rPr>
        <w:t xml:space="preserve">Id</w:t>
      </w:r>
      <w:r>
        <w:t xml:space="preserve">., p. 218:22–219:12.</w:t>
      </w:r>
    </w:p>
  </w:footnote>
  <w:footnote w:id="40">
    <w:p>
      <w:pPr>
        <w:pStyle w:val="FootnoteText"/>
      </w:pPr>
      <w:r>
        <w:rPr>
          <w:rStyle w:val="FootnoteReference"/>
        </w:rPr>
        <w:footnoteRef/>
      </w:r>
      <w:r>
        <w:t xml:space="preserve"> </w:t>
      </w:r>
      <w:r>
        <w:rPr>
          <w:i/>
          <w:iCs/>
        </w:rPr>
        <w:t xml:space="preserve">Id.</w:t>
      </w:r>
      <w:r>
        <w:t xml:space="preserve">, p. 80; 217:1– 218.</w:t>
      </w:r>
    </w:p>
  </w:footnote>
  <w:footnote w:id="41">
    <w:p>
      <w:pPr>
        <w:pStyle w:val="FootnoteText"/>
      </w:pPr>
      <w:r>
        <w:rPr>
          <w:rStyle w:val="FootnoteReference"/>
        </w:rPr>
        <w:footnoteRef/>
      </w:r>
      <w:r>
        <w:t xml:space="preserve"> </w:t>
      </w:r>
      <w:r>
        <w:rPr>
          <w:i/>
          <w:iCs/>
        </w:rPr>
        <w:t xml:space="preserve">Id.</w:t>
      </w:r>
      <w:r>
        <w:t xml:space="preserve">, p. 73–75.</w:t>
      </w:r>
    </w:p>
  </w:footnote>
  <w:footnote w:id="42">
    <w:p>
      <w:pPr>
        <w:pStyle w:val="FootnoteText"/>
      </w:pPr>
      <w:r>
        <w:rPr>
          <w:rStyle w:val="FootnoteReference"/>
        </w:rPr>
        <w:footnoteRef/>
      </w:r>
      <w:r>
        <w:t xml:space="preserve"> </w:t>
      </w:r>
      <w:r>
        <w:t xml:space="preserve">Dan</w:t>
      </w:r>
      <w:r>
        <w:t xml:space="preserve"> </w:t>
      </w:r>
      <w:r>
        <w:t xml:space="preserve">Swenson,</w:t>
      </w:r>
      <w:r>
        <w:t xml:space="preserve"> </w:t>
      </w:r>
      <w:r>
        <w:rPr>
          <w:i/>
          <w:iCs/>
        </w:rPr>
        <w:t xml:space="preserve">Understanding Louisiana’s nonunanimous jury law findings</w:t>
      </w:r>
      <w:r>
        <w:t xml:space="preserve">, THE ADVOCATE (Apr. 1, 2018), https://​www.​nola.​com/​news/​courts/​article_96d53268</w:t>
      </w:r>
      <w:r>
        <w:noBreakHyphen/>
      </w:r>
      <w:r>
        <w:t xml:space="preserve">9b2b</w:t>
      </w:r>
      <w:r>
        <w:noBreakHyphen/>
      </w:r>
      <w:r>
        <w:t xml:space="preserve">5343-​b08d</w:t>
      </w:r>
      <w:r>
        <w:noBreakHyphen/>
      </w:r>
      <w:r>
        <w:t xml:space="preserve">1b7bdbcd557f.​html (summarizing</w:t>
      </w:r>
      <w:r>
        <w:t xml:space="preserve"> </w:t>
      </w:r>
      <w:r>
        <w:rPr>
          <w:i/>
          <w:iCs/>
        </w:rPr>
        <w:t xml:space="preserve">The Advocate’s</w:t>
      </w:r>
      <w:r>
        <w:t xml:space="preserve"> </w:t>
      </w:r>
      <w:r>
        <w:t xml:space="preserve">five-part investigative series on the practice, reporting that won the staff of</w:t>
      </w:r>
      <w:r>
        <w:t xml:space="preserve"> </w:t>
      </w:r>
      <w:r>
        <w:rPr>
          <w:i/>
          <w:iCs/>
        </w:rPr>
        <w:t xml:space="preserve">The Advocate</w:t>
      </w:r>
      <w:r>
        <w:t xml:space="preserve">—including John Simerman, Jim Mustian, Jeff Adelson, and Gordon Russell—the 2019 Pulitzer Prize).</w:t>
      </w:r>
    </w:p>
  </w:footnote>
  <w:footnote w:id="43">
    <w:p>
      <w:pPr>
        <w:pStyle w:val="FootnoteText"/>
      </w:pPr>
      <w:r>
        <w:rPr>
          <w:rStyle w:val="FootnoteReference"/>
        </w:rPr>
        <w:footnoteRef/>
      </w:r>
      <w:r>
        <w:t xml:space="preserve"> </w:t>
      </w:r>
      <w:r>
        <w:t xml:space="preserve">R. 1600.</w:t>
      </w:r>
    </w:p>
  </w:footnote>
  <w:footnote w:id="44">
    <w:p>
      <w:pPr>
        <w:pStyle w:val="FootnoteText"/>
      </w:pPr>
      <w:r>
        <w:rPr>
          <w:rStyle w:val="FootnoteReference"/>
        </w:rPr>
        <w:footnoteRef/>
      </w:r>
      <w:r>
        <w:t xml:space="preserve"> </w:t>
      </w:r>
      <w:r>
        <w:t xml:space="preserve">R. 1624–25.</w:t>
      </w:r>
    </w:p>
  </w:footnote>
  <w:footnote w:id="45">
    <w:p>
      <w:pPr>
        <w:pStyle w:val="FootnoteText"/>
      </w:pPr>
      <w:r>
        <w:rPr>
          <w:rStyle w:val="FootnoteReference"/>
        </w:rPr>
        <w:footnoteRef/>
      </w:r>
      <w:r>
        <w:t xml:space="preserve"> </w:t>
      </w:r>
      <w:r>
        <w:t xml:space="preserve">R. 1704.</w:t>
      </w:r>
    </w:p>
  </w:footnote>
  <w:footnote w:id="46">
    <w:p>
      <w:pPr>
        <w:pStyle w:val="FootnoteText"/>
      </w:pPr>
      <w:r>
        <w:rPr>
          <w:rStyle w:val="FootnoteReference"/>
        </w:rPr>
        <w:footnoteRef/>
      </w:r>
      <w:r>
        <w:t xml:space="preserve"> </w:t>
      </w:r>
      <w:r>
        <w:t xml:space="preserve">R. 1672; R. 1716; R: 1723; R. 1726.</w:t>
      </w:r>
    </w:p>
  </w:footnote>
  <w:footnote w:id="47">
    <w:p>
      <w:pPr>
        <w:pStyle w:val="FootnoteText"/>
      </w:pPr>
      <w:r>
        <w:rPr>
          <w:rStyle w:val="FootnoteReference"/>
        </w:rPr>
        <w:footnoteRef/>
      </w:r>
      <w:r>
        <w:t xml:space="preserve"> </w:t>
      </w:r>
      <w:r>
        <w:t xml:space="preserve">The State’s only alleged witness to the death of Mr. Moliere, Mr. Darryl Williams, stated that he was in the car at the time of the shooting with Mr. Reddick and a fourth individual. R. 1816–1820. Although the car was only a two-door car, and four people were alleged to be in the car, no prints were found in the back seat. R. 1630. The police did not check the prints found against Mr. Williams or Mr. Denair Riley, the alleged fourth passenger in the car at the time of Mr. Moliere’s death. R. 1673–74.</w:t>
      </w:r>
    </w:p>
  </w:footnote>
  <w:footnote w:id="48">
    <w:p>
      <w:pPr>
        <w:pStyle w:val="FootnoteText"/>
      </w:pPr>
      <w:r>
        <w:rPr>
          <w:rStyle w:val="FootnoteReference"/>
        </w:rPr>
        <w:footnoteRef/>
      </w:r>
      <w:r>
        <w:t xml:space="preserve"> </w:t>
      </w:r>
      <w:r>
        <w:rPr>
          <w:i/>
          <w:iCs/>
        </w:rPr>
        <w:t xml:space="preserve">Id.</w:t>
      </w:r>
    </w:p>
  </w:footnote>
  <w:footnote w:id="49">
    <w:p>
      <w:pPr>
        <w:pStyle w:val="FootnoteText"/>
      </w:pPr>
      <w:r>
        <w:rPr>
          <w:rStyle w:val="FootnoteReference"/>
        </w:rPr>
        <w:footnoteRef/>
      </w:r>
      <w:r>
        <w:t xml:space="preserve"> </w:t>
      </w:r>
      <w:r>
        <w:t xml:space="preserve">R. 1674–75. (“Q: None of the physical evidence which you personally collected implicates Reginald Reddick to this crime, is that correct? A: I got a statement that says that he committed this murder. Q: The physical evidence. You collected no physical evidence - - A: That is correct. Q: To your knowledge, Wayne Seiffert collected no physical evidence linking Mr. Reddick to this crime. A: No, sir.”)</w:t>
      </w:r>
    </w:p>
  </w:footnote>
  <w:footnote w:id="50">
    <w:p>
      <w:pPr>
        <w:pStyle w:val="FootnoteText"/>
      </w:pPr>
      <w:r>
        <w:rPr>
          <w:rStyle w:val="FootnoteReference"/>
        </w:rPr>
        <w:footnoteRef/>
      </w:r>
      <w:r>
        <w:t xml:space="preserve"> </w:t>
      </w:r>
      <w:r>
        <w:t xml:space="preserve">R. 1677–78; R. 1704. (“Q: So, whoever committed this murder had blood on them when they left that car, correct? A: I would assume that they would have, sir.”)</w:t>
      </w:r>
    </w:p>
  </w:footnote>
  <w:footnote w:id="51">
    <w:p>
      <w:pPr>
        <w:pStyle w:val="FootnoteText"/>
      </w:pPr>
      <w:r>
        <w:rPr>
          <w:rStyle w:val="FootnoteReference"/>
        </w:rPr>
        <w:footnoteRef/>
      </w:r>
      <w:r>
        <w:t xml:space="preserve"> </w:t>
      </w:r>
      <w:r>
        <w:t xml:space="preserve">R. 1722.</w:t>
      </w:r>
    </w:p>
  </w:footnote>
  <w:footnote w:id="52">
    <w:p>
      <w:pPr>
        <w:pStyle w:val="FootnoteText"/>
      </w:pPr>
      <w:r>
        <w:rPr>
          <w:rStyle w:val="FootnoteReference"/>
        </w:rPr>
        <w:footnoteRef/>
      </w:r>
      <w:r>
        <w:t xml:space="preserve"> </w:t>
      </w:r>
      <w:r>
        <w:t xml:space="preserve">R. 1678; R. 1724.</w:t>
      </w:r>
    </w:p>
  </w:footnote>
  <w:footnote w:id="53">
    <w:p>
      <w:pPr>
        <w:pStyle w:val="FootnoteText"/>
      </w:pPr>
      <w:r>
        <w:rPr>
          <w:rStyle w:val="FootnoteReference"/>
        </w:rPr>
        <w:footnoteRef/>
      </w:r>
      <w:r>
        <w:t xml:space="preserve"> </w:t>
      </w:r>
      <w:r>
        <w:t xml:space="preserve">R. 1801. Mr. Reddick had been spending the weekend with his aunt. His cousin, who had been a disc jockey at the bar that night, saw him come home around 12:30 a.m. R. 1801. He was making himself a hamburger. He did not observe any blood on Mr. Reddick, but Mr. Reddick was sweaty that August night.</w:t>
      </w:r>
      <w:r>
        <w:t xml:space="preserve"> </w:t>
      </w:r>
      <w:r>
        <w:rPr>
          <w:i/>
          <w:iCs/>
        </w:rPr>
        <w:t xml:space="preserve">Id</w:t>
      </w:r>
      <w:r>
        <w:t xml:space="preserve">. He recalls Mr. Reddick saying he had run some of the way home. R. 1802.</w:t>
      </w:r>
    </w:p>
  </w:footnote>
  <w:footnote w:id="54">
    <w:p>
      <w:pPr>
        <w:pStyle w:val="FootnoteText"/>
      </w:pPr>
      <w:r>
        <w:rPr>
          <w:rStyle w:val="FootnoteReference"/>
        </w:rPr>
        <w:footnoteRef/>
      </w:r>
      <w:r>
        <w:t xml:space="preserve"> </w:t>
      </w:r>
      <w:r>
        <w:t xml:space="preserve">R. 1674.</w:t>
      </w:r>
    </w:p>
  </w:footnote>
  <w:footnote w:id="55">
    <w:p>
      <w:pPr>
        <w:pStyle w:val="FootnoteText"/>
      </w:pPr>
      <w:r>
        <w:rPr>
          <w:rStyle w:val="FootnoteReference"/>
        </w:rPr>
        <w:footnoteRef/>
      </w:r>
      <w:r>
        <w:t xml:space="preserve"> </w:t>
      </w:r>
      <w:r>
        <w:t xml:space="preserve">State Br. at 1. Mr. Reddick lived with his aunt since the time he was five years old. R. 1805. He had been living with his sister in New Orleans, and arrived at his aunt’s house to visit on August 15, 1993.</w:t>
      </w:r>
      <w:r>
        <w:t xml:space="preserve"> </w:t>
      </w:r>
      <w:r>
        <w:rPr>
          <w:i/>
          <w:iCs/>
        </w:rPr>
        <w:t xml:space="preserve">Id.</w:t>
      </w:r>
      <w:r>
        <w:t xml:space="preserve"> </w:t>
      </w:r>
      <w:r>
        <w:t xml:space="preserve">at R. 1805–06.</w:t>
      </w:r>
    </w:p>
  </w:footnote>
  <w:footnote w:id="56">
    <w:p>
      <w:pPr>
        <w:pStyle w:val="FootnoteText"/>
      </w:pPr>
      <w:r>
        <w:rPr>
          <w:rStyle w:val="FootnoteReference"/>
        </w:rPr>
        <w:footnoteRef/>
      </w:r>
      <w:r>
        <w:t xml:space="preserve"> </w:t>
      </w:r>
      <w:r>
        <w:t xml:space="preserve">R. 1647–48.</w:t>
      </w:r>
    </w:p>
  </w:footnote>
  <w:footnote w:id="57">
    <w:p>
      <w:pPr>
        <w:pStyle w:val="FootnoteText"/>
      </w:pPr>
      <w:r>
        <w:rPr>
          <w:rStyle w:val="FootnoteReference"/>
        </w:rPr>
        <w:footnoteRef/>
      </w:r>
      <w:r>
        <w:t xml:space="preserve"> </w:t>
      </w:r>
      <w:r>
        <w:t xml:space="preserve">R. 1717.</w:t>
      </w:r>
    </w:p>
  </w:footnote>
  <w:footnote w:id="58">
    <w:p>
      <w:pPr>
        <w:pStyle w:val="FootnoteText"/>
      </w:pPr>
      <w:r>
        <w:rPr>
          <w:rStyle w:val="FootnoteReference"/>
        </w:rPr>
        <w:footnoteRef/>
      </w:r>
      <w:r>
        <w:t xml:space="preserve"> </w:t>
      </w:r>
      <w:r>
        <w:t xml:space="preserve">R. 1730; R. 1736.</w:t>
      </w:r>
    </w:p>
  </w:footnote>
  <w:footnote w:id="59">
    <w:p>
      <w:pPr>
        <w:pStyle w:val="FootnoteText"/>
      </w:pPr>
      <w:r>
        <w:rPr>
          <w:rStyle w:val="FootnoteReference"/>
        </w:rPr>
        <w:footnoteRef/>
      </w:r>
      <w:r>
        <w:t xml:space="preserve"> </w:t>
      </w:r>
      <w:r>
        <w:t xml:space="preserve">R. 1707–10; R. 1725. Note, this was only 290 feet from where the personal effects had been found four months earlier. R. 1725.</w:t>
      </w:r>
    </w:p>
  </w:footnote>
  <w:footnote w:id="60">
    <w:p>
      <w:pPr>
        <w:pStyle w:val="FootnoteText"/>
      </w:pPr>
      <w:r>
        <w:rPr>
          <w:rStyle w:val="FootnoteReference"/>
        </w:rPr>
        <w:footnoteRef/>
      </w:r>
      <w:r>
        <w:t xml:space="preserve"> </w:t>
      </w:r>
      <w:r>
        <w:t xml:space="preserve">R. 1730. The best police could do was describe the inscription of what “appeared to be” the letter “R” on each side of the gun. R. 1122. It is not certain whether this was aftermarket.</w:t>
      </w:r>
    </w:p>
  </w:footnote>
  <w:footnote w:id="61">
    <w:p>
      <w:pPr>
        <w:pStyle w:val="FootnoteText"/>
      </w:pPr>
      <w:r>
        <w:rPr>
          <w:rStyle w:val="FootnoteReference"/>
        </w:rPr>
        <w:footnoteRef/>
      </w:r>
      <w:r>
        <w:t xml:space="preserve"> </w:t>
      </w:r>
      <w:r>
        <w:t xml:space="preserve">R. 1763.</w:t>
      </w:r>
    </w:p>
  </w:footnote>
  <w:footnote w:id="62">
    <w:p>
      <w:pPr>
        <w:pStyle w:val="FootnoteText"/>
      </w:pPr>
      <w:r>
        <w:rPr>
          <w:rStyle w:val="FootnoteReference"/>
        </w:rPr>
        <w:footnoteRef/>
      </w:r>
      <w:r>
        <w:t xml:space="preserve"> </w:t>
      </w:r>
      <w:r>
        <w:t xml:space="preserve">R. 1768–73.</w:t>
      </w:r>
    </w:p>
  </w:footnote>
  <w:footnote w:id="63">
    <w:p>
      <w:pPr>
        <w:pStyle w:val="FootnoteText"/>
      </w:pPr>
      <w:r>
        <w:rPr>
          <w:rStyle w:val="FootnoteReference"/>
        </w:rPr>
        <w:footnoteRef/>
      </w:r>
      <w:r>
        <w:t xml:space="preserve"> </w:t>
      </w:r>
      <w:r>
        <w:t xml:space="preserve">Only six of the seven witnesses’ testimony starts at Alice’s Sweet Shop: Deborah Isidore (starting at R. 1739); Edwin Bolton (starting at R. 1774); Deona Sims (starting at R. 1781); Kevin Encalade (starting at R. 1793); Denair Riley (starting at R. 1837); Darren Narcise (starting at R. 1843).</w:t>
      </w:r>
    </w:p>
  </w:footnote>
  <w:footnote w:id="64">
    <w:p>
      <w:pPr>
        <w:pStyle w:val="FootnoteText"/>
      </w:pPr>
      <w:r>
        <w:rPr>
          <w:rStyle w:val="FootnoteReference"/>
        </w:rPr>
        <w:footnoteRef/>
      </w:r>
      <w:r>
        <w:t xml:space="preserve"> </w:t>
      </w:r>
      <w:r>
        <w:t xml:space="preserve">R. 1780.</w:t>
      </w:r>
    </w:p>
  </w:footnote>
  <w:footnote w:id="65">
    <w:p>
      <w:pPr>
        <w:pStyle w:val="FootnoteText"/>
      </w:pPr>
      <w:r>
        <w:rPr>
          <w:rStyle w:val="FootnoteReference"/>
        </w:rPr>
        <w:footnoteRef/>
      </w:r>
      <w:r>
        <w:t xml:space="preserve"> </w:t>
      </w:r>
      <w:r>
        <w:t xml:space="preserve">R. 1795–96.</w:t>
      </w:r>
    </w:p>
  </w:footnote>
  <w:footnote w:id="66">
    <w:p>
      <w:pPr>
        <w:pStyle w:val="FootnoteText"/>
      </w:pPr>
      <w:r>
        <w:rPr>
          <w:rStyle w:val="FootnoteReference"/>
        </w:rPr>
        <w:footnoteRef/>
      </w:r>
      <w:r>
        <w:t xml:space="preserve"> </w:t>
      </w:r>
      <w:r>
        <w:t xml:space="preserve">R. 1799.</w:t>
      </w:r>
      <w:r>
        <w:t xml:space="preserve"> </w:t>
      </w:r>
      <w:r>
        <w:rPr>
          <w:i/>
          <w:iCs/>
        </w:rPr>
        <w:t xml:space="preserve">See also</w:t>
      </w:r>
      <w:r>
        <w:t xml:space="preserve"> </w:t>
      </w:r>
      <w:r>
        <w:t xml:space="preserve">testimony at</w:t>
      </w:r>
      <w:r>
        <w:t xml:space="preserve"> </w:t>
      </w:r>
      <w:r>
        <w:rPr>
          <w:i/>
          <w:iCs/>
        </w:rPr>
        <w:t xml:space="preserve">supra</w:t>
      </w:r>
      <w:r>
        <w:t xml:space="preserve"> </w:t>
      </w:r>
      <w:r>
        <w:t xml:space="preserve">note 55.</w:t>
      </w:r>
    </w:p>
  </w:footnote>
  <w:footnote w:id="67">
    <w:p>
      <w:pPr>
        <w:pStyle w:val="FootnoteText"/>
      </w:pPr>
      <w:r>
        <w:rPr>
          <w:rStyle w:val="FootnoteReference"/>
        </w:rPr>
        <w:footnoteRef/>
      </w:r>
      <w:r>
        <w:t xml:space="preserve"> </w:t>
      </w:r>
      <w:r>
        <w:t xml:space="preserve">R. 1777; 1797.</w:t>
      </w:r>
    </w:p>
  </w:footnote>
  <w:footnote w:id="68">
    <w:p>
      <w:pPr>
        <w:pStyle w:val="FootnoteText"/>
      </w:pPr>
      <w:r>
        <w:rPr>
          <w:rStyle w:val="FootnoteReference"/>
        </w:rPr>
        <w:footnoteRef/>
      </w:r>
      <w:r>
        <w:t xml:space="preserve"> </w:t>
      </w:r>
      <w:r>
        <w:t xml:space="preserve">R. 1797.</w:t>
      </w:r>
    </w:p>
  </w:footnote>
  <w:footnote w:id="69">
    <w:p>
      <w:pPr>
        <w:pStyle w:val="FootnoteText"/>
      </w:pPr>
      <w:r>
        <w:rPr>
          <w:rStyle w:val="FootnoteReference"/>
        </w:rPr>
        <w:footnoteRef/>
      </w:r>
      <w:r>
        <w:t xml:space="preserve"> </w:t>
      </w:r>
      <w:r>
        <w:rPr>
          <w:i/>
          <w:iCs/>
        </w:rPr>
        <w:t xml:space="preserve">Id.</w:t>
      </w:r>
    </w:p>
  </w:footnote>
  <w:footnote w:id="70">
    <w:p>
      <w:pPr>
        <w:pStyle w:val="FootnoteText"/>
      </w:pPr>
      <w:r>
        <w:rPr>
          <w:rStyle w:val="FootnoteReference"/>
        </w:rPr>
        <w:footnoteRef/>
      </w:r>
      <w:r>
        <w:t xml:space="preserve"> </w:t>
      </w:r>
      <w:r>
        <w:t xml:space="preserve">R. 1745–46.</w:t>
      </w:r>
    </w:p>
  </w:footnote>
  <w:footnote w:id="71">
    <w:p>
      <w:pPr>
        <w:pStyle w:val="FootnoteText"/>
      </w:pPr>
      <w:r>
        <w:rPr>
          <w:rStyle w:val="FootnoteReference"/>
        </w:rPr>
        <w:footnoteRef/>
      </w:r>
      <w:r>
        <w:t xml:space="preserve"> </w:t>
      </w:r>
      <w:r>
        <w:t xml:space="preserve">R. 1786.</w:t>
      </w:r>
    </w:p>
  </w:footnote>
  <w:footnote w:id="72">
    <w:p>
      <w:pPr>
        <w:pStyle w:val="FootnoteText"/>
      </w:pPr>
      <w:r>
        <w:rPr>
          <w:rStyle w:val="FootnoteReference"/>
        </w:rPr>
        <w:footnoteRef/>
      </w:r>
      <w:r>
        <w:t xml:space="preserve"> </w:t>
      </w:r>
      <w:r>
        <w:t xml:space="preserve">R. 1745–46.</w:t>
      </w:r>
    </w:p>
  </w:footnote>
  <w:footnote w:id="73">
    <w:p>
      <w:pPr>
        <w:pStyle w:val="FootnoteText"/>
      </w:pPr>
      <w:r>
        <w:rPr>
          <w:rStyle w:val="FootnoteReference"/>
        </w:rPr>
        <w:footnoteRef/>
      </w:r>
      <w:r>
        <w:t xml:space="preserve"> </w:t>
      </w:r>
      <w:r>
        <w:t xml:space="preserve">R. 1746.</w:t>
      </w:r>
    </w:p>
  </w:footnote>
  <w:footnote w:id="74">
    <w:p>
      <w:pPr>
        <w:pStyle w:val="FootnoteText"/>
      </w:pPr>
      <w:r>
        <w:rPr>
          <w:rStyle w:val="FootnoteReference"/>
        </w:rPr>
        <w:footnoteRef/>
      </w:r>
      <w:r>
        <w:t xml:space="preserve"> </w:t>
      </w:r>
      <w:r>
        <w:t xml:space="preserve">R. 1748.</w:t>
      </w:r>
    </w:p>
  </w:footnote>
  <w:footnote w:id="75">
    <w:p>
      <w:pPr>
        <w:pStyle w:val="FootnoteText"/>
      </w:pPr>
      <w:r>
        <w:rPr>
          <w:rStyle w:val="FootnoteReference"/>
        </w:rPr>
        <w:footnoteRef/>
      </w:r>
      <w:r>
        <w:t xml:space="preserve"> </w:t>
      </w:r>
      <w:r>
        <w:t xml:space="preserve">R. 1746; R. 1751. Mr. Reddick is 5’4”.</w:t>
      </w:r>
      <w:r>
        <w:t xml:space="preserve"> </w:t>
      </w:r>
      <w:r>
        <w:rPr>
          <w:i/>
          <w:iCs/>
        </w:rPr>
        <w:t xml:space="preserve">See</w:t>
      </w:r>
      <w:r>
        <w:t xml:space="preserve"> </w:t>
      </w:r>
      <w:r>
        <w:t xml:space="preserve">R. 175.</w:t>
      </w:r>
    </w:p>
  </w:footnote>
  <w:footnote w:id="76">
    <w:p>
      <w:pPr>
        <w:pStyle w:val="FootnoteText"/>
      </w:pPr>
      <w:r>
        <w:rPr>
          <w:rStyle w:val="FootnoteReference"/>
        </w:rPr>
        <w:footnoteRef/>
      </w:r>
      <w:r>
        <w:t xml:space="preserve"> </w:t>
      </w:r>
      <w:r>
        <w:t xml:space="preserve">R. 1751.</w:t>
      </w:r>
    </w:p>
  </w:footnote>
  <w:footnote w:id="77">
    <w:p>
      <w:pPr>
        <w:pStyle w:val="FootnoteText"/>
      </w:pPr>
      <w:r>
        <w:rPr>
          <w:rStyle w:val="FootnoteReference"/>
        </w:rPr>
        <w:footnoteRef/>
      </w:r>
      <w:r>
        <w:t xml:space="preserve"> </w:t>
      </w:r>
      <w:r>
        <w:t xml:space="preserve">R. 1663–64; R. 1804. R. 1829; R. 1832.</w:t>
      </w:r>
      <w:r>
        <w:t xml:space="preserve"> </w:t>
      </w:r>
      <w:r>
        <w:rPr>
          <w:i/>
          <w:iCs/>
        </w:rPr>
        <w:t xml:space="preserve">See</w:t>
      </w:r>
      <w:r>
        <w:t xml:space="preserve"> </w:t>
      </w:r>
      <w:r>
        <w:t xml:space="preserve">also R. 1679–78 (detailing the transcripts of the police interviews with Darryl Williams, as almost exclusively leading and heavily influenced by officers.)</w:t>
      </w:r>
    </w:p>
  </w:footnote>
  <w:footnote w:id="78">
    <w:p>
      <w:pPr>
        <w:pStyle w:val="FootnoteText"/>
      </w:pPr>
      <w:r>
        <w:rPr>
          <w:rStyle w:val="FootnoteReference"/>
        </w:rPr>
        <w:footnoteRef/>
      </w:r>
      <w:r>
        <w:t xml:space="preserve"> </w:t>
      </w:r>
      <w:r>
        <w:t xml:space="preserve">R. 1826–30. Mr. Williams’ statements concerning the night of Mr. Moliere’s death changed repeatedly. R. 1826–30. Mr. Williams’ story grew from initially saying he knew nothing of the event, to saying he saw Mr. Reddick needing a ride. R. 1826–27. Then Mr. Williams’ story changed to place Mr. Reddick in the car with Mr. Moliere. R. 1827. Mr. Williams’ story again changed, now placing himself in the car with Mr. Reddick and Mr. Moliere and being present for the murder. R. 1828. Lastly, the story changed again to placing Mr. Denair Riley in the backseat with Mr. Williams at the time of Mr. Moliere’s death. R. 1828.</w:t>
      </w:r>
    </w:p>
  </w:footnote>
  <w:footnote w:id="79">
    <w:p>
      <w:pPr>
        <w:pStyle w:val="FootnoteText"/>
      </w:pPr>
      <w:r>
        <w:rPr>
          <w:rStyle w:val="FootnoteReference"/>
        </w:rPr>
        <w:footnoteRef/>
      </w:r>
      <w:r>
        <w:t xml:space="preserve"> </w:t>
      </w:r>
      <w:r>
        <w:t xml:space="preserve">R. 1816–17.</w:t>
      </w:r>
    </w:p>
  </w:footnote>
  <w:footnote w:id="80">
    <w:p>
      <w:pPr>
        <w:pStyle w:val="FootnoteText"/>
      </w:pPr>
      <w:r>
        <w:rPr>
          <w:rStyle w:val="FootnoteReference"/>
        </w:rPr>
        <w:footnoteRef/>
      </w:r>
      <w:r>
        <w:t xml:space="preserve"> </w:t>
      </w:r>
      <w:r>
        <w:t xml:space="preserve">R. 1838–39.</w:t>
      </w:r>
    </w:p>
  </w:footnote>
  <w:footnote w:id="81">
    <w:p>
      <w:pPr>
        <w:pStyle w:val="FootnoteText"/>
      </w:pPr>
      <w:r>
        <w:rPr>
          <w:rStyle w:val="FootnoteReference"/>
        </w:rPr>
        <w:footnoteRef/>
      </w:r>
      <w:r>
        <w:t xml:space="preserve"> </w:t>
      </w:r>
      <w:r>
        <w:t xml:space="preserve">R. 1842–43.</w:t>
      </w:r>
    </w:p>
  </w:footnote>
  <w:footnote w:id="82">
    <w:p>
      <w:pPr>
        <w:pStyle w:val="FootnoteText"/>
      </w:pPr>
      <w:r>
        <w:rPr>
          <w:rStyle w:val="FootnoteReference"/>
        </w:rPr>
        <w:footnoteRef/>
      </w:r>
      <w:r>
        <w:t xml:space="preserve"> </w:t>
      </w:r>
      <w:r>
        <w:t xml:space="preserve">R. 339.</w:t>
      </w:r>
    </w:p>
  </w:footnote>
  <w:footnote w:id="83">
    <w:p>
      <w:pPr>
        <w:pStyle w:val="FootnoteText"/>
      </w:pPr>
      <w:r>
        <w:rPr>
          <w:rStyle w:val="FootnoteReference"/>
        </w:rPr>
        <w:footnoteRef/>
      </w:r>
      <w:r>
        <w:t xml:space="preserve"> </w:t>
      </w:r>
      <w:r>
        <w:t xml:space="preserve">Only Louisiana sentenced people to life without the possibility of parole with non-unanimous jury verdicts, as Oregon prohibited non-unanimous jury verdicts for aggravated murder and murder 1.</w:t>
      </w:r>
      <w:r>
        <w:t xml:space="preserve"> </w:t>
      </w:r>
      <w:r>
        <w:rPr>
          <w:i/>
          <w:iCs/>
        </w:rPr>
        <w:t xml:space="preserve">See</w:t>
      </w:r>
      <w:r>
        <w:t xml:space="preserve"> </w:t>
      </w:r>
      <w:r>
        <w:t xml:space="preserve">OR.</w:t>
      </w:r>
      <w:r>
        <w:t xml:space="preserve"> </w:t>
      </w:r>
      <w:r>
        <w:t xml:space="preserve">CONST. art. I, § 11; OR.</w:t>
      </w:r>
      <w:r>
        <w:t xml:space="preserve"> </w:t>
      </w:r>
      <w:r>
        <w:t xml:space="preserve">REV. STAT. §§ 136.450(1), 163.105, 163.07.</w:t>
      </w:r>
    </w:p>
  </w:footnote>
  <w:footnote w:id="84">
    <w:p>
      <w:pPr>
        <w:pStyle w:val="FootnoteText"/>
      </w:pPr>
      <w:r>
        <w:rPr>
          <w:rStyle w:val="FootnoteReference"/>
        </w:rPr>
        <w:footnoteRef/>
      </w:r>
      <w:r>
        <w:t xml:space="preserve"> </w:t>
      </w:r>
      <w:r>
        <w:t xml:space="preserve">Despite the State’s contention that there is no evidence in the record of the disparate racial impact, there are hundreds of pages that were provided to the court and the district attorney of the</w:t>
      </w:r>
      <w:r>
        <w:t xml:space="preserve"> </w:t>
      </w:r>
      <w:r>
        <w:rPr>
          <w:i/>
          <w:iCs/>
        </w:rPr>
        <w:t xml:space="preserve">Maxie</w:t>
      </w:r>
      <w:r>
        <w:t xml:space="preserve"> </w:t>
      </w:r>
      <w:r>
        <w:t xml:space="preserve">transcript. Additionally, the</w:t>
      </w:r>
      <w:r>
        <w:t xml:space="preserve"> </w:t>
      </w:r>
      <w:r>
        <w:rPr>
          <w:i/>
          <w:iCs/>
        </w:rPr>
        <w:t xml:space="preserve">Ramos</w:t>
      </w:r>
      <w:r>
        <w:t xml:space="preserve"> </w:t>
      </w:r>
      <w:r>
        <w:t xml:space="preserve">court had access to the same materials, which supported its assertion that the law operated as intended.</w:t>
      </w:r>
    </w:p>
  </w:footnote>
  <w:footnote w:id="85">
    <w:p>
      <w:pPr>
        <w:pStyle w:val="FootnoteText"/>
      </w:pPr>
      <w:r>
        <w:rPr>
          <w:rStyle w:val="FootnoteReference"/>
        </w:rPr>
        <w:footnoteRef/>
      </w:r>
      <w:r>
        <w:t xml:space="preserve"> </w:t>
      </w:r>
      <w:r>
        <w:rPr>
          <w:i/>
          <w:iCs/>
        </w:rPr>
        <w:t xml:space="preserve">See</w:t>
      </w:r>
      <w:r>
        <w:t xml:space="preserve"> </w:t>
      </w:r>
      <w:r>
        <w:t xml:space="preserve">LA.</w:t>
      </w:r>
      <w:r>
        <w:t xml:space="preserve"> </w:t>
      </w:r>
      <w:r>
        <w:t xml:space="preserve">CONST. OF 1812, art. 6, § 18; LA.</w:t>
      </w:r>
      <w:r>
        <w:t xml:space="preserve"> </w:t>
      </w:r>
      <w:r>
        <w:t xml:space="preserve">CONST. OF 1845, Title VI, art. 107; LA.</w:t>
      </w:r>
      <w:r>
        <w:t xml:space="preserve"> </w:t>
      </w:r>
      <w:r>
        <w:t xml:space="preserve">CONST. OF 1852 Title VI, art. 103; LA.</w:t>
      </w:r>
      <w:r>
        <w:t xml:space="preserve"> </w:t>
      </w:r>
      <w:r>
        <w:t xml:space="preserve">CONST. OF 1864 Title VI, art. 105; LA.</w:t>
      </w:r>
      <w:r>
        <w:t xml:space="preserve"> </w:t>
      </w:r>
      <w:r>
        <w:t xml:space="preserve">CONST. OF 1868 Title I, art. 6; LA.</w:t>
      </w:r>
      <w:r>
        <w:t xml:space="preserve"> </w:t>
      </w:r>
      <w:r>
        <w:t xml:space="preserve">CONST. OF 1879 art. 7.</w:t>
      </w:r>
    </w:p>
  </w:footnote>
  <w:footnote w:id="86">
    <w:p>
      <w:pPr>
        <w:pStyle w:val="FootnoteText"/>
      </w:pPr>
      <w:r>
        <w:rPr>
          <w:rStyle w:val="FootnoteReference"/>
        </w:rPr>
        <w:footnoteRef/>
      </w:r>
      <w:r>
        <w:t xml:space="preserve"> </w:t>
      </w:r>
      <w:r>
        <w:t xml:space="preserve">These cases are voting rights cases, and most relate to felon disenfranchisement, a practice that exists in most states across the country.</w:t>
      </w:r>
    </w:p>
  </w:footnote>
  <w:footnote w:id="87">
    <w:p>
      <w:pPr>
        <w:pStyle w:val="FootnoteText"/>
      </w:pPr>
      <w:r>
        <w:rPr>
          <w:rStyle w:val="FootnoteReference"/>
        </w:rPr>
        <w:footnoteRef/>
      </w:r>
      <w:r>
        <w:t xml:space="preserve"> </w:t>
      </w:r>
      <w:r>
        <w:rPr>
          <w:i/>
          <w:iCs/>
        </w:rPr>
        <w:t xml:space="preserve">See also</w:t>
      </w:r>
      <w:r>
        <w:t xml:space="preserve"> </w:t>
      </w:r>
      <w:r>
        <w:rPr>
          <w:i/>
          <w:iCs/>
        </w:rPr>
        <w:t xml:space="preserve">Schriro v. Summerlin</w:t>
      </w:r>
      <w:r>
        <w:t xml:space="preserve">, 542 U.S. 348 (2004) (finding</w:t>
      </w:r>
      <w:r>
        <w:t xml:space="preserve"> </w:t>
      </w:r>
      <w:r>
        <w:rPr>
          <w:i/>
          <w:iCs/>
        </w:rPr>
        <w:t xml:space="preserve">Ring</w:t>
      </w:r>
      <w:r>
        <w:t xml:space="preserve"> </w:t>
      </w:r>
      <w:r>
        <w:t xml:space="preserve">not retroactive);</w:t>
      </w:r>
      <w:r>
        <w:t xml:space="preserve"> </w:t>
      </w:r>
      <w:r>
        <w:rPr>
          <w:i/>
          <w:iCs/>
        </w:rPr>
        <w:t xml:space="preserve">Sawyer v. Smith</w:t>
      </w:r>
      <w:r>
        <w:t xml:space="preserve">, 497 U.S. 227 (1990) (finding</w:t>
      </w:r>
      <w:r>
        <w:t xml:space="preserve"> </w:t>
      </w:r>
      <w:r>
        <w:rPr>
          <w:i/>
          <w:iCs/>
        </w:rPr>
        <w:t xml:space="preserve">Caldwell</w:t>
      </w:r>
      <w:r>
        <w:t xml:space="preserve"> </w:t>
      </w:r>
      <w:r>
        <w:t xml:space="preserve">not retroactive);</w:t>
      </w:r>
      <w:r>
        <w:t xml:space="preserve"> </w:t>
      </w:r>
      <w:r>
        <w:rPr>
          <w:i/>
          <w:iCs/>
        </w:rPr>
        <w:t xml:space="preserve">Beard v. Banks</w:t>
      </w:r>
      <w:r>
        <w:t xml:space="preserve">, 542 U.S. 406, 417 (2004) (rejecting retroactivity of</w:t>
      </w:r>
      <w:r>
        <w:t xml:space="preserve"> </w:t>
      </w:r>
      <w:r>
        <w:rPr>
          <w:i/>
          <w:iCs/>
        </w:rPr>
        <w:t xml:space="preserve">Mills v. Maryland</w:t>
      </w:r>
      <w:r>
        <w:t xml:space="preserve">, 486 U.S. 367 (1988)).</w:t>
      </w:r>
    </w:p>
  </w:footnote>
  <w:footnote w:id="88">
    <w:p>
      <w:pPr>
        <w:pStyle w:val="FootnoteText"/>
      </w:pPr>
      <w:r>
        <w:rPr>
          <w:rStyle w:val="FootnoteReference"/>
        </w:rPr>
        <w:footnoteRef/>
      </w:r>
      <w:r>
        <w:t xml:space="preserve"> </w:t>
      </w:r>
      <w:r>
        <w:t xml:space="preserve">The State also references</w:t>
      </w:r>
      <w:r>
        <w:t xml:space="preserve"> </w:t>
      </w:r>
      <w:r>
        <w:rPr>
          <w:i/>
          <w:iCs/>
        </w:rPr>
        <w:t xml:space="preserve">O’Dell</w:t>
      </w:r>
      <w:r>
        <w:rPr>
          <w:i/>
          <w:iCs/>
        </w:rPr>
        <w:t xml:space="preserve"> </w:t>
      </w:r>
      <w:r>
        <w:rPr>
          <w:i/>
          <w:iCs/>
        </w:rPr>
        <w:t xml:space="preserve">v. Netherland</w:t>
      </w:r>
      <w:r>
        <w:t xml:space="preserve">, 521 U.S. 151 (1997), which rejects retroactivity of</w:t>
      </w:r>
      <w:r>
        <w:t xml:space="preserve"> </w:t>
      </w:r>
      <w:r>
        <w:rPr>
          <w:i/>
          <w:iCs/>
        </w:rPr>
        <w:t xml:space="preserve">Simmons</w:t>
      </w:r>
      <w:r>
        <w:rPr>
          <w:i/>
          <w:iCs/>
        </w:rPr>
        <w:t xml:space="preserve"> </w:t>
      </w:r>
      <w:r>
        <w:rPr>
          <w:i/>
          <w:iCs/>
        </w:rPr>
        <w:t xml:space="preserve">v. South Carolina</w:t>
      </w:r>
      <w:r>
        <w:t xml:space="preserve">, 512 U.S. 154 (1994), another penalty phase case about knowing whether someone would be subject to life or life without the possibility of parole when deciding a sentence.</w:t>
      </w:r>
    </w:p>
  </w:footnote>
  <w:footnote w:id="89">
    <w:p>
      <w:pPr>
        <w:pStyle w:val="FootnoteText"/>
      </w:pPr>
      <w:r>
        <w:rPr>
          <w:rStyle w:val="FootnoteReference"/>
        </w:rPr>
        <w:footnoteRef/>
      </w:r>
      <w:r>
        <w:t xml:space="preserve"> </w:t>
      </w:r>
      <w:r>
        <w:rPr>
          <w:i/>
          <w:iCs/>
        </w:rPr>
        <w:t xml:space="preserve">Gilmore</w:t>
      </w:r>
      <w:r>
        <w:rPr>
          <w:i/>
          <w:iCs/>
        </w:rPr>
        <w:t xml:space="preserve"> </w:t>
      </w:r>
      <w:r>
        <w:rPr>
          <w:i/>
          <w:iCs/>
        </w:rPr>
        <w:t xml:space="preserve">v. Taylor</w:t>
      </w:r>
      <w:r>
        <w:t xml:space="preserve">, 508 U.S. 333 (1993) (rejecting that a rule about clarity of jury instructions met the watershed test).</w:t>
      </w:r>
    </w:p>
  </w:footnote>
  <w:footnote w:id="90">
    <w:p>
      <w:pPr>
        <w:pStyle w:val="FootnoteText"/>
      </w:pPr>
      <w:r>
        <w:rPr>
          <w:rStyle w:val="FootnoteReference"/>
        </w:rPr>
        <w:footnoteRef/>
      </w:r>
      <w:r>
        <w:t xml:space="preserve"> </w:t>
      </w:r>
      <w:r>
        <w:t xml:space="preserve">While the U.S. Supreme Court rejected retroactivity of</w:t>
      </w:r>
      <w:r>
        <w:t xml:space="preserve"> </w:t>
      </w:r>
      <w:r>
        <w:rPr>
          <w:i/>
          <w:iCs/>
        </w:rPr>
        <w:t xml:space="preserve">Cage</w:t>
      </w:r>
      <w:r>
        <w:t xml:space="preserve"> </w:t>
      </w:r>
      <w:r>
        <w:t xml:space="preserve">in</w:t>
      </w:r>
      <w:r>
        <w:t xml:space="preserve"> </w:t>
      </w:r>
      <w:r>
        <w:rPr>
          <w:i/>
          <w:iCs/>
        </w:rPr>
        <w:t xml:space="preserve">Tyler</w:t>
      </w:r>
      <w:r>
        <w:rPr>
          <w:i/>
          <w:iCs/>
        </w:rPr>
        <w:t xml:space="preserve"> </w:t>
      </w:r>
      <w:r>
        <w:rPr>
          <w:i/>
          <w:iCs/>
        </w:rPr>
        <w:t xml:space="preserve">v. Cain</w:t>
      </w:r>
      <w:r>
        <w:t xml:space="preserve">, 533 U.S. 656 (2001), it did so under the Antiterrorism and Effective Death Penalty Act of 1996 (AEDPA) and declined to review retroactivity.</w:t>
      </w:r>
    </w:p>
  </w:footnote>
  <w:footnote w:id="91">
    <w:p>
      <w:pPr>
        <w:pStyle w:val="FootnoteText"/>
      </w:pPr>
      <w:r>
        <w:rPr>
          <w:rStyle w:val="FootnoteReference"/>
        </w:rPr>
        <w:footnoteRef/>
      </w:r>
      <w:r>
        <w:t xml:space="preserve"> </w:t>
      </w:r>
      <w:r>
        <w:t xml:space="preserve">The trial court had before it the amicus brief from the Innocence Project New Orleans from</w:t>
      </w:r>
      <w:r>
        <w:t xml:space="preserve"> </w:t>
      </w:r>
      <w:r>
        <w:rPr>
          <w:i/>
          <w:iCs/>
        </w:rPr>
        <w:t xml:space="preserve">Ramos v. Louisiana.</w:t>
      </w:r>
      <w:r>
        <w:t xml:space="preserve"> </w:t>
      </w:r>
      <w:r>
        <w:t xml:space="preserve">R. 473, fn. 14.</w:t>
      </w:r>
    </w:p>
  </w:footnote>
  <w:footnote w:id="92">
    <w:p>
      <w:pPr>
        <w:pStyle w:val="FootnoteText"/>
      </w:pPr>
      <w:r>
        <w:rPr>
          <w:rStyle w:val="FootnoteReference"/>
        </w:rPr>
        <w:footnoteRef/>
      </w:r>
      <w:r>
        <w:t xml:space="preserve"> </w:t>
      </w:r>
      <w:r>
        <w:t xml:space="preserve">Matt</w:t>
      </w:r>
      <w:r>
        <w:t xml:space="preserve"> </w:t>
      </w:r>
      <w:r>
        <w:t xml:space="preserve">Sledge,</w:t>
      </w:r>
      <w:r>
        <w:t xml:space="preserve"> </w:t>
      </w:r>
      <w:r>
        <w:rPr>
          <w:i/>
          <w:iCs/>
        </w:rPr>
        <w:t xml:space="preserve">New Orleans man freed after accuser says he fabricated robbery: ‘I have been tortured by the lie I told’</w:t>
      </w:r>
      <w:r>
        <w:t xml:space="preserve">, THE ADVOCATE (Mar. 30, 2021), https://​www.​nola.​com/​news/​courts/​article_29f8c3e8</w:t>
      </w:r>
      <w:r>
        <w:noBreakHyphen/>
      </w:r>
      <w:r>
        <w:t xml:space="preserve">90e5</w:t>
      </w:r>
      <w:r>
        <w:noBreakHyphen/>
      </w:r>
      <w:r>
        <w:t xml:space="preserve">11eb</w:t>
      </w:r>
      <w:r>
        <w:noBreakHyphen/>
      </w:r>
      <w:r>
        <w:t xml:space="preserve">98a0-​dff328f992d5.​html.</w:t>
      </w:r>
    </w:p>
  </w:footnote>
  <w:footnote w:id="93">
    <w:p>
      <w:pPr>
        <w:pStyle w:val="FootnoteText"/>
      </w:pPr>
      <w:r>
        <w:rPr>
          <w:rStyle w:val="FootnoteReference"/>
        </w:rPr>
        <w:footnoteRef/>
      </w:r>
      <w:r>
        <w:t xml:space="preserve"> </w:t>
      </w:r>
      <w:r>
        <w:rPr>
          <w:i/>
          <w:iCs/>
        </w:rPr>
        <w:t xml:space="preserve">Id.</w:t>
      </w:r>
    </w:p>
  </w:footnote>
  <w:footnote w:id="94">
    <w:p>
      <w:pPr>
        <w:pStyle w:val="FootnoteText"/>
      </w:pPr>
      <w:r>
        <w:rPr>
          <w:rStyle w:val="FootnoteReference"/>
        </w:rPr>
        <w:footnoteRef/>
      </w:r>
      <w:r>
        <w:t xml:space="preserve"> </w:t>
      </w:r>
      <w:r>
        <w:rPr>
          <w:i/>
          <w:iCs/>
        </w:rPr>
        <w:t xml:space="preserve">Id.</w:t>
      </w:r>
    </w:p>
  </w:footnote>
  <w:footnote w:id="95">
    <w:p>
      <w:pPr>
        <w:pStyle w:val="FootnoteText"/>
      </w:pPr>
      <w:r>
        <w:rPr>
          <w:rStyle w:val="FootnoteReference"/>
        </w:rPr>
        <w:footnoteRef/>
      </w:r>
      <w:r>
        <w:t xml:space="preserve"> </w:t>
      </w:r>
      <w:r>
        <w:rPr>
          <w:i/>
          <w:iCs/>
        </w:rPr>
        <w:t xml:space="preserve">Id.</w:t>
      </w:r>
    </w:p>
  </w:footnote>
  <w:footnote w:id="96">
    <w:p>
      <w:pPr>
        <w:pStyle w:val="FootnoteText"/>
      </w:pPr>
      <w:r>
        <w:rPr>
          <w:rStyle w:val="FootnoteReference"/>
        </w:rPr>
        <w:footnoteRef/>
      </w:r>
      <w:r>
        <w:t xml:space="preserve"> </w:t>
      </w:r>
      <w:r>
        <w:t xml:space="preserve">Mr. Hudson also was awarded $330,000 from the State for his wrongful conviction. Undoubtedly, due to the inaccuracies of non-unanimous convictions, there are more wrongfully convicted individuals still incarcerated today who might someday be entitled to comparable compensation. Failing to provide a path toward fair trials for these individuals only serves to increase those potential costs.</w:t>
      </w:r>
    </w:p>
  </w:footnote>
  <w:footnote w:id="97">
    <w:p>
      <w:pPr>
        <w:pStyle w:val="FootnoteText"/>
      </w:pPr>
      <w:r>
        <w:rPr>
          <w:rStyle w:val="FootnoteReference"/>
        </w:rPr>
        <w:footnoteRef/>
      </w:r>
      <w:r>
        <w:t xml:space="preserve"> </w:t>
      </w:r>
      <w:r>
        <w:t xml:space="preserve">Of the remaining 31, some were pleas, and others were first-degree murder convictions—neither of which can result from a non-unanimous jury verdict.</w:t>
      </w:r>
    </w:p>
  </w:footnote>
  <w:footnote w:id="98">
    <w:p>
      <w:pPr>
        <w:pStyle w:val="FootnoteText"/>
      </w:pPr>
      <w:r>
        <w:rPr>
          <w:rStyle w:val="FootnoteReference"/>
        </w:rPr>
        <w:footnoteRef/>
      </w:r>
      <w:r>
        <w:t xml:space="preserve"> </w:t>
      </w:r>
      <w:r>
        <w:t xml:space="preserve">The U.S. Court of Appeals for the Fifth Circuit, relying on</w:t>
      </w:r>
      <w:r>
        <w:t xml:space="preserve"> </w:t>
      </w:r>
      <w:r>
        <w:rPr>
          <w:i/>
          <w:iCs/>
        </w:rPr>
        <w:t xml:space="preserve">Brown</w:t>
      </w:r>
      <w:r>
        <w:t xml:space="preserve">, applied</w:t>
      </w:r>
      <w:r>
        <w:t xml:space="preserve"> </w:t>
      </w:r>
      <w:r>
        <w:rPr>
          <w:i/>
          <w:iCs/>
        </w:rPr>
        <w:t xml:space="preserve">Burch</w:t>
      </w:r>
      <w:r>
        <w:t xml:space="preserve"> </w:t>
      </w:r>
      <w:r>
        <w:t xml:space="preserve">retroactively to a final conviction on federal collateral review.</w:t>
      </w:r>
      <w:r>
        <w:t xml:space="preserve"> </w:t>
      </w:r>
      <w:r>
        <w:rPr>
          <w:i/>
          <w:iCs/>
        </w:rPr>
        <w:t xml:space="preserve">Atkins</w:t>
      </w:r>
      <w:r>
        <w:rPr>
          <w:i/>
          <w:iCs/>
        </w:rPr>
        <w:t xml:space="preserve"> </w:t>
      </w:r>
      <w:r>
        <w:rPr>
          <w:i/>
          <w:iCs/>
        </w:rPr>
        <w:t xml:space="preserve">v. Listi</w:t>
      </w:r>
      <w:r>
        <w:t xml:space="preserve">, 625 F.2d 525, 525–26 (5th Cir. 1980) (conviction became final in 1979 before 1980</w:t>
      </w:r>
      <w:r>
        <w:t xml:space="preserve"> </w:t>
      </w:r>
      <w:r>
        <w:rPr>
          <w:i/>
          <w:iCs/>
        </w:rPr>
        <w:t xml:space="preserve">Burch</w:t>
      </w:r>
      <w:r>
        <w:t xml:space="preserve"> </w:t>
      </w:r>
      <w:r>
        <w:t xml:space="preserve">decision).</w:t>
      </w:r>
    </w:p>
  </w:footnote>
  <w:footnote w:id="99">
    <w:p>
      <w:pPr>
        <w:pStyle w:val="FootnoteText"/>
      </w:pPr>
      <w:r>
        <w:rPr>
          <w:rStyle w:val="FootnoteReference"/>
        </w:rPr>
        <w:footnoteRef/>
      </w:r>
      <w:r>
        <w:t xml:space="preserve"> </w:t>
      </w:r>
      <w:r>
        <w:t xml:space="preserve">The courts drew no distinction between civil and criminal litigation.</w:t>
      </w:r>
      <w:r>
        <w:t xml:space="preserve"> </w:t>
      </w:r>
      <w:r>
        <w:rPr>
          <w:i/>
          <w:iCs/>
        </w:rPr>
        <w:t xml:space="preserve">Linkletter</w:t>
      </w:r>
      <w:r>
        <w:rPr>
          <w:i/>
          <w:iCs/>
        </w:rPr>
        <w:t xml:space="preserve"> </w:t>
      </w:r>
      <w:r>
        <w:rPr>
          <w:i/>
          <w:iCs/>
        </w:rPr>
        <w:t xml:space="preserve">v. Walker</w:t>
      </w:r>
      <w:r>
        <w:t xml:space="preserve">, 381 U.S. 618, 627 (1965).</w:t>
      </w:r>
    </w:p>
  </w:footnote>
  <w:footnote w:id="100">
    <w:p>
      <w:pPr>
        <w:pStyle w:val="FootnoteText"/>
      </w:pPr>
      <w:r>
        <w:rPr>
          <w:rStyle w:val="FootnoteReference"/>
        </w:rPr>
        <w:footnoteRef/>
      </w:r>
      <w:r>
        <w:t xml:space="preserve"> </w:t>
      </w:r>
      <w:r>
        <w:t xml:space="preserve">Citing Jill</w:t>
      </w:r>
      <w:r>
        <w:t xml:space="preserve"> </w:t>
      </w:r>
      <w:r>
        <w:t xml:space="preserve">E. Fisch,</w:t>
      </w:r>
      <w:r>
        <w:t xml:space="preserve"> </w:t>
      </w:r>
      <w:r>
        <w:rPr>
          <w:i/>
          <w:iCs/>
        </w:rPr>
        <w:t xml:space="preserve">Retroactivity and Legal Change: An Equilibrium Approach</w:t>
      </w:r>
      <w:r>
        <w:t xml:space="preserve">, 110 HARV. L. REV. 1055, 1059 (1997).</w:t>
      </w:r>
    </w:p>
  </w:footnote>
  <w:footnote w:id="101">
    <w:p>
      <w:pPr>
        <w:pStyle w:val="FootnoteText"/>
      </w:pPr>
      <w:r>
        <w:rPr>
          <w:rStyle w:val="FootnoteReference"/>
        </w:rPr>
        <w:footnoteRef/>
      </w:r>
      <w:r>
        <w:t xml:space="preserve"> </w:t>
      </w:r>
      <w:r>
        <w:t xml:space="preserve">The</w:t>
      </w:r>
      <w:r>
        <w:t xml:space="preserve"> </w:t>
      </w:r>
      <w:r>
        <w:rPr>
          <w:i/>
          <w:iCs/>
        </w:rPr>
        <w:t xml:space="preserve">Teague</w:t>
      </w:r>
      <w:r>
        <w:t xml:space="preserve"> </w:t>
      </w:r>
      <w:r>
        <w:t xml:space="preserve">rule reflects the limited “purpose of federal habeas corpus [] to ensure that state convictions comply with the federal law in existence at the time the conviction became final, and not to provide a mechanism for the continuing reexamination of final judgments based upon later emerging legal doctrine.”</w:t>
      </w:r>
      <w:r>
        <w:t xml:space="preserve"> </w:t>
      </w:r>
      <w:r>
        <w:rPr>
          <w:i/>
          <w:iCs/>
        </w:rPr>
        <w:t xml:space="preserve">Sawyer</w:t>
      </w:r>
      <w:r>
        <w:rPr>
          <w:i/>
          <w:iCs/>
        </w:rPr>
        <w:t xml:space="preserve"> </w:t>
      </w:r>
      <w:r>
        <w:rPr>
          <w:i/>
          <w:iCs/>
        </w:rPr>
        <w:t xml:space="preserve">v. Smith</w:t>
      </w:r>
      <w:r>
        <w:t xml:space="preserve">, 497 U.S. 227, 234 (1990).</w:t>
      </w:r>
    </w:p>
  </w:footnote>
  <w:footnote w:id="102">
    <w:p>
      <w:pPr>
        <w:pStyle w:val="FootnoteText"/>
      </w:pPr>
      <w:r>
        <w:rPr>
          <w:rStyle w:val="FootnoteReference"/>
        </w:rPr>
        <w:footnoteRef/>
      </w:r>
      <w:r>
        <w:t xml:space="preserve"> </w:t>
      </w:r>
      <w:r>
        <w:rPr>
          <w:i/>
          <w:iCs/>
        </w:rPr>
        <w:t xml:space="preserve">See</w:t>
      </w:r>
      <w:r>
        <w:t xml:space="preserve"> </w:t>
      </w:r>
      <w:r>
        <w:rPr>
          <w:i/>
          <w:iCs/>
        </w:rPr>
        <w:t xml:space="preserve">Gilmore</w:t>
      </w:r>
      <w:r>
        <w:rPr>
          <w:i/>
          <w:iCs/>
        </w:rPr>
        <w:t xml:space="preserve"> </w:t>
      </w:r>
      <w:r>
        <w:rPr>
          <w:i/>
          <w:iCs/>
        </w:rPr>
        <w:t xml:space="preserve">v. Taylor</w:t>
      </w:r>
      <w:r>
        <w:t xml:space="preserve">, 508 U.S. 333, 364 (1993) (“Although the precise contours of [the second</w:t>
      </w:r>
      <w:r>
        <w:t xml:space="preserve"> </w:t>
      </w:r>
      <w:r>
        <w:rPr>
          <w:i/>
          <w:iCs/>
        </w:rPr>
        <w:t xml:space="preserve">Teague</w:t>
      </w:r>
      <w:r>
        <w:t xml:space="preserve">] exception may be difficult to discern, we have usually cited</w:t>
      </w:r>
      <w:r>
        <w:t xml:space="preserve"> </w:t>
      </w:r>
      <w:r>
        <w:rPr>
          <w:i/>
          <w:iCs/>
        </w:rPr>
        <w:t xml:space="preserve">Gideon</w:t>
      </w:r>
      <w:r>
        <w:t xml:space="preserve">” );</w:t>
      </w:r>
      <w:r>
        <w:t xml:space="preserve"> </w:t>
      </w:r>
      <w:r>
        <w:rPr>
          <w:i/>
          <w:iCs/>
        </w:rPr>
        <w:t xml:space="preserve">see also</w:t>
      </w:r>
      <w:r>
        <w:t xml:space="preserve"> </w:t>
      </w:r>
      <w:r>
        <w:rPr>
          <w:i/>
          <w:iCs/>
        </w:rPr>
        <w:t xml:space="preserve">O’Dell</w:t>
      </w:r>
      <w:r>
        <w:rPr>
          <w:i/>
          <w:iCs/>
        </w:rPr>
        <w:t xml:space="preserve"> </w:t>
      </w:r>
      <w:r>
        <w:rPr>
          <w:i/>
          <w:iCs/>
        </w:rPr>
        <w:t xml:space="preserve">v. Netherland</w:t>
      </w:r>
      <w:r>
        <w:t xml:space="preserve">, 521 U.S. 151, 167 (1997) (“Unlike the sweeping rule of</w:t>
      </w:r>
      <w:r>
        <w:t xml:space="preserve"> </w:t>
      </w:r>
      <w:r>
        <w:rPr>
          <w:i/>
          <w:iCs/>
        </w:rPr>
        <w:t xml:space="preserve">Gideon</w:t>
      </w:r>
      <w:r>
        <w:t xml:space="preserve">, which established an affirmative right to counsel in all felony cases . . . .”);</w:t>
      </w:r>
      <w:r>
        <w:t xml:space="preserve"> </w:t>
      </w:r>
      <w:r>
        <w:rPr>
          <w:i/>
          <w:iCs/>
        </w:rPr>
        <w:t xml:space="preserve">Beard</w:t>
      </w:r>
      <w:r>
        <w:rPr>
          <w:i/>
          <w:iCs/>
        </w:rPr>
        <w:t xml:space="preserve"> </w:t>
      </w:r>
      <w:r>
        <w:rPr>
          <w:i/>
          <w:iCs/>
        </w:rPr>
        <w:t xml:space="preserve">v. Banks</w:t>
      </w:r>
      <w:r>
        <w:t xml:space="preserve">, 542 U.S. 406, 417 (2004) (“In providing guidance as to what might fall within this exception, [the Court has] repeatedly referred to the [right-to-counsel] rule of</w:t>
      </w:r>
      <w:r>
        <w:t xml:space="preserve"> </w:t>
      </w:r>
      <w:r>
        <w:rPr>
          <w:i/>
          <w:iCs/>
        </w:rPr>
        <w:t xml:space="preserve">Gideon</w:t>
      </w:r>
      <w:r>
        <w:t xml:space="preserve">” );</w:t>
      </w:r>
      <w:r>
        <w:t xml:space="preserve"> </w:t>
      </w:r>
      <w:r>
        <w:rPr>
          <w:i/>
          <w:iCs/>
        </w:rPr>
        <w:t xml:space="preserve">Whorton</w:t>
      </w:r>
      <w:r>
        <w:rPr>
          <w:i/>
          <w:iCs/>
        </w:rPr>
        <w:t xml:space="preserve"> </w:t>
      </w:r>
      <w:r>
        <w:rPr>
          <w:i/>
          <w:iCs/>
        </w:rPr>
        <w:t xml:space="preserve">v. Bockting</w:t>
      </w:r>
      <w:r>
        <w:t xml:space="preserve">, 549 U.S. 406, 409 (2007) (finding the</w:t>
      </w:r>
      <w:r>
        <w:t xml:space="preserve"> </w:t>
      </w:r>
      <w:r>
        <w:rPr>
          <w:i/>
          <w:iCs/>
        </w:rPr>
        <w:t xml:space="preserve">Crawford</w:t>
      </w:r>
      <w:r>
        <w:t xml:space="preserve"> </w:t>
      </w:r>
      <w:r>
        <w:t xml:space="preserve">rule is not comparable to the</w:t>
      </w:r>
      <w:r>
        <w:t xml:space="preserve"> </w:t>
      </w:r>
      <w:r>
        <w:rPr>
          <w:i/>
          <w:iCs/>
        </w:rPr>
        <w:t xml:space="preserve">Gideon</w:t>
      </w:r>
      <w:r>
        <w:t xml:space="preserve"> </w:t>
      </w:r>
      <w:r>
        <w:t xml:space="preserve">rule).</w:t>
      </w:r>
    </w:p>
  </w:footnote>
  <w:footnote w:id="103">
    <w:p>
      <w:pPr>
        <w:pStyle w:val="FootnoteText"/>
      </w:pPr>
      <w:r>
        <w:rPr>
          <w:rStyle w:val="FootnoteReference"/>
        </w:rPr>
        <w:footnoteRef/>
      </w:r>
      <w:r>
        <w:t xml:space="preserve"> </w:t>
      </w:r>
      <w:r>
        <w:t xml:space="preserve">From the start of this nation, all U.S. courts appeared to regard unanimity as an essential feature of the jury trial.</w:t>
      </w:r>
      <w:r>
        <w:t xml:space="preserve"> </w:t>
      </w:r>
      <w:r>
        <w:rPr>
          <w:i/>
          <w:iCs/>
        </w:rPr>
        <w:t xml:space="preserve">See, e.g.</w:t>
      </w:r>
      <w:r>
        <w:t xml:space="preserve">,</w:t>
      </w:r>
      <w:r>
        <w:t xml:space="preserve"> </w:t>
      </w:r>
      <w:r>
        <w:rPr>
          <w:i/>
          <w:iCs/>
        </w:rPr>
        <w:t xml:space="preserve">Commonwealth</w:t>
      </w:r>
      <w:r>
        <w:rPr>
          <w:i/>
          <w:iCs/>
        </w:rPr>
        <w:t xml:space="preserve"> </w:t>
      </w:r>
      <w:r>
        <w:rPr>
          <w:i/>
          <w:iCs/>
        </w:rPr>
        <w:t xml:space="preserve">v. Bowden</w:t>
      </w:r>
      <w:r>
        <w:t xml:space="preserve">, 9 Mass. 494, 495 (1813);</w:t>
      </w:r>
      <w:r>
        <w:t xml:space="preserve"> </w:t>
      </w:r>
      <w:r>
        <w:rPr>
          <w:i/>
          <w:iCs/>
        </w:rPr>
        <w:t xml:space="preserve">see also</w:t>
      </w:r>
      <w:r>
        <w:t xml:space="preserve"> </w:t>
      </w:r>
      <w:r>
        <w:rPr>
          <w:i/>
          <w:iCs/>
        </w:rPr>
        <w:t xml:space="preserve">People</w:t>
      </w:r>
      <w:r>
        <w:rPr>
          <w:i/>
          <w:iCs/>
        </w:rPr>
        <w:t xml:space="preserve"> </w:t>
      </w:r>
      <w:r>
        <w:rPr>
          <w:i/>
          <w:iCs/>
        </w:rPr>
        <w:t xml:space="preserve">v. Denton</w:t>
      </w:r>
      <w:r>
        <w:t xml:space="preserve">, 2 Johns. Cas. 275, 277 (N. Y. 1801);</w:t>
      </w:r>
      <w:r>
        <w:t xml:space="preserve"> </w:t>
      </w:r>
      <w:r>
        <w:rPr>
          <w:i/>
          <w:iCs/>
        </w:rPr>
        <w:t xml:space="preserve">Commonwealth</w:t>
      </w:r>
      <w:r>
        <w:rPr>
          <w:i/>
          <w:iCs/>
        </w:rPr>
        <w:t xml:space="preserve"> </w:t>
      </w:r>
      <w:r>
        <w:rPr>
          <w:i/>
          <w:iCs/>
        </w:rPr>
        <w:t xml:space="preserve">v. Fells</w:t>
      </w:r>
      <w:r>
        <w:t xml:space="preserve">, 36 Va. 613, 615 (1838);</w:t>
      </w:r>
      <w:r>
        <w:t xml:space="preserve"> </w:t>
      </w:r>
      <w:r>
        <w:rPr>
          <w:i/>
          <w:iCs/>
        </w:rPr>
        <w:t xml:space="preserve">State</w:t>
      </w:r>
      <w:r>
        <w:rPr>
          <w:i/>
          <w:iCs/>
        </w:rPr>
        <w:t xml:space="preserve"> </w:t>
      </w:r>
      <w:r>
        <w:rPr>
          <w:i/>
          <w:iCs/>
        </w:rPr>
        <w:t xml:space="preserve">v. Doon &amp; Dimond</w:t>
      </w:r>
      <w:r>
        <w:t xml:space="preserve">, 1 R. Charlton 1, 2 (Ga. Super. Ct. 1811);</w:t>
      </w:r>
      <w:r>
        <w:t xml:space="preserve"> </w:t>
      </w:r>
      <w:r>
        <w:rPr>
          <w:i/>
          <w:iCs/>
        </w:rPr>
        <w:t xml:space="preserve">Respublica</w:t>
      </w:r>
      <w:r>
        <w:rPr>
          <w:i/>
          <w:iCs/>
        </w:rPr>
        <w:t xml:space="preserve"> </w:t>
      </w:r>
      <w:r>
        <w:rPr>
          <w:i/>
          <w:iCs/>
        </w:rPr>
        <w:t xml:space="preserve">v. Oswald</w:t>
      </w:r>
      <w:r>
        <w:t xml:space="preserve">, 1 U.S. 319, 324, 329 (Pa. 1788) (reporting Chief Justice McKean’s observations that unanimity would have been required even if the Pennsylvania Constitution had not said so explicitly).</w:t>
      </w:r>
    </w:p>
  </w:footnote>
  <w:footnote w:id="104">
    <w:p>
      <w:pPr>
        <w:pStyle w:val="FootnoteText"/>
      </w:pPr>
      <w:r>
        <w:rPr>
          <w:rStyle w:val="FootnoteReference"/>
        </w:rPr>
        <w:footnoteRef/>
      </w:r>
      <w:r>
        <w:t xml:space="preserve"> </w:t>
      </w:r>
      <w:r>
        <w:rPr>
          <w:i/>
          <w:iCs/>
        </w:rPr>
        <w:t xml:space="preserve">See also</w:t>
      </w:r>
      <w:r>
        <w:t xml:space="preserve"> </w:t>
      </w:r>
      <w:r>
        <w:rPr>
          <w:i/>
          <w:iCs/>
        </w:rPr>
        <w:t xml:space="preserve">Maxwell</w:t>
      </w:r>
      <w:r>
        <w:rPr>
          <w:i/>
          <w:iCs/>
        </w:rPr>
        <w:t xml:space="preserve"> </w:t>
      </w:r>
      <w:r>
        <w:rPr>
          <w:i/>
          <w:iCs/>
        </w:rPr>
        <w:t xml:space="preserve">v. Dow</w:t>
      </w:r>
      <w:r>
        <w:t xml:space="preserve">, 176 U.S. 581, 586 (1900) (“[T]he right of trial by jury . . . implies that there shall be an unanimous verdict of twelve jurors.”);</w:t>
      </w:r>
      <w:r>
        <w:t xml:space="preserve"> </w:t>
      </w:r>
      <w:r>
        <w:rPr>
          <w:i/>
          <w:iCs/>
        </w:rPr>
        <w:t xml:space="preserve">Patton</w:t>
      </w:r>
      <w:r>
        <w:rPr>
          <w:i/>
          <w:iCs/>
        </w:rPr>
        <w:t xml:space="preserve"> </w:t>
      </w:r>
      <w:r>
        <w:rPr>
          <w:i/>
          <w:iCs/>
        </w:rPr>
        <w:t xml:space="preserve">v. United States</w:t>
      </w:r>
      <w:r>
        <w:t xml:space="preserve">, 281 U.S. 276, 288 (1930) (“[T]he verdict should be unanimous.”);</w:t>
      </w:r>
      <w:r>
        <w:t xml:space="preserve"> </w:t>
      </w:r>
      <w:r>
        <w:rPr>
          <w:i/>
          <w:iCs/>
        </w:rPr>
        <w:t xml:space="preserve">Andres</w:t>
      </w:r>
      <w:r>
        <w:rPr>
          <w:i/>
          <w:iCs/>
        </w:rPr>
        <w:t xml:space="preserve"> </w:t>
      </w:r>
      <w:r>
        <w:rPr>
          <w:i/>
          <w:iCs/>
        </w:rPr>
        <w:t xml:space="preserve">v. United States</w:t>
      </w:r>
      <w:r>
        <w:t xml:space="preserve">, 333 U.S. 740, 748 (1948) (“Unanimity in jury verdicts is required where the Sixth and Seventh Amendments apply.”);</w:t>
      </w:r>
      <w:r>
        <w:t xml:space="preserve"> </w:t>
      </w:r>
      <w:r>
        <w:rPr>
          <w:i/>
          <w:iCs/>
        </w:rPr>
        <w:t xml:space="preserve">Johnson</w:t>
      </w:r>
      <w:r>
        <w:rPr>
          <w:i/>
          <w:iCs/>
        </w:rPr>
        <w:t xml:space="preserve"> </w:t>
      </w:r>
      <w:r>
        <w:rPr>
          <w:i/>
          <w:iCs/>
        </w:rPr>
        <w:t xml:space="preserve">v. Louisiana</w:t>
      </w:r>
      <w:r>
        <w:t xml:space="preserve">, 406 U.S. 356, 369 (1972) (Powell, J., concurring);</w:t>
      </w:r>
      <w:r>
        <w:t xml:space="preserve"> </w:t>
      </w:r>
      <w:r>
        <w:rPr>
          <w:i/>
          <w:iCs/>
        </w:rPr>
        <w:t xml:space="preserve">United</w:t>
      </w:r>
      <w:r>
        <w:rPr>
          <w:i/>
          <w:iCs/>
        </w:rPr>
        <w:t xml:space="preserve"> </w:t>
      </w:r>
      <w:r>
        <w:rPr>
          <w:i/>
          <w:iCs/>
        </w:rPr>
        <w:t xml:space="preserve">States v. Gaudin</w:t>
      </w:r>
      <w:r>
        <w:t xml:space="preserve">, 515 U.S. 506, 510 (1995);</w:t>
      </w:r>
      <w:r>
        <w:t xml:space="preserve"> </w:t>
      </w:r>
      <w:r>
        <w:rPr>
          <w:i/>
          <w:iCs/>
        </w:rPr>
        <w:t xml:space="preserve">Richardson</w:t>
      </w:r>
      <w:r>
        <w:rPr>
          <w:i/>
          <w:iCs/>
        </w:rPr>
        <w:t xml:space="preserve"> </w:t>
      </w:r>
      <w:r>
        <w:rPr>
          <w:i/>
          <w:iCs/>
        </w:rPr>
        <w:t xml:space="preserve">v. United States</w:t>
      </w:r>
      <w:r>
        <w:t xml:space="preserve">, 526 U.S. 813, 817 (1999);</w:t>
      </w:r>
      <w:r>
        <w:t xml:space="preserve"> </w:t>
      </w:r>
      <w:r>
        <w:rPr>
          <w:i/>
          <w:iCs/>
        </w:rPr>
        <w:t xml:space="preserve">Apprendi</w:t>
      </w:r>
      <w:r>
        <w:rPr>
          <w:i/>
          <w:iCs/>
        </w:rPr>
        <w:t xml:space="preserve"> </w:t>
      </w:r>
      <w:r>
        <w:rPr>
          <w:i/>
          <w:iCs/>
        </w:rPr>
        <w:t xml:space="preserve">v. New Jersey</w:t>
      </w:r>
      <w:r>
        <w:t xml:space="preserve">, 530 U.S. 466, 477 (2000);</w:t>
      </w:r>
      <w:r>
        <w:t xml:space="preserve"> </w:t>
      </w:r>
      <w:r>
        <w:rPr>
          <w:i/>
          <w:iCs/>
        </w:rPr>
        <w:t xml:space="preserve">S.</w:t>
      </w:r>
      <w:r>
        <w:rPr>
          <w:i/>
          <w:iCs/>
        </w:rPr>
        <w:t xml:space="preserve"> </w:t>
      </w:r>
      <w:r>
        <w:rPr>
          <w:i/>
          <w:iCs/>
        </w:rPr>
        <w:t xml:space="preserve">Union Co. v. United States</w:t>
      </w:r>
      <w:r>
        <w:t xml:space="preserve">, 567 U.S. 343, 356 (2012);</w:t>
      </w:r>
      <w:r>
        <w:t xml:space="preserve"> </w:t>
      </w:r>
      <w:r>
        <w:rPr>
          <w:i/>
          <w:iCs/>
        </w:rPr>
        <w:t xml:space="preserve">Blakely</w:t>
      </w:r>
      <w:r>
        <w:rPr>
          <w:i/>
          <w:iCs/>
        </w:rPr>
        <w:t xml:space="preserve"> </w:t>
      </w:r>
      <w:r>
        <w:rPr>
          <w:i/>
          <w:iCs/>
        </w:rPr>
        <w:t xml:space="preserve">v. Washington</w:t>
      </w:r>
      <w:r>
        <w:t xml:space="preserve">, 542 U.S. 296, 301 (2004);</w:t>
      </w:r>
      <w:r>
        <w:t xml:space="preserve"> </w:t>
      </w:r>
      <w:r>
        <w:rPr>
          <w:i/>
          <w:iCs/>
        </w:rPr>
        <w:t xml:space="preserve">United</w:t>
      </w:r>
      <w:r>
        <w:rPr>
          <w:i/>
          <w:iCs/>
        </w:rPr>
        <w:t xml:space="preserve"> </w:t>
      </w:r>
      <w:r>
        <w:rPr>
          <w:i/>
          <w:iCs/>
        </w:rPr>
        <w:t xml:space="preserve">States v. Booker</w:t>
      </w:r>
      <w:r>
        <w:t xml:space="preserve">, 543 U.S. 220, 238 (2005);</w:t>
      </w:r>
      <w:r>
        <w:t xml:space="preserve"> </w:t>
      </w:r>
      <w:r>
        <w:rPr>
          <w:i/>
          <w:iCs/>
        </w:rPr>
        <w:t xml:space="preserve">Descamps</w:t>
      </w:r>
      <w:r>
        <w:rPr>
          <w:i/>
          <w:iCs/>
        </w:rPr>
        <w:t xml:space="preserve"> </w:t>
      </w:r>
      <w:r>
        <w:rPr>
          <w:i/>
          <w:iCs/>
        </w:rPr>
        <w:t xml:space="preserve">v. United States</w:t>
      </w:r>
      <w:r>
        <w:t xml:space="preserve">, 570 U.S. 254, 269 (2013);</w:t>
      </w:r>
      <w:r>
        <w:t xml:space="preserve"> </w:t>
      </w:r>
      <w:r>
        <w:rPr>
          <w:i/>
          <w:iCs/>
        </w:rPr>
        <w:t xml:space="preserve">United</w:t>
      </w:r>
      <w:r>
        <w:rPr>
          <w:i/>
          <w:iCs/>
        </w:rPr>
        <w:t xml:space="preserve"> </w:t>
      </w:r>
      <w:r>
        <w:rPr>
          <w:i/>
          <w:iCs/>
        </w:rPr>
        <w:t xml:space="preserve">States v. Haymond</w:t>
      </w:r>
      <w:r>
        <w:t xml:space="preserve">, 139 S. Ct. 2369, 2376 (2019) (plurality opinion).</w:t>
      </w:r>
    </w:p>
  </w:footnote>
  <w:footnote w:id="105">
    <w:p>
      <w:pPr>
        <w:pStyle w:val="FootnoteText"/>
      </w:pPr>
      <w:r>
        <w:rPr>
          <w:rStyle w:val="FootnoteReference"/>
        </w:rPr>
        <w:footnoteRef/>
      </w:r>
      <w:r>
        <w:t xml:space="preserve"> </w:t>
      </w:r>
      <w:r>
        <w:t xml:space="preserve">The</w:t>
      </w:r>
      <w:r>
        <w:t xml:space="preserve"> </w:t>
      </w:r>
      <w:r>
        <w:rPr>
          <w:i/>
          <w:iCs/>
        </w:rPr>
        <w:t xml:space="preserve">Apodaca</w:t>
      </w:r>
      <w:r>
        <w:rPr>
          <w:i/>
          <w:iCs/>
        </w:rPr>
        <w:t xml:space="preserve"> </w:t>
      </w:r>
      <w:r>
        <w:rPr>
          <w:i/>
          <w:iCs/>
        </w:rPr>
        <w:t xml:space="preserve">v. Oregon</w:t>
      </w:r>
      <w:r>
        <w:t xml:space="preserve">, 406 U.S. 404 (1972), plurality decision is often misunderstood. Justice Powell stood alone as the only justice suggesting the Bill of Rights did not become fully incorporated by the Sixth Amendment.</w:t>
      </w:r>
    </w:p>
  </w:footnote>
  <w:footnote w:id="106">
    <w:p>
      <w:pPr>
        <w:pStyle w:val="FootnoteText"/>
      </w:pPr>
      <w:r>
        <w:rPr>
          <w:rStyle w:val="FootnoteReference"/>
        </w:rPr>
        <w:footnoteRef/>
      </w:r>
      <w:r>
        <w:t xml:space="preserve"> </w:t>
      </w:r>
      <w:r>
        <w:t xml:space="preserve">But only four joined the opinion to vacate the conviction.</w:t>
      </w:r>
    </w:p>
  </w:footnote>
  <w:footnote w:id="107">
    <w:p>
      <w:pPr>
        <w:pStyle w:val="FootnoteText"/>
      </w:pPr>
      <w:r>
        <w:rPr>
          <w:rStyle w:val="FootnoteReference"/>
        </w:rPr>
        <w:footnoteRef/>
      </w:r>
      <w:r>
        <w:t xml:space="preserve"> </w:t>
      </w:r>
      <w:r>
        <w:rPr>
          <w:i/>
          <w:iCs/>
        </w:rPr>
        <w:t xml:space="preserve">See, e.g.</w:t>
      </w:r>
      <w:r>
        <w:t xml:space="preserve">,</w:t>
      </w:r>
      <w:r>
        <w:t xml:space="preserve"> </w:t>
      </w:r>
      <w:r>
        <w:rPr>
          <w:i/>
          <w:iCs/>
        </w:rPr>
        <w:t xml:space="preserve">State</w:t>
      </w:r>
      <w:r>
        <w:rPr>
          <w:i/>
          <w:iCs/>
        </w:rPr>
        <w:t xml:space="preserve"> </w:t>
      </w:r>
      <w:r>
        <w:rPr>
          <w:i/>
          <w:iCs/>
        </w:rPr>
        <w:t xml:space="preserve">v. Whitfield</w:t>
      </w:r>
      <w:r>
        <w:t xml:space="preserve">, 107 S.W.3d 253, 267 (Mo. 2003) (“While Missouri shares many of the policy concerns</w:t>
      </w:r>
      <w:r>
        <w:t xml:space="preserve"> </w:t>
      </w:r>
      <w:r>
        <w:rPr>
          <w:i/>
          <w:iCs/>
        </w:rPr>
        <w:t xml:space="preserve">Teague</w:t>
      </w:r>
      <w:r>
        <w:t xml:space="preserve"> </w:t>
      </w:r>
      <w:r>
        <w:t xml:space="preserve">discusses concerning the finality of convictions, these concerns are well protected by the three-factor test set out in</w:t>
      </w:r>
      <w:r>
        <w:t xml:space="preserve"> </w:t>
      </w:r>
      <w:r>
        <w:rPr>
          <w:i/>
          <w:iCs/>
        </w:rPr>
        <w:t xml:space="preserve">Linkletter–Stovall</w:t>
      </w:r>
      <w:r>
        <w:t xml:space="preserve"> </w:t>
      </w:r>
      <w:r>
        <w:t xml:space="preserve">and traditionally applied by this Court.”) . Some courts have adopted</w:t>
      </w:r>
      <w:r>
        <w:t xml:space="preserve"> </w:t>
      </w:r>
      <w:r>
        <w:rPr>
          <w:i/>
          <w:iCs/>
        </w:rPr>
        <w:t xml:space="preserve">Teague</w:t>
      </w:r>
      <w:r>
        <w:t xml:space="preserve"> </w:t>
      </w:r>
      <w:r>
        <w:t xml:space="preserve">but kept the ability to find retroactivity even if it may be barred by</w:t>
      </w:r>
      <w:r>
        <w:t xml:space="preserve"> </w:t>
      </w:r>
      <w:r>
        <w:rPr>
          <w:i/>
          <w:iCs/>
        </w:rPr>
        <w:t xml:space="preserve">Teague</w:t>
      </w:r>
      <w:r>
        <w:t xml:space="preserve">.</w:t>
      </w:r>
      <w:r>
        <w:t xml:space="preserve"> </w:t>
      </w:r>
      <w:r>
        <w:rPr>
          <w:i/>
          <w:iCs/>
        </w:rPr>
        <w:t xml:space="preserve">See, e.g.</w:t>
      </w:r>
      <w:r>
        <w:t xml:space="preserve">,</w:t>
      </w:r>
      <w:r>
        <w:t xml:space="preserve"> </w:t>
      </w:r>
      <w:r>
        <w:rPr>
          <w:i/>
          <w:iCs/>
        </w:rPr>
        <w:t xml:space="preserve">Colwell</w:t>
      </w:r>
      <w:r>
        <w:rPr>
          <w:i/>
          <w:iCs/>
        </w:rPr>
        <w:t xml:space="preserve"> </w:t>
      </w:r>
      <w:r>
        <w:rPr>
          <w:i/>
          <w:iCs/>
        </w:rPr>
        <w:t xml:space="preserve">v. State</w:t>
      </w:r>
      <w:r>
        <w:t xml:space="preserve">, 59 P.3d 463, 471 (Nev. 2002) (“We adopt the general framework of</w:t>
      </w:r>
      <w:r>
        <w:t xml:space="preserve"> </w:t>
      </w:r>
      <w:r>
        <w:rPr>
          <w:i/>
          <w:iCs/>
        </w:rPr>
        <w:t xml:space="preserve">Teague</w:t>
      </w:r>
      <w:r>
        <w:t xml:space="preserve">, but reserve our prerogative to define and determine within this framework.”). Others have been explicit that their state courts, and not the U.S. Supreme Court, will decide whether a rule is watershed.</w:t>
      </w:r>
      <w:r>
        <w:t xml:space="preserve"> </w:t>
      </w:r>
      <w:r>
        <w:rPr>
          <w:i/>
          <w:iCs/>
        </w:rPr>
        <w:t xml:space="preserve">Rhoades</w:t>
      </w:r>
      <w:r>
        <w:rPr>
          <w:i/>
          <w:iCs/>
        </w:rPr>
        <w:t xml:space="preserve"> </w:t>
      </w:r>
      <w:r>
        <w:rPr>
          <w:i/>
          <w:iCs/>
        </w:rPr>
        <w:t xml:space="preserve">v. State</w:t>
      </w:r>
      <w:r>
        <w:t xml:space="preserve">, 233 P.3d 61, 70 (Idaho 2010) (“[W]hen deciding whether to give retroactive effect to a decision of the U.S. Supreme Court [for purposes of conducting the</w:t>
      </w:r>
      <w:r>
        <w:t xml:space="preserve"> </w:t>
      </w:r>
      <w:r>
        <w:rPr>
          <w:i/>
          <w:iCs/>
        </w:rPr>
        <w:t xml:space="preserve">Teague</w:t>
      </w:r>
      <w:r>
        <w:t xml:space="preserve"> </w:t>
      </w:r>
      <w:r>
        <w:t xml:space="preserve">analysis], this Court is not required to blindly follow that court’s view of what constitutes a new rule or whether a new rule is a watershed rule.”). Additionally, as described in</w:t>
      </w:r>
      <w:r>
        <w:t xml:space="preserve"> </w:t>
      </w:r>
      <w:r>
        <w:rPr>
          <w:i/>
          <w:iCs/>
        </w:rPr>
        <w:t xml:space="preserve">Powell</w:t>
      </w:r>
      <w:r>
        <w:rPr>
          <w:i/>
          <w:iCs/>
        </w:rPr>
        <w:t xml:space="preserve"> </w:t>
      </w:r>
      <w:r>
        <w:rPr>
          <w:i/>
          <w:iCs/>
        </w:rPr>
        <w:t xml:space="preserve">v. State</w:t>
      </w:r>
      <w:r>
        <w:t xml:space="preserve">, Delaware “declined to adopt a formal static test for determining the meaning of a ‘new rule’ for the purposes of deciding a Delaware postconviction proceeding.”). 153</w:t>
      </w:r>
      <w:r>
        <w:t xml:space="preserve"> </w:t>
      </w:r>
      <w:r>
        <w:t xml:space="preserve">A.3d 69, 77 (Del. 2016).</w:t>
      </w:r>
    </w:p>
  </w:footnote>
  <w:footnote w:id="108">
    <w:p>
      <w:pPr>
        <w:pStyle w:val="FootnoteText"/>
      </w:pPr>
      <w:r>
        <w:rPr>
          <w:rStyle w:val="FootnoteReference"/>
        </w:rPr>
        <w:footnoteRef/>
      </w:r>
      <w:r>
        <w:t xml:space="preserve"> </w:t>
      </w:r>
      <w:r>
        <w:t xml:space="preserve">The State also cites the per curiam in</w:t>
      </w:r>
      <w:r>
        <w:t xml:space="preserve"> </w:t>
      </w:r>
      <w:r>
        <w:rPr>
          <w:i/>
          <w:iCs/>
        </w:rPr>
        <w:t xml:space="preserve">State</w:t>
      </w:r>
      <w:r>
        <w:rPr>
          <w:i/>
          <w:iCs/>
        </w:rPr>
        <w:t xml:space="preserve"> </w:t>
      </w:r>
      <w:r>
        <w:rPr>
          <w:i/>
          <w:iCs/>
        </w:rPr>
        <w:t xml:space="preserve">v. Ferreira</w:t>
      </w:r>
      <w:r>
        <w:t xml:space="preserve">, 19</w:t>
      </w:r>
      <w:r>
        <w:noBreakHyphen/>
      </w:r>
      <w:r>
        <w:t xml:space="preserve">1929 (La. 10/14/20); 302 So.3d 1096. But</w:t>
      </w:r>
      <w:r>
        <w:t xml:space="preserve"> </w:t>
      </w:r>
      <w:r>
        <w:rPr>
          <w:i/>
          <w:iCs/>
        </w:rPr>
        <w:t xml:space="preserve">Ferreira</w:t>
      </w:r>
      <w:r>
        <w:t xml:space="preserve"> </w:t>
      </w:r>
      <w:r>
        <w:t xml:space="preserve">was a case where the rule was not considered new, and the application was not timely filed. The State also improperly lists</w:t>
      </w:r>
      <w:r>
        <w:t xml:space="preserve"> </w:t>
      </w:r>
      <w:r>
        <w:rPr>
          <w:i/>
          <w:iCs/>
        </w:rPr>
        <w:t xml:space="preserve">Chaidez</w:t>
      </w:r>
      <w:r>
        <w:rPr>
          <w:i/>
          <w:iCs/>
        </w:rPr>
        <w:t xml:space="preserve"> </w:t>
      </w:r>
      <w:r>
        <w:rPr>
          <w:i/>
          <w:iCs/>
        </w:rPr>
        <w:t xml:space="preserve">v. US</w:t>
      </w:r>
      <w:r>
        <w:t xml:space="preserve">, 568 U.S. 342 (2013) (rejecting retroactivity of</w:t>
      </w:r>
      <w:r>
        <w:t xml:space="preserve"> </w:t>
      </w:r>
      <w:r>
        <w:rPr>
          <w:i/>
          <w:iCs/>
        </w:rPr>
        <w:t xml:space="preserve">Padilla</w:t>
      </w:r>
      <w:r>
        <w:rPr>
          <w:i/>
          <w:iCs/>
        </w:rPr>
        <w:t xml:space="preserve"> </w:t>
      </w:r>
      <w:r>
        <w:rPr>
          <w:i/>
          <w:iCs/>
        </w:rPr>
        <w:t xml:space="preserve">v. Kentucky</w:t>
      </w:r>
      <w:r>
        <w:t xml:space="preserve">, 559 U.S. 356 (2010)), in its federal retroactivity case list. The argument there was whether</w:t>
      </w:r>
      <w:r>
        <w:t xml:space="preserve"> </w:t>
      </w:r>
      <w:r>
        <w:rPr>
          <w:i/>
          <w:iCs/>
        </w:rPr>
        <w:t xml:space="preserve">Padilla</w:t>
      </w:r>
      <w:r>
        <w:t xml:space="preserve"> </w:t>
      </w:r>
      <w:r>
        <w:t xml:space="preserve">was a new or old rule; counsel did not argue the watershed test before the Court. Following its most recent usage of the</w:t>
      </w:r>
      <w:r>
        <w:t xml:space="preserve"> </w:t>
      </w:r>
      <w:r>
        <w:rPr>
          <w:i/>
          <w:iCs/>
        </w:rPr>
        <w:t xml:space="preserve">Teague</w:t>
      </w:r>
      <w:r>
        <w:t xml:space="preserve"> </w:t>
      </w:r>
      <w:r>
        <w:t xml:space="preserve">framework, the U.S. Supreme Court reversed the interpretation of the Louisiana Supreme Court just three years later with</w:t>
      </w:r>
      <w:r>
        <w:t xml:space="preserve"> </w:t>
      </w:r>
      <w:r>
        <w:rPr>
          <w:i/>
          <w:iCs/>
        </w:rPr>
        <w:t xml:space="preserve">Montgomery</w:t>
      </w:r>
      <w:r>
        <w:rPr>
          <w:i/>
          <w:iCs/>
        </w:rPr>
        <w:t xml:space="preserve"> </w:t>
      </w:r>
      <w:r>
        <w:rPr>
          <w:i/>
          <w:iCs/>
        </w:rPr>
        <w:t xml:space="preserve">v. Louisiana</w:t>
      </w:r>
      <w:r>
        <w:t xml:space="preserve">, 577 U.S. 190 (2016).</w:t>
      </w:r>
    </w:p>
  </w:footnote>
  <w:footnote w:id="109">
    <w:p>
      <w:pPr>
        <w:pStyle w:val="FootnoteText"/>
      </w:pPr>
      <w:r>
        <w:rPr>
          <w:rStyle w:val="FootnoteReference"/>
        </w:rPr>
        <w:footnoteRef/>
      </w:r>
      <w:r>
        <w:t xml:space="preserve"> </w:t>
      </w:r>
      <w:r>
        <w:t xml:space="preserve">Such an action would further rob Mr. Reddick, and the hundreds similarly situated, of their rights afforded to them under Louisiana law. It would allow the State, as it has for over 120 years, to intentionally strip constitutional guarantees and meaningful participation from its Black citizenry. At stake is the chance to obtain a constitutional trial for the approximately 1,500 identified, mostly Black, still incarcerated individuals. At stake is the individual dignity of the 1.5 million Black citizens of Louisiana who will know once this matter is resolved whether Louisiana law serves us all, or whether it serves the furtherance of white supremacy.</w:t>
      </w:r>
    </w:p>
  </w:footnote>
  <w:footnote w:id="110">
    <w:p>
      <w:pPr>
        <w:pStyle w:val="FootnoteText"/>
      </w:pPr>
      <w:r>
        <w:rPr>
          <w:rStyle w:val="FootnoteReference"/>
        </w:rPr>
        <w:footnoteRef/>
      </w:r>
      <w:r>
        <w:t xml:space="preserve"> </w:t>
      </w:r>
      <w:r>
        <w:t xml:space="preserve">Amici Curiae The</w:t>
      </w:r>
      <w:r>
        <w:t xml:space="preserve"> </w:t>
      </w:r>
      <w:r>
        <w:t xml:space="preserve">Promise of Justice Initiative et al,</w:t>
      </w:r>
      <w:r>
        <w:t xml:space="preserve"> </w:t>
      </w:r>
      <w:r>
        <w:rPr>
          <w:i/>
          <w:iCs/>
        </w:rPr>
        <w:t xml:space="preserve">Edwards v. Vannoy</w:t>
      </w:r>
      <w:r>
        <w:t xml:space="preserve">, No. 19–5807 (U.S. Sup. Ct., July 21, 2020),</w:t>
      </w:r>
      <w:r>
        <w:t xml:space="preserve"> </w:t>
      </w:r>
      <w:r>
        <w:rPr>
          <w:i/>
          <w:iCs/>
        </w:rPr>
        <w:t xml:space="preserve">available at</w:t>
      </w:r>
      <w:r>
        <w:t xml:space="preserve"> </w:t>
      </w:r>
      <w:r>
        <w:t xml:space="preserve">https://​www.​supremecourt.​gov/​DocketPDF/​19/​19</w:t>
      </w:r>
      <w:r>
        <w:noBreakHyphen/>
      </w:r>
      <w:r>
        <w:t xml:space="preserve">5807/​148311/​20200721163238941_19</w:t>
      </w:r>
      <w:r>
        <w:noBreakHyphen/>
      </w:r>
      <w:r>
        <w:t xml:space="preserve">5807.​Edwards.​Vannoy.​Amicus.​Promise%20of%20Justice%20Initiative.​pdf.</w:t>
      </w:r>
    </w:p>
  </w:footnote>
  <w:footnote w:id="111">
    <w:p>
      <w:pPr>
        <w:pStyle w:val="FootnoteText"/>
      </w:pPr>
      <w:r>
        <w:rPr>
          <w:rStyle w:val="FootnoteReference"/>
        </w:rPr>
        <w:footnoteRef/>
      </w:r>
      <w:r>
        <w:t xml:space="preserve"> </w:t>
      </w:r>
      <w:r>
        <w:t xml:space="preserve">Louis</w:t>
      </w:r>
      <w:r>
        <w:t xml:space="preserve"> </w:t>
      </w:r>
      <w:r>
        <w:t xml:space="preserve">“Woody” Jenkins,</w:t>
      </w:r>
      <w:r>
        <w:t xml:space="preserve"> </w:t>
      </w:r>
      <w:r>
        <w:rPr>
          <w:i/>
          <w:iCs/>
        </w:rPr>
        <w:t xml:space="preserve">The Declaration of Rights</w:t>
      </w:r>
      <w:r>
        <w:t xml:space="preserve">, 21 LOY. L. REV. 9, 11 (1975).</w:t>
      </w:r>
    </w:p>
  </w:footnote>
  <w:footnote w:id="112">
    <w:p>
      <w:pPr>
        <w:pStyle w:val="FootnoteText"/>
      </w:pPr>
      <w:r>
        <w:rPr>
          <w:rStyle w:val="FootnoteReference"/>
        </w:rPr>
        <w:footnoteRef/>
      </w:r>
      <w:r>
        <w:t xml:space="preserve"> </w:t>
      </w:r>
      <w:r>
        <w:t xml:space="preserve">Further, Louisiana has rejected the tests of the federal Equal Protection Clause when discussing the Individual Dignity clause of Louisiana’s Constitution.</w:t>
      </w:r>
      <w:r>
        <w:t xml:space="preserve"> </w:t>
      </w:r>
      <w:r>
        <w:rPr>
          <w:i/>
          <w:iCs/>
        </w:rPr>
        <w:t xml:space="preserve">Sibley</w:t>
      </w:r>
      <w:r>
        <w:t xml:space="preserve">, 477 So.2d at 1107.</w:t>
      </w:r>
    </w:p>
  </w:footnote>
  <w:footnote w:id="113">
    <w:p>
      <w:pPr>
        <w:pStyle w:val="FootnoteText"/>
      </w:pPr>
      <w:r>
        <w:rPr>
          <w:rStyle w:val="FootnoteReference"/>
        </w:rPr>
        <w:footnoteRef/>
      </w:r>
      <w:r>
        <w:t xml:space="preserve"> </w:t>
      </w:r>
      <w:r>
        <w:t xml:space="preserve">This is similar to how Delaware has proceeded, using its own laws and constitution to guide its retroactivity decisions.</w:t>
      </w:r>
    </w:p>
  </w:footnote>
  <w:footnote w:id="114">
    <w:p>
      <w:pPr>
        <w:pStyle w:val="FootnoteText"/>
      </w:pPr>
      <w:r>
        <w:rPr>
          <w:rStyle w:val="FootnoteReference"/>
        </w:rPr>
        <w:footnoteRef/>
      </w:r>
      <w:r>
        <w:t xml:space="preserve"> </w:t>
      </w:r>
      <w:r>
        <w:rPr>
          <w:i/>
          <w:iCs/>
        </w:rPr>
        <w:t xml:space="preserve">See</w:t>
      </w:r>
      <w:r>
        <w:t xml:space="preserve"> </w:t>
      </w:r>
      <w:r>
        <w:t xml:space="preserve">Amici Curiae The Promise of Justice Initiative,</w:t>
      </w:r>
      <w:r>
        <w:t xml:space="preserve"> </w:t>
      </w:r>
      <w:r>
        <w:rPr>
          <w:i/>
          <w:iCs/>
        </w:rPr>
        <w:t xml:space="preserve">supra</w:t>
      </w:r>
      <w:r>
        <w:t xml:space="preserve"> </w:t>
      </w:r>
      <w:r>
        <w:t xml:space="preserve">note 102, at 9. The State accepted the accuracy of these numbers at oral argument.</w:t>
      </w:r>
      <w:r>
        <w:t xml:space="preserve"> </w:t>
      </w:r>
      <w:r>
        <w:rPr>
          <w:i/>
          <w:iCs/>
        </w:rPr>
        <w:t xml:space="preserve">Edwards</w:t>
      </w:r>
      <w:r>
        <w:rPr>
          <w:i/>
          <w:iCs/>
        </w:rPr>
        <w:t xml:space="preserve"> </w:t>
      </w:r>
      <w:r>
        <w:rPr>
          <w:i/>
          <w:iCs/>
        </w:rPr>
        <w:t xml:space="preserve">v. Vannoy</w:t>
      </w:r>
      <w:r>
        <w:t xml:space="preserve"> </w:t>
      </w:r>
      <w:r>
        <w:t xml:space="preserve">No. 19–5807 Oral Argument Transcript at 42, Dec. 2, 2020,</w:t>
      </w:r>
      <w:r>
        <w:t xml:space="preserve"> </w:t>
      </w:r>
      <w:r>
        <w:rPr>
          <w:i/>
          <w:iCs/>
        </w:rPr>
        <w:t xml:space="preserve">available at</w:t>
      </w:r>
      <w:r>
        <w:t xml:space="preserve"> </w:t>
      </w:r>
      <w:r>
        <w:t xml:space="preserve">https://​www.​supremecourt.​gov/​oral_arguments/​argument_transcripts/​2020/​19</w:t>
      </w:r>
      <w:r>
        <w:noBreakHyphen/>
      </w:r>
      <w:r>
        <w:t xml:space="preserve">5807_i4dj.​pdf. In July of 2020, the number of people incarcerated based on non-unanimous jury convictions was just over 1,600. Today that number is closer to 1,500. A number of people with non-unanimous jury verdicts who filed</w:t>
      </w:r>
      <w:r>
        <w:t xml:space="preserve"> </w:t>
      </w:r>
      <w:r>
        <w:rPr>
          <w:i/>
          <w:iCs/>
        </w:rPr>
        <w:t xml:space="preserve">Ramos</w:t>
      </w:r>
      <w:r>
        <w:t xml:space="preserve">-​based post-conviction relief applications did not survive the pandemic and died since filing applications, including Barry Baker (Case No. 37,464 2nd JDC); Corinthians Milton (Case No. 194394 1st JDC); Joe Stephens (Case No. 126696 1st JDC); William Curtis (Case No. 94–610 29th JDC); Theiring Jerome Charles (Case No. 97–145–0900 16th JDC); Arthur Thomas (Case No. 07–4055 24th JDC); Raymond Shaw (Case No. 98–5802 24th JDC); Henry McMillan (Case No. 15–CR7–129462 22nd JDC); Thomas Daniel (Case No 149075 22nd JDC); and Lee Pipkins (Case No 11082–91 14th JDC). Others have completed their sentences, obtained relief through post-conviction plea agreements, or had their sentences vacated on other grounds.</w:t>
      </w:r>
    </w:p>
  </w:footnote>
  <w:footnote w:id="115">
    <w:p>
      <w:pPr>
        <w:pStyle w:val="FootnoteText"/>
      </w:pPr>
      <w:r>
        <w:rPr>
          <w:rStyle w:val="FootnoteReference"/>
        </w:rPr>
        <w:footnoteRef/>
      </w:r>
      <w:r>
        <w:t xml:space="preserve"> </w:t>
      </w:r>
      <w:r>
        <w:t xml:space="preserve">Amici Curiae The Promise of Justice Initiative,</w:t>
      </w:r>
      <w:r>
        <w:t xml:space="preserve"> </w:t>
      </w:r>
      <w:r>
        <w:rPr>
          <w:i/>
          <w:iCs/>
        </w:rPr>
        <w:t xml:space="preserve">supra</w:t>
      </w:r>
      <w:r>
        <w:t xml:space="preserve"> </w:t>
      </w:r>
      <w:r>
        <w:t xml:space="preserve">note 102, at Appendix A.</w:t>
      </w:r>
    </w:p>
  </w:footnote>
  <w:footnote w:id="116">
    <w:p>
      <w:pPr>
        <w:pStyle w:val="FootnoteText"/>
      </w:pPr>
      <w:r>
        <w:rPr>
          <w:rStyle w:val="FootnoteReference"/>
        </w:rPr>
        <w:footnoteRef/>
      </w:r>
      <w:r>
        <w:t xml:space="preserve"> </w:t>
      </w:r>
      <w:r>
        <w:rPr>
          <w:i/>
          <w:iCs/>
        </w:rPr>
        <w:t xml:space="preserve">Trials:</w:t>
      </w:r>
      <w:r>
        <w:rPr>
          <w:i/>
          <w:iCs/>
        </w:rPr>
        <w:t xml:space="preserve"> </w:t>
      </w:r>
      <w:r>
        <w:rPr>
          <w:i/>
          <w:iCs/>
        </w:rPr>
        <w:t xml:space="preserve">And the Court Said unto Gideon</w:t>
      </w:r>
      <w:r>
        <w:t xml:space="preserve">, TIME MAGAZINE, Oct. 18, 1963, https://​content.​time.​com/​time/​subscriber/​article/​0,33009,873770</w:t>
      </w:r>
      <w:r>
        <w:noBreakHyphen/>
      </w:r>
      <w:r>
        <w:t xml:space="preserve">1,00.​html. Notably, more than half of Florida’s prison population had to have new trials. Here, only about 5% of Louisiana’s prison population is impacted, and fewer filed timely post-conviction applications.</w:t>
      </w:r>
    </w:p>
  </w:footnote>
  <w:footnote w:id="117">
    <w:p>
      <w:pPr>
        <w:pStyle w:val="FootnoteText"/>
      </w:pPr>
      <w:r>
        <w:rPr>
          <w:rStyle w:val="FootnoteReference"/>
        </w:rPr>
        <w:footnoteRef/>
      </w:r>
      <w:r>
        <w:t xml:space="preserve"> </w:t>
      </w:r>
      <w:r>
        <w:rPr>
          <w:i/>
          <w:iCs/>
        </w:rPr>
        <w:t xml:space="preserve">Id.</w:t>
      </w:r>
    </w:p>
  </w:footnote>
  <w:footnote w:id="118">
    <w:p>
      <w:pPr>
        <w:pStyle w:val="FootnoteText"/>
      </w:pPr>
      <w:r>
        <w:rPr>
          <w:rStyle w:val="FootnoteReference"/>
        </w:rPr>
        <w:footnoteRef/>
      </w:r>
      <w:r>
        <w:t xml:space="preserve"> </w:t>
      </w:r>
      <w:r>
        <w:rPr>
          <w:i/>
          <w:iCs/>
        </w:rPr>
        <w:t xml:space="preserve">Id.</w:t>
      </w:r>
    </w:p>
  </w:footnote>
  <w:footnote w:id="119">
    <w:p>
      <w:pPr>
        <w:pStyle w:val="FootnoteText"/>
      </w:pPr>
      <w:r>
        <w:rPr>
          <w:rStyle w:val="FootnoteReference"/>
        </w:rPr>
        <w:footnoteRef/>
      </w:r>
      <w:r>
        <w:t xml:space="preserve"> </w:t>
      </w:r>
      <w:r>
        <w:rPr>
          <w:i/>
          <w:iCs/>
        </w:rPr>
        <w:t xml:space="preserve">State</w:t>
      </w:r>
      <w:r>
        <w:rPr>
          <w:i/>
          <w:iCs/>
        </w:rPr>
        <w:t xml:space="preserve"> </w:t>
      </w:r>
      <w:r>
        <w:rPr>
          <w:i/>
          <w:iCs/>
        </w:rPr>
        <w:t xml:space="preserve">v. Dotson</w:t>
      </w:r>
      <w:r>
        <w:t xml:space="preserve">, 2019</w:t>
      </w:r>
      <w:r>
        <w:noBreakHyphen/>
      </w:r>
      <w:r>
        <w:t xml:space="preserve">01828 (La. 06/03/20); 296 So.3d 1059;</w:t>
      </w:r>
      <w:r>
        <w:t xml:space="preserve"> </w:t>
      </w:r>
      <w:r>
        <w:rPr>
          <w:i/>
          <w:iCs/>
        </w:rPr>
        <w:t xml:space="preserve">State</w:t>
      </w:r>
      <w:r>
        <w:rPr>
          <w:i/>
          <w:iCs/>
        </w:rPr>
        <w:t xml:space="preserve"> </w:t>
      </w:r>
      <w:r>
        <w:rPr>
          <w:i/>
          <w:iCs/>
        </w:rPr>
        <w:t xml:space="preserve">v. Cook</w:t>
      </w:r>
      <w:r>
        <w:t xml:space="preserve">, 2020</w:t>
      </w:r>
      <w:r>
        <w:noBreakHyphen/>
      </w:r>
      <w:r>
        <w:t xml:space="preserve">00001 (La. 08/14/20); 300 So.3d 838;</w:t>
      </w:r>
      <w:r>
        <w:t xml:space="preserve"> </w:t>
      </w:r>
      <w:r>
        <w:rPr>
          <w:i/>
          <w:iCs/>
        </w:rPr>
        <w:t xml:space="preserve">State</w:t>
      </w:r>
      <w:r>
        <w:rPr>
          <w:i/>
          <w:iCs/>
        </w:rPr>
        <w:t xml:space="preserve"> </w:t>
      </w:r>
      <w:r>
        <w:rPr>
          <w:i/>
          <w:iCs/>
        </w:rPr>
        <w:t xml:space="preserve">v. Parish</w:t>
      </w:r>
      <w:r>
        <w:t xml:space="preserve">, 2020</w:t>
      </w:r>
      <w:r>
        <w:noBreakHyphen/>
      </w:r>
      <w:r>
        <w:t xml:space="preserve">00072 (La. 08/14/20); 300 So.3d 861;</w:t>
      </w:r>
      <w:r>
        <w:t xml:space="preserve"> </w:t>
      </w:r>
      <w:r>
        <w:rPr>
          <w:i/>
          <w:iCs/>
        </w:rPr>
        <w:t xml:space="preserve">State</w:t>
      </w:r>
      <w:r>
        <w:rPr>
          <w:i/>
          <w:iCs/>
        </w:rPr>
        <w:t xml:space="preserve"> </w:t>
      </w:r>
      <w:r>
        <w:rPr>
          <w:i/>
          <w:iCs/>
        </w:rPr>
        <w:t xml:space="preserve">v. McGuire</w:t>
      </w:r>
      <w:r>
        <w:t xml:space="preserve">, 2019</w:t>
      </w:r>
      <w:r>
        <w:noBreakHyphen/>
      </w:r>
      <w:r>
        <w:t xml:space="preserve">01632 (La. 08/14/20); 300 So.3d 830;</w:t>
      </w:r>
      <w:r>
        <w:t xml:space="preserve"> </w:t>
      </w:r>
      <w:r>
        <w:rPr>
          <w:i/>
          <w:iCs/>
        </w:rPr>
        <w:t xml:space="preserve">State</w:t>
      </w:r>
      <w:r>
        <w:rPr>
          <w:i/>
          <w:iCs/>
        </w:rPr>
        <w:t xml:space="preserve"> </w:t>
      </w:r>
      <w:r>
        <w:rPr>
          <w:i/>
          <w:iCs/>
        </w:rPr>
        <w:t xml:space="preserve">v. Johnson</w:t>
      </w:r>
      <w:r>
        <w:t xml:space="preserve">, 2019</w:t>
      </w:r>
      <w:r>
        <w:noBreakHyphen/>
      </w:r>
      <w:r>
        <w:t xml:space="preserve">02075 (La. 08/14/20); 300 So.3d 858;</w:t>
      </w:r>
      <w:r>
        <w:t xml:space="preserve"> </w:t>
      </w:r>
      <w:r>
        <w:rPr>
          <w:i/>
          <w:iCs/>
        </w:rPr>
        <w:t xml:space="preserve">State</w:t>
      </w:r>
      <w:r>
        <w:rPr>
          <w:i/>
          <w:iCs/>
        </w:rPr>
        <w:t xml:space="preserve"> </w:t>
      </w:r>
      <w:r>
        <w:rPr>
          <w:i/>
          <w:iCs/>
        </w:rPr>
        <w:t xml:space="preserve">v. Spencer</w:t>
      </w:r>
      <w:r>
        <w:t xml:space="preserve">, 2019</w:t>
      </w:r>
      <w:r>
        <w:noBreakHyphen/>
      </w:r>
      <w:r>
        <w:t xml:space="preserve">01318 (La. 08/14/20); 300 So.3d 855;</w:t>
      </w:r>
      <w:r>
        <w:t xml:space="preserve"> </w:t>
      </w:r>
      <w:r>
        <w:rPr>
          <w:i/>
          <w:iCs/>
        </w:rPr>
        <w:t xml:space="preserve">State</w:t>
      </w:r>
      <w:r>
        <w:rPr>
          <w:i/>
          <w:iCs/>
        </w:rPr>
        <w:t xml:space="preserve"> </w:t>
      </w:r>
      <w:r>
        <w:rPr>
          <w:i/>
          <w:iCs/>
        </w:rPr>
        <w:t xml:space="preserve">v. Williams</w:t>
      </w:r>
      <w:r>
        <w:t xml:space="preserve">, 2020</w:t>
      </w:r>
      <w:r>
        <w:noBreakHyphen/>
      </w:r>
      <w:r>
        <w:t xml:space="preserve">00069 (La. 08/14/20); 300 So.3d 860;</w:t>
      </w:r>
      <w:r>
        <w:t xml:space="preserve"> </w:t>
      </w:r>
      <w:r>
        <w:rPr>
          <w:i/>
          <w:iCs/>
        </w:rPr>
        <w:t xml:space="preserve">State</w:t>
      </w:r>
      <w:r>
        <w:rPr>
          <w:i/>
          <w:iCs/>
        </w:rPr>
        <w:t xml:space="preserve"> </w:t>
      </w:r>
      <w:r>
        <w:rPr>
          <w:i/>
          <w:iCs/>
        </w:rPr>
        <w:t xml:space="preserve">v. Withers</w:t>
      </w:r>
      <w:r>
        <w:t xml:space="preserve">, 2020</w:t>
      </w:r>
      <w:r>
        <w:noBreakHyphen/>
      </w:r>
      <w:r>
        <w:t xml:space="preserve">00258 (La. 08/14/20); 300 So.3d 860;</w:t>
      </w:r>
      <w:r>
        <w:t xml:space="preserve"> </w:t>
      </w:r>
      <w:r>
        <w:rPr>
          <w:i/>
          <w:iCs/>
        </w:rPr>
        <w:t xml:space="preserve">State</w:t>
      </w:r>
      <w:r>
        <w:rPr>
          <w:i/>
          <w:iCs/>
        </w:rPr>
        <w:t xml:space="preserve"> </w:t>
      </w:r>
      <w:r>
        <w:rPr>
          <w:i/>
          <w:iCs/>
        </w:rPr>
        <w:t xml:space="preserve">v. Wardlaw</w:t>
      </w:r>
      <w:r>
        <w:t xml:space="preserve">, 2020</w:t>
      </w:r>
      <w:r>
        <w:noBreakHyphen/>
      </w:r>
      <w:r>
        <w:t xml:space="preserve">00004 (La. 08/14/20); 300 So.3d 859;</w:t>
      </w:r>
      <w:r>
        <w:t xml:space="preserve"> </w:t>
      </w:r>
      <w:r>
        <w:rPr>
          <w:i/>
          <w:iCs/>
        </w:rPr>
        <w:t xml:space="preserve">State</w:t>
      </w:r>
      <w:r>
        <w:rPr>
          <w:i/>
          <w:iCs/>
        </w:rPr>
        <w:t xml:space="preserve"> </w:t>
      </w:r>
      <w:r>
        <w:rPr>
          <w:i/>
          <w:iCs/>
        </w:rPr>
        <w:t xml:space="preserve">v. Sonnier</w:t>
      </w:r>
      <w:r>
        <w:t xml:space="preserve">, 2019</w:t>
      </w:r>
      <w:r>
        <w:noBreakHyphen/>
      </w:r>
      <w:r>
        <w:t xml:space="preserve">02066 (La. 08/14/20); 300 So.3d 857;</w:t>
      </w:r>
      <w:r>
        <w:t xml:space="preserve"> </w:t>
      </w:r>
      <w:r>
        <w:rPr>
          <w:i/>
          <w:iCs/>
        </w:rPr>
        <w:t xml:space="preserve">State</w:t>
      </w:r>
      <w:r>
        <w:rPr>
          <w:i/>
          <w:iCs/>
        </w:rPr>
        <w:t xml:space="preserve"> </w:t>
      </w:r>
      <w:r>
        <w:rPr>
          <w:i/>
          <w:iCs/>
        </w:rPr>
        <w:t xml:space="preserve">v. Pittman</w:t>
      </w:r>
      <w:r>
        <w:t xml:space="preserve">, 2019</w:t>
      </w:r>
      <w:r>
        <w:noBreakHyphen/>
      </w:r>
      <w:r>
        <w:t xml:space="preserve">01354 (La. 08/14/20); 300 So.3d 856;</w:t>
      </w:r>
      <w:r>
        <w:t xml:space="preserve"> </w:t>
      </w:r>
      <w:r>
        <w:rPr>
          <w:i/>
          <w:iCs/>
        </w:rPr>
        <w:t xml:space="preserve">State</w:t>
      </w:r>
      <w:r>
        <w:rPr>
          <w:i/>
          <w:iCs/>
        </w:rPr>
        <w:t xml:space="preserve"> </w:t>
      </w:r>
      <w:r>
        <w:rPr>
          <w:i/>
          <w:iCs/>
        </w:rPr>
        <w:t xml:space="preserve">v. Carter</w:t>
      </w:r>
      <w:r>
        <w:t xml:space="preserve">, 2019</w:t>
      </w:r>
      <w:r>
        <w:noBreakHyphen/>
      </w:r>
      <w:r>
        <w:t xml:space="preserve">02053 (La. 08/14/20); 300 So.3d 856;</w:t>
      </w:r>
      <w:r>
        <w:t xml:space="preserve"> </w:t>
      </w:r>
      <w:r>
        <w:rPr>
          <w:i/>
          <w:iCs/>
        </w:rPr>
        <w:t xml:space="preserve">State</w:t>
      </w:r>
      <w:r>
        <w:rPr>
          <w:i/>
          <w:iCs/>
        </w:rPr>
        <w:t xml:space="preserve"> </w:t>
      </w:r>
      <w:r>
        <w:rPr>
          <w:i/>
          <w:iCs/>
        </w:rPr>
        <w:t xml:space="preserve">v. Eaglin</w:t>
      </w:r>
      <w:r>
        <w:t xml:space="preserve">, 2019</w:t>
      </w:r>
      <w:r>
        <w:noBreakHyphen/>
      </w:r>
      <w:r>
        <w:t xml:space="preserve">01952 (La. 08/14/20); 300 So.3d 840;</w:t>
      </w:r>
      <w:r>
        <w:t xml:space="preserve"> </w:t>
      </w:r>
      <w:r>
        <w:rPr>
          <w:i/>
          <w:iCs/>
        </w:rPr>
        <w:t xml:space="preserve">State</w:t>
      </w:r>
      <w:r>
        <w:rPr>
          <w:i/>
          <w:iCs/>
        </w:rPr>
        <w:t xml:space="preserve"> </w:t>
      </w:r>
      <w:r>
        <w:rPr>
          <w:i/>
          <w:iCs/>
        </w:rPr>
        <w:t xml:space="preserve">v. Kidd</w:t>
      </w:r>
      <w:r>
        <w:t xml:space="preserve">, 2020</w:t>
      </w:r>
      <w:r>
        <w:noBreakHyphen/>
      </w:r>
      <w:r>
        <w:t xml:space="preserve">00055 (La. 08/14/20); 300 So.3d 828;</w:t>
      </w:r>
      <w:r>
        <w:t xml:space="preserve"> </w:t>
      </w:r>
      <w:r>
        <w:rPr>
          <w:i/>
          <w:iCs/>
        </w:rPr>
        <w:t xml:space="preserve">State</w:t>
      </w:r>
      <w:r>
        <w:rPr>
          <w:i/>
          <w:iCs/>
        </w:rPr>
        <w:t xml:space="preserve"> </w:t>
      </w:r>
      <w:r>
        <w:rPr>
          <w:i/>
          <w:iCs/>
        </w:rPr>
        <w:t xml:space="preserve">v. Skipper</w:t>
      </w:r>
      <w:r>
        <w:t xml:space="preserve">, 2020</w:t>
      </w:r>
      <w:r>
        <w:noBreakHyphen/>
      </w:r>
      <w:r>
        <w:t xml:space="preserve">00280 (La. 09/08/20); 301 So.3d 16;</w:t>
      </w:r>
      <w:r>
        <w:t xml:space="preserve"> </w:t>
      </w:r>
      <w:r>
        <w:rPr>
          <w:i/>
          <w:iCs/>
        </w:rPr>
        <w:t xml:space="preserve">State</w:t>
      </w:r>
      <w:r>
        <w:rPr>
          <w:i/>
          <w:iCs/>
        </w:rPr>
        <w:t xml:space="preserve"> </w:t>
      </w:r>
      <w:r>
        <w:rPr>
          <w:i/>
          <w:iCs/>
        </w:rPr>
        <w:t xml:space="preserve">v. Jackson</w:t>
      </w:r>
      <w:r>
        <w:t xml:space="preserve">, 202000037 (La. 09/08/20); 301 So.3d 33;</w:t>
      </w:r>
      <w:r>
        <w:t xml:space="preserve"> </w:t>
      </w:r>
      <w:r>
        <w:rPr>
          <w:i/>
          <w:iCs/>
        </w:rPr>
        <w:t xml:space="preserve">State</w:t>
      </w:r>
      <w:r>
        <w:rPr>
          <w:i/>
          <w:iCs/>
        </w:rPr>
        <w:t xml:space="preserve"> </w:t>
      </w:r>
      <w:r>
        <w:rPr>
          <w:i/>
          <w:iCs/>
        </w:rPr>
        <w:t xml:space="preserve">v. Hawthorne</w:t>
      </w:r>
      <w:r>
        <w:t xml:space="preserve">, 2020</w:t>
      </w:r>
      <w:r>
        <w:noBreakHyphen/>
      </w:r>
      <w:r>
        <w:t xml:space="preserve">00586 (La. 09/29/20), 2020 WL 5793105;</w:t>
      </w:r>
      <w:r>
        <w:t xml:space="preserve"> </w:t>
      </w:r>
      <w:r>
        <w:rPr>
          <w:i/>
          <w:iCs/>
        </w:rPr>
        <w:t xml:space="preserve">State</w:t>
      </w:r>
      <w:r>
        <w:rPr>
          <w:i/>
          <w:iCs/>
        </w:rPr>
        <w:t xml:space="preserve"> </w:t>
      </w:r>
      <w:r>
        <w:rPr>
          <w:i/>
          <w:iCs/>
        </w:rPr>
        <w:t xml:space="preserve">v. Johnson</w:t>
      </w:r>
      <w:r>
        <w:t xml:space="preserve">, 2020</w:t>
      </w:r>
      <w:r>
        <w:noBreakHyphen/>
      </w:r>
      <w:r>
        <w:t xml:space="preserve">00052 (La. 09/29/20), 2020 WL 5793805;</w:t>
      </w:r>
      <w:r>
        <w:t xml:space="preserve"> </w:t>
      </w:r>
      <w:r>
        <w:rPr>
          <w:i/>
          <w:iCs/>
        </w:rPr>
        <w:t xml:space="preserve">Silva</w:t>
      </w:r>
      <w:r>
        <w:rPr>
          <w:i/>
          <w:iCs/>
        </w:rPr>
        <w:t xml:space="preserve"> </w:t>
      </w:r>
      <w:r>
        <w:rPr>
          <w:i/>
          <w:iCs/>
        </w:rPr>
        <w:t xml:space="preserve">v. Vannoy</w:t>
      </w:r>
      <w:r>
        <w:t xml:space="preserve">, 2019</w:t>
      </w:r>
      <w:r>
        <w:noBreakHyphen/>
      </w:r>
      <w:r>
        <w:t xml:space="preserve">01861 (La. 06/03/20); 296 So.3d 1033;</w:t>
      </w:r>
      <w:r>
        <w:t xml:space="preserve"> </w:t>
      </w:r>
      <w:r>
        <w:rPr>
          <w:i/>
          <w:iCs/>
        </w:rPr>
        <w:t xml:space="preserve">Jones</w:t>
      </w:r>
      <w:r>
        <w:rPr>
          <w:i/>
          <w:iCs/>
        </w:rPr>
        <w:t xml:space="preserve"> </w:t>
      </w:r>
      <w:r>
        <w:rPr>
          <w:i/>
          <w:iCs/>
        </w:rPr>
        <w:t xml:space="preserve">v. State</w:t>
      </w:r>
      <w:r>
        <w:t xml:space="preserve">, 2019</w:t>
      </w:r>
      <w:r>
        <w:noBreakHyphen/>
      </w:r>
      <w:r>
        <w:t xml:space="preserve">01900 (La. 06/03/20); 296 So. 3d 1060;</w:t>
      </w:r>
      <w:r>
        <w:t xml:space="preserve"> </w:t>
      </w:r>
      <w:r>
        <w:rPr>
          <w:i/>
          <w:iCs/>
        </w:rPr>
        <w:t xml:space="preserve">State</w:t>
      </w:r>
      <w:r>
        <w:rPr>
          <w:i/>
          <w:iCs/>
        </w:rPr>
        <w:t xml:space="preserve"> </w:t>
      </w:r>
      <w:r>
        <w:rPr>
          <w:i/>
          <w:iCs/>
        </w:rPr>
        <w:t xml:space="preserve">v. Brown</w:t>
      </w:r>
      <w:r>
        <w:t xml:space="preserve">, 2020</w:t>
      </w:r>
      <w:r>
        <w:noBreakHyphen/>
      </w:r>
      <w:r>
        <w:t xml:space="preserve">00276 (La. 06/22/20); 297 So.3d 721;</w:t>
      </w:r>
      <w:r>
        <w:t xml:space="preserve"> </w:t>
      </w:r>
      <w:r>
        <w:rPr>
          <w:i/>
          <w:iCs/>
        </w:rPr>
        <w:t xml:space="preserve">Dennis</w:t>
      </w:r>
      <w:r>
        <w:rPr>
          <w:i/>
          <w:iCs/>
        </w:rPr>
        <w:t xml:space="preserve"> </w:t>
      </w:r>
      <w:r>
        <w:rPr>
          <w:i/>
          <w:iCs/>
        </w:rPr>
        <w:t xml:space="preserve">v. Vannoy</w:t>
      </w:r>
      <w:r>
        <w:t xml:space="preserve">, 2019</w:t>
      </w:r>
      <w:r>
        <w:noBreakHyphen/>
      </w:r>
      <w:r>
        <w:t xml:space="preserve">01794 (La. 07/24/20); 299 So.3d 54;</w:t>
      </w:r>
      <w:r>
        <w:t xml:space="preserve"> </w:t>
      </w:r>
      <w:r>
        <w:rPr>
          <w:i/>
          <w:iCs/>
        </w:rPr>
        <w:t xml:space="preserve">Joseph</w:t>
      </w:r>
      <w:r>
        <w:rPr>
          <w:i/>
          <w:iCs/>
        </w:rPr>
        <w:t xml:space="preserve"> </w:t>
      </w:r>
      <w:r>
        <w:rPr>
          <w:i/>
          <w:iCs/>
        </w:rPr>
        <w:t xml:space="preserve">v. State</w:t>
      </w:r>
      <w:r>
        <w:t xml:space="preserve">, 2020</w:t>
      </w:r>
      <w:r>
        <w:noBreakHyphen/>
      </w:r>
      <w:r>
        <w:t xml:space="preserve">01989 (La. 08/14/20); 300 So.3d 824;</w:t>
      </w:r>
      <w:r>
        <w:t xml:space="preserve"> </w:t>
      </w:r>
      <w:r>
        <w:rPr>
          <w:i/>
          <w:iCs/>
        </w:rPr>
        <w:t xml:space="preserve">Lawson</w:t>
      </w:r>
      <w:r>
        <w:rPr>
          <w:i/>
          <w:iCs/>
        </w:rPr>
        <w:t xml:space="preserve"> </w:t>
      </w:r>
      <w:r>
        <w:rPr>
          <w:i/>
          <w:iCs/>
        </w:rPr>
        <w:t xml:space="preserve">v. State</w:t>
      </w:r>
      <w:r>
        <w:t xml:space="preserve">, 2019</w:t>
      </w:r>
      <w:r>
        <w:noBreakHyphen/>
      </w:r>
      <w:r>
        <w:t xml:space="preserve">02074 (La. 08/14/20); 300 So.3d 858;</w:t>
      </w:r>
      <w:r>
        <w:t xml:space="preserve"> </w:t>
      </w:r>
      <w:r>
        <w:rPr>
          <w:i/>
          <w:iCs/>
        </w:rPr>
        <w:t xml:space="preserve">Hernandez</w:t>
      </w:r>
      <w:r>
        <w:rPr>
          <w:i/>
          <w:iCs/>
        </w:rPr>
        <w:t xml:space="preserve"> </w:t>
      </w:r>
      <w:r>
        <w:rPr>
          <w:i/>
          <w:iCs/>
        </w:rPr>
        <w:t xml:space="preserve">v. Vannoy</w:t>
      </w:r>
      <w:r>
        <w:t xml:space="preserve">, 2019</w:t>
      </w:r>
      <w:r>
        <w:noBreakHyphen/>
      </w:r>
      <w:r>
        <w:t xml:space="preserve">02034 (La. 08/14/20); 300 So.3d 857;</w:t>
      </w:r>
      <w:r>
        <w:t xml:space="preserve"> </w:t>
      </w:r>
      <w:r>
        <w:rPr>
          <w:i/>
          <w:iCs/>
        </w:rPr>
        <w:t xml:space="preserve">State</w:t>
      </w:r>
      <w:r>
        <w:rPr>
          <w:i/>
          <w:iCs/>
        </w:rPr>
        <w:t xml:space="preserve"> </w:t>
      </w:r>
      <w:r>
        <w:rPr>
          <w:i/>
          <w:iCs/>
        </w:rPr>
        <w:t xml:space="preserve">v. Harris</w:t>
      </w:r>
      <w:r>
        <w:t xml:space="preserve">, 2020</w:t>
      </w:r>
      <w:r>
        <w:noBreakHyphen/>
      </w:r>
      <w:r>
        <w:t xml:space="preserve">00291 (La. 09/08/20); 301 So.3d 13;</w:t>
      </w:r>
      <w:r>
        <w:t xml:space="preserve"> </w:t>
      </w:r>
      <w:r>
        <w:rPr>
          <w:i/>
          <w:iCs/>
        </w:rPr>
        <w:t xml:space="preserve">State</w:t>
      </w:r>
      <w:r>
        <w:rPr>
          <w:i/>
          <w:iCs/>
        </w:rPr>
        <w:t xml:space="preserve"> </w:t>
      </w:r>
      <w:r>
        <w:rPr>
          <w:i/>
          <w:iCs/>
        </w:rPr>
        <w:t xml:space="preserve">v. Smith</w:t>
      </w:r>
      <w:r>
        <w:t xml:space="preserve">, 2020</w:t>
      </w:r>
      <w:r>
        <w:noBreakHyphen/>
      </w:r>
      <w:r>
        <w:t xml:space="preserve">00621 (La. 09/29/20), 2020 WL 5793717;</w:t>
      </w:r>
      <w:r>
        <w:t xml:space="preserve"> </w:t>
      </w:r>
      <w:r>
        <w:rPr>
          <w:i/>
          <w:iCs/>
        </w:rPr>
        <w:t xml:space="preserve">Givens</w:t>
      </w:r>
      <w:r>
        <w:rPr>
          <w:i/>
          <w:iCs/>
        </w:rPr>
        <w:t xml:space="preserve"> </w:t>
      </w:r>
      <w:r>
        <w:rPr>
          <w:i/>
          <w:iCs/>
        </w:rPr>
        <w:t xml:space="preserve">v. State</w:t>
      </w:r>
      <w:r>
        <w:t xml:space="preserve">, 2020</w:t>
      </w:r>
      <w:r>
        <w:noBreakHyphen/>
      </w:r>
      <w:r>
        <w:t xml:space="preserve">00268 (La. 10/06/20), 2020 WL 5904873;</w:t>
      </w:r>
      <w:r>
        <w:t xml:space="preserve"> </w:t>
      </w:r>
      <w:r>
        <w:rPr>
          <w:i/>
          <w:iCs/>
        </w:rPr>
        <w:t xml:space="preserve">Cassard</w:t>
      </w:r>
      <w:r>
        <w:rPr>
          <w:i/>
          <w:iCs/>
        </w:rPr>
        <w:t xml:space="preserve"> </w:t>
      </w:r>
      <w:r>
        <w:rPr>
          <w:i/>
          <w:iCs/>
        </w:rPr>
        <w:t xml:space="preserve">v. Vannoy</w:t>
      </w:r>
      <w:r>
        <w:t xml:space="preserve">, 2020</w:t>
      </w:r>
      <w:r>
        <w:noBreakHyphen/>
      </w:r>
      <w:r>
        <w:t xml:space="preserve">00020 (La. 10/06/20), 2020 WL 5905099;</w:t>
      </w:r>
      <w:r>
        <w:t xml:space="preserve"> </w:t>
      </w:r>
      <w:r>
        <w:rPr>
          <w:i/>
          <w:iCs/>
        </w:rPr>
        <w:t xml:space="preserve">State</w:t>
      </w:r>
      <w:r>
        <w:rPr>
          <w:i/>
          <w:iCs/>
        </w:rPr>
        <w:t xml:space="preserve"> </w:t>
      </w:r>
      <w:r>
        <w:rPr>
          <w:i/>
          <w:iCs/>
        </w:rPr>
        <w:t xml:space="preserve">v. Barrett</w:t>
      </w:r>
      <w:r>
        <w:t xml:space="preserve">, 2019</w:t>
      </w:r>
      <w:r>
        <w:noBreakHyphen/>
      </w:r>
      <w:r>
        <w:t xml:space="preserve">01718 (La. 08/14/20); 300 So.3d 827;</w:t>
      </w:r>
      <w:r>
        <w:t xml:space="preserve"> </w:t>
      </w:r>
      <w:r>
        <w:rPr>
          <w:i/>
          <w:iCs/>
        </w:rPr>
        <w:t xml:space="preserve">State</w:t>
      </w:r>
      <w:r>
        <w:rPr>
          <w:i/>
          <w:iCs/>
        </w:rPr>
        <w:t xml:space="preserve"> </w:t>
      </w:r>
      <w:r>
        <w:rPr>
          <w:i/>
          <w:iCs/>
        </w:rPr>
        <w:t xml:space="preserve">v. Mason</w:t>
      </w:r>
      <w:r>
        <w:t xml:space="preserve">, 2019</w:t>
      </w:r>
      <w:r>
        <w:noBreakHyphen/>
      </w:r>
      <w:r>
        <w:t xml:space="preserve">01821 (La. 08/14/20), 2020 WL 4726952;</w:t>
      </w:r>
      <w:r>
        <w:t xml:space="preserve"> </w:t>
      </w:r>
      <w:r>
        <w:rPr>
          <w:i/>
          <w:iCs/>
        </w:rPr>
        <w:t xml:space="preserve">State</w:t>
      </w:r>
      <w:r>
        <w:rPr>
          <w:i/>
          <w:iCs/>
        </w:rPr>
        <w:t xml:space="preserve"> </w:t>
      </w:r>
      <w:r>
        <w:rPr>
          <w:i/>
          <w:iCs/>
        </w:rPr>
        <w:t xml:space="preserve">v. Mims</w:t>
      </w:r>
      <w:r>
        <w:t xml:space="preserve">, 2019</w:t>
      </w:r>
      <w:r>
        <w:noBreakHyphen/>
      </w:r>
      <w:r>
        <w:t xml:space="preserve">2088 (La. 08/14/20); 300 So.3d 867;</w:t>
      </w:r>
      <w:r>
        <w:t xml:space="preserve"> </w:t>
      </w:r>
      <w:r>
        <w:rPr>
          <w:i/>
          <w:iCs/>
        </w:rPr>
        <w:t xml:space="preserve">State</w:t>
      </w:r>
      <w:r>
        <w:rPr>
          <w:i/>
          <w:iCs/>
        </w:rPr>
        <w:t xml:space="preserve"> </w:t>
      </w:r>
      <w:r>
        <w:rPr>
          <w:i/>
          <w:iCs/>
        </w:rPr>
        <w:t xml:space="preserve">v. Williams</w:t>
      </w:r>
      <w:r>
        <w:t xml:space="preserve">, 2019</w:t>
      </w:r>
      <w:r>
        <w:noBreakHyphen/>
      </w:r>
      <w:r>
        <w:t xml:space="preserve">02010 (La. 08/14/20); 300 So.3d 856.</w:t>
      </w:r>
    </w:p>
  </w:footnote>
  <w:footnote w:id="120">
    <w:p>
      <w:pPr>
        <w:pStyle w:val="FootnoteText"/>
      </w:pPr>
      <w:r>
        <w:rPr>
          <w:rStyle w:val="FootnoteReference"/>
        </w:rPr>
        <w:footnoteRef/>
      </w:r>
      <w:r>
        <w:t xml:space="preserve"> </w:t>
      </w:r>
      <w:r>
        <w:rPr>
          <w:i/>
          <w:iCs/>
        </w:rPr>
        <w:t xml:space="preserve">State</w:t>
      </w:r>
      <w:r>
        <w:rPr>
          <w:i/>
          <w:iCs/>
        </w:rPr>
        <w:t xml:space="preserve"> </w:t>
      </w:r>
      <w:r>
        <w:rPr>
          <w:i/>
          <w:iCs/>
        </w:rPr>
        <w:t xml:space="preserve">v. Young</w:t>
      </w:r>
      <w:r>
        <w:t xml:space="preserve">, 2019</w:t>
      </w:r>
      <w:r>
        <w:noBreakHyphen/>
      </w:r>
      <w:r>
        <w:t xml:space="preserve">01818 (La. 06/12/20), 2020 WL 3424876;</w:t>
      </w:r>
      <w:r>
        <w:t xml:space="preserve"> </w:t>
      </w:r>
      <w:r>
        <w:rPr>
          <w:i/>
          <w:iCs/>
        </w:rPr>
        <w:t xml:space="preserve">State</w:t>
      </w:r>
      <w:r>
        <w:rPr>
          <w:i/>
          <w:iCs/>
        </w:rPr>
        <w:t xml:space="preserve"> </w:t>
      </w:r>
      <w:r>
        <w:rPr>
          <w:i/>
          <w:iCs/>
        </w:rPr>
        <w:t xml:space="preserve">v. Brooks</w:t>
      </w:r>
      <w:r>
        <w:t xml:space="preserve">, 2020</w:t>
      </w:r>
      <w:r>
        <w:noBreakHyphen/>
      </w:r>
      <w:r>
        <w:t xml:space="preserve">00378 (La. 10/14/20), 2020 WL 6059695.</w:t>
      </w:r>
    </w:p>
  </w:footnote>
  <w:footnote w:id="121">
    <w:p>
      <w:pPr>
        <w:pStyle w:val="FootnoteText"/>
      </w:pPr>
      <w:r>
        <w:rPr>
          <w:rStyle w:val="FootnoteReference"/>
        </w:rPr>
        <w:footnoteRef/>
      </w:r>
      <w:r>
        <w:t xml:space="preserve"> </w:t>
      </w:r>
      <w:r>
        <w:rPr>
          <w:i/>
          <w:iCs/>
        </w:rPr>
        <w:t xml:space="preserve">State</w:t>
      </w:r>
      <w:r>
        <w:rPr>
          <w:i/>
          <w:iCs/>
        </w:rPr>
        <w:t xml:space="preserve"> </w:t>
      </w:r>
      <w:r>
        <w:rPr>
          <w:i/>
          <w:iCs/>
        </w:rPr>
        <w:t xml:space="preserve">v. McKnight</w:t>
      </w:r>
      <w:r>
        <w:t xml:space="preserve">, 2020</w:t>
      </w:r>
      <w:r>
        <w:noBreakHyphen/>
      </w:r>
      <w:r>
        <w:t xml:space="preserve">00873 (La. 07/17/20); 299 So.3d 64.</w:t>
      </w:r>
    </w:p>
  </w:footnote>
  <w:footnote w:id="122">
    <w:p>
      <w:pPr>
        <w:pStyle w:val="FootnoteText"/>
      </w:pPr>
      <w:r>
        <w:rPr>
          <w:rStyle w:val="FootnoteReference"/>
        </w:rPr>
        <w:footnoteRef/>
      </w:r>
      <w:r>
        <w:t xml:space="preserve"> </w:t>
      </w:r>
      <w:r>
        <w:rPr>
          <w:i/>
          <w:iCs/>
        </w:rPr>
        <w:t xml:space="preserve">State</w:t>
      </w:r>
      <w:r>
        <w:rPr>
          <w:i/>
          <w:iCs/>
        </w:rPr>
        <w:t xml:space="preserve"> </w:t>
      </w:r>
      <w:r>
        <w:rPr>
          <w:i/>
          <w:iCs/>
        </w:rPr>
        <w:t xml:space="preserve">v. Dotson</w:t>
      </w:r>
      <w:r>
        <w:t xml:space="preserve">, No. 514,318 (Orleans Parish Criminal District Court 03/31/21).</w:t>
      </w:r>
    </w:p>
  </w:footnote>
  <w:footnote w:id="123">
    <w:p>
      <w:pPr>
        <w:pStyle w:val="FootnoteText"/>
      </w:pPr>
      <w:r>
        <w:rPr>
          <w:rStyle w:val="FootnoteReference"/>
        </w:rPr>
        <w:footnoteRef/>
      </w:r>
      <w:r>
        <w:t xml:space="preserve"> </w:t>
      </w:r>
      <w:r>
        <w:rPr>
          <w:i/>
          <w:iCs/>
        </w:rPr>
        <w:t xml:space="preserve">State</w:t>
      </w:r>
      <w:r>
        <w:rPr>
          <w:i/>
          <w:iCs/>
        </w:rPr>
        <w:t xml:space="preserve"> </w:t>
      </w:r>
      <w:r>
        <w:rPr>
          <w:i/>
          <w:iCs/>
        </w:rPr>
        <w:t xml:space="preserve">v. Dotson</w:t>
      </w:r>
      <w:r>
        <w:t xml:space="preserve">, 2019</w:t>
      </w:r>
      <w:r>
        <w:noBreakHyphen/>
      </w:r>
      <w:r>
        <w:t xml:space="preserve">01828 (La. 06/03/20); 296 So.3d 1059;</w:t>
      </w:r>
      <w:r>
        <w:t xml:space="preserve"> </w:t>
      </w:r>
      <w:r>
        <w:rPr>
          <w:i/>
          <w:iCs/>
        </w:rPr>
        <w:t xml:space="preserve">State</w:t>
      </w:r>
      <w:r>
        <w:rPr>
          <w:i/>
          <w:iCs/>
        </w:rPr>
        <w:t xml:space="preserve"> </w:t>
      </w:r>
      <w:r>
        <w:rPr>
          <w:i/>
          <w:iCs/>
        </w:rPr>
        <w:t xml:space="preserve">v. Cook</w:t>
      </w:r>
      <w:r>
        <w:t xml:space="preserve">, 2020</w:t>
      </w:r>
      <w:r>
        <w:noBreakHyphen/>
      </w:r>
      <w:r>
        <w:t xml:space="preserve">00001 (La. 08/14/20); 300 So.3d 838;</w:t>
      </w:r>
      <w:r>
        <w:t xml:space="preserve"> </w:t>
      </w:r>
      <w:r>
        <w:rPr>
          <w:i/>
          <w:iCs/>
        </w:rPr>
        <w:t xml:space="preserve">State</w:t>
      </w:r>
      <w:r>
        <w:rPr>
          <w:i/>
          <w:iCs/>
        </w:rPr>
        <w:t xml:space="preserve"> </w:t>
      </w:r>
      <w:r>
        <w:rPr>
          <w:i/>
          <w:iCs/>
        </w:rPr>
        <w:t xml:space="preserve">v. Parish</w:t>
      </w:r>
      <w:r>
        <w:t xml:space="preserve">, 2020</w:t>
      </w:r>
      <w:r>
        <w:noBreakHyphen/>
      </w:r>
      <w:r>
        <w:t xml:space="preserve">00072 (La. 08/14/20); 300 So.3d 861;</w:t>
      </w:r>
      <w:r>
        <w:t xml:space="preserve"> </w:t>
      </w:r>
      <w:r>
        <w:rPr>
          <w:i/>
          <w:iCs/>
        </w:rPr>
        <w:t xml:space="preserve">State</w:t>
      </w:r>
      <w:r>
        <w:rPr>
          <w:i/>
          <w:iCs/>
        </w:rPr>
        <w:t xml:space="preserve"> </w:t>
      </w:r>
      <w:r>
        <w:rPr>
          <w:i/>
          <w:iCs/>
        </w:rPr>
        <w:t xml:space="preserve">v. McGuire</w:t>
      </w:r>
      <w:r>
        <w:t xml:space="preserve">, 2019</w:t>
      </w:r>
      <w:r>
        <w:noBreakHyphen/>
      </w:r>
      <w:r>
        <w:t xml:space="preserve">01632 (La. 08/14/20); 300 So.3d 830;</w:t>
      </w:r>
      <w:r>
        <w:t xml:space="preserve"> </w:t>
      </w:r>
      <w:r>
        <w:rPr>
          <w:i/>
          <w:iCs/>
        </w:rPr>
        <w:t xml:space="preserve">State</w:t>
      </w:r>
      <w:r>
        <w:rPr>
          <w:i/>
          <w:iCs/>
        </w:rPr>
        <w:t xml:space="preserve"> </w:t>
      </w:r>
      <w:r>
        <w:rPr>
          <w:i/>
          <w:iCs/>
        </w:rPr>
        <w:t xml:space="preserve">v. Withers</w:t>
      </w:r>
      <w:r>
        <w:t xml:space="preserve">, 2020</w:t>
      </w:r>
      <w:r>
        <w:noBreakHyphen/>
      </w:r>
      <w:r>
        <w:t xml:space="preserve">00258 (La. 08/14/20); 300 So.3d 860;</w:t>
      </w:r>
      <w:r>
        <w:t xml:space="preserve"> </w:t>
      </w:r>
      <w:r>
        <w:rPr>
          <w:i/>
          <w:iCs/>
        </w:rPr>
        <w:t xml:space="preserve">State</w:t>
      </w:r>
      <w:r>
        <w:rPr>
          <w:i/>
          <w:iCs/>
        </w:rPr>
        <w:t xml:space="preserve"> </w:t>
      </w:r>
      <w:r>
        <w:rPr>
          <w:i/>
          <w:iCs/>
        </w:rPr>
        <w:t xml:space="preserve">v. Sonnier</w:t>
      </w:r>
      <w:r>
        <w:t xml:space="preserve">, 2019</w:t>
      </w:r>
      <w:r>
        <w:noBreakHyphen/>
      </w:r>
      <w:r>
        <w:t xml:space="preserve">02066 (La. 08/14/20); 300 So.3d 857;</w:t>
      </w:r>
      <w:r>
        <w:t xml:space="preserve"> </w:t>
      </w:r>
      <w:r>
        <w:rPr>
          <w:i/>
          <w:iCs/>
        </w:rPr>
        <w:t xml:space="preserve">State</w:t>
      </w:r>
      <w:r>
        <w:rPr>
          <w:i/>
          <w:iCs/>
        </w:rPr>
        <w:t xml:space="preserve"> </w:t>
      </w:r>
      <w:r>
        <w:rPr>
          <w:i/>
          <w:iCs/>
        </w:rPr>
        <w:t xml:space="preserve">v. Carter</w:t>
      </w:r>
      <w:r>
        <w:t xml:space="preserve">, 2019</w:t>
      </w:r>
      <w:r>
        <w:noBreakHyphen/>
      </w:r>
      <w:r>
        <w:t xml:space="preserve">02053 (La. 08/14/20); 300 So.3d 856;</w:t>
      </w:r>
      <w:r>
        <w:t xml:space="preserve"> </w:t>
      </w:r>
      <w:r>
        <w:rPr>
          <w:i/>
          <w:iCs/>
        </w:rPr>
        <w:t xml:space="preserve">State</w:t>
      </w:r>
      <w:r>
        <w:rPr>
          <w:i/>
          <w:iCs/>
        </w:rPr>
        <w:t xml:space="preserve"> </w:t>
      </w:r>
      <w:r>
        <w:rPr>
          <w:i/>
          <w:iCs/>
        </w:rPr>
        <w:t xml:space="preserve">v. Eaglin</w:t>
      </w:r>
      <w:r>
        <w:t xml:space="preserve">, 2019</w:t>
      </w:r>
      <w:r>
        <w:noBreakHyphen/>
      </w:r>
      <w:r>
        <w:t xml:space="preserve">01952 (La. 08/14/20); 300 So.3d 840;</w:t>
      </w:r>
      <w:r>
        <w:t xml:space="preserve"> </w:t>
      </w:r>
      <w:r>
        <w:rPr>
          <w:i/>
          <w:iCs/>
        </w:rPr>
        <w:t xml:space="preserve">State</w:t>
      </w:r>
      <w:r>
        <w:rPr>
          <w:i/>
          <w:iCs/>
        </w:rPr>
        <w:t xml:space="preserve"> </w:t>
      </w:r>
      <w:r>
        <w:rPr>
          <w:i/>
          <w:iCs/>
        </w:rPr>
        <w:t xml:space="preserve">v. Kidd</w:t>
      </w:r>
      <w:r>
        <w:t xml:space="preserve">, 2020</w:t>
      </w:r>
      <w:r>
        <w:noBreakHyphen/>
      </w:r>
      <w:r>
        <w:t xml:space="preserve">00055 (La. 08/14/20); 300 So.3d 828;</w:t>
      </w:r>
      <w:r>
        <w:t xml:space="preserve"> </w:t>
      </w:r>
      <w:r>
        <w:rPr>
          <w:i/>
          <w:iCs/>
        </w:rPr>
        <w:t xml:space="preserve">State</w:t>
      </w:r>
      <w:r>
        <w:rPr>
          <w:i/>
          <w:iCs/>
        </w:rPr>
        <w:t xml:space="preserve"> </w:t>
      </w:r>
      <w:r>
        <w:rPr>
          <w:i/>
          <w:iCs/>
        </w:rPr>
        <w:t xml:space="preserve">v. Sims</w:t>
      </w:r>
      <w:r>
        <w:t xml:space="preserve">, 2020</w:t>
      </w:r>
      <w:r>
        <w:noBreakHyphen/>
      </w:r>
      <w:r>
        <w:t xml:space="preserve">00298 (La. 09/08/20); 301 So.3d 17;</w:t>
      </w:r>
      <w:r>
        <w:t xml:space="preserve"> </w:t>
      </w:r>
      <w:r>
        <w:rPr>
          <w:i/>
          <w:iCs/>
        </w:rPr>
        <w:t xml:space="preserve">State</w:t>
      </w:r>
      <w:r>
        <w:rPr>
          <w:i/>
          <w:iCs/>
        </w:rPr>
        <w:t xml:space="preserve"> </w:t>
      </w:r>
      <w:r>
        <w:rPr>
          <w:i/>
          <w:iCs/>
        </w:rPr>
        <w:t xml:space="preserve">v. Johnson</w:t>
      </w:r>
      <w:r>
        <w:t xml:space="preserve">, 2020</w:t>
      </w:r>
      <w:r>
        <w:noBreakHyphen/>
      </w:r>
      <w:r>
        <w:t xml:space="preserve">00052 (La. 09/29/20), 2020 WL 5793805;</w:t>
      </w:r>
      <w:r>
        <w:t xml:space="preserve"> </w:t>
      </w:r>
      <w:r>
        <w:rPr>
          <w:i/>
          <w:iCs/>
        </w:rPr>
        <w:t xml:space="preserve">State</w:t>
      </w:r>
      <w:r>
        <w:rPr>
          <w:i/>
          <w:iCs/>
        </w:rPr>
        <w:t xml:space="preserve"> </w:t>
      </w:r>
      <w:r>
        <w:rPr>
          <w:i/>
          <w:iCs/>
        </w:rPr>
        <w:t xml:space="preserve">v. Mason</w:t>
      </w:r>
      <w:r>
        <w:t xml:space="preserve">, 2019</w:t>
      </w:r>
      <w:r>
        <w:noBreakHyphen/>
      </w:r>
      <w:r>
        <w:t xml:space="preserve">01821 (La. 08/14/20), 2020 WL 4726952;</w:t>
      </w:r>
      <w:r>
        <w:t xml:space="preserve"> </w:t>
      </w:r>
      <w:r>
        <w:rPr>
          <w:i/>
          <w:iCs/>
        </w:rPr>
        <w:t xml:space="preserve">State</w:t>
      </w:r>
      <w:r>
        <w:rPr>
          <w:i/>
          <w:iCs/>
        </w:rPr>
        <w:t xml:space="preserve"> </w:t>
      </w:r>
      <w:r>
        <w:rPr>
          <w:i/>
          <w:iCs/>
        </w:rPr>
        <w:t xml:space="preserve">v. Williams</w:t>
      </w:r>
      <w:r>
        <w:t xml:space="preserve">, 2019</w:t>
      </w:r>
      <w:r>
        <w:noBreakHyphen/>
      </w:r>
      <w:r>
        <w:t xml:space="preserve">02010 (La. 08/14/20); 300 So.3d 856;</w:t>
      </w:r>
      <w:r>
        <w:t xml:space="preserve"> </w:t>
      </w:r>
      <w:r>
        <w:rPr>
          <w:i/>
          <w:iCs/>
        </w:rPr>
        <w:t xml:space="preserve">Jones</w:t>
      </w:r>
      <w:r>
        <w:rPr>
          <w:i/>
          <w:iCs/>
        </w:rPr>
        <w:t xml:space="preserve"> </w:t>
      </w:r>
      <w:r>
        <w:rPr>
          <w:i/>
          <w:iCs/>
        </w:rPr>
        <w:t xml:space="preserve">v. State</w:t>
      </w:r>
      <w:r>
        <w:t xml:space="preserve">, 2019</w:t>
      </w:r>
      <w:r>
        <w:noBreakHyphen/>
      </w:r>
      <w:r>
        <w:t xml:space="preserve">01900 (La. 06/03/20); 296 So. 3d 1060;</w:t>
      </w:r>
      <w:r>
        <w:t xml:space="preserve"> </w:t>
      </w:r>
      <w:r>
        <w:rPr>
          <w:i/>
          <w:iCs/>
        </w:rPr>
        <w:t xml:space="preserve">Silva</w:t>
      </w:r>
      <w:r>
        <w:rPr>
          <w:i/>
          <w:iCs/>
        </w:rPr>
        <w:t xml:space="preserve"> </w:t>
      </w:r>
      <w:r>
        <w:rPr>
          <w:i/>
          <w:iCs/>
        </w:rPr>
        <w:t xml:space="preserve">v. Vannoy</w:t>
      </w:r>
      <w:r>
        <w:t xml:space="preserve">, 2019</w:t>
      </w:r>
      <w:r>
        <w:noBreakHyphen/>
      </w:r>
      <w:r>
        <w:t xml:space="preserve">01861 (La. 06/03/20); 296 So.3d 1033.</w:t>
      </w:r>
    </w:p>
  </w:footnote>
  <w:footnote w:id="124">
    <w:p>
      <w:pPr>
        <w:pStyle w:val="FootnoteText"/>
      </w:pPr>
      <w:r>
        <w:rPr>
          <w:rStyle w:val="FootnoteReference"/>
        </w:rPr>
        <w:footnoteRef/>
      </w:r>
      <w:r>
        <w:t xml:space="preserve"> </w:t>
      </w:r>
      <w:r>
        <w:rPr>
          <w:i/>
          <w:iCs/>
        </w:rPr>
        <w:t xml:space="preserve">Lionel</w:t>
      </w:r>
      <w:r>
        <w:rPr>
          <w:i/>
          <w:iCs/>
        </w:rPr>
        <w:t xml:space="preserve"> </w:t>
      </w:r>
      <w:r>
        <w:rPr>
          <w:i/>
          <w:iCs/>
        </w:rPr>
        <w:t xml:space="preserve">Jones v. State</w:t>
      </w:r>
      <w:r>
        <w:t xml:space="preserve">, 2019</w:t>
      </w:r>
      <w:r>
        <w:noBreakHyphen/>
      </w:r>
      <w:r>
        <w:t xml:space="preserve">01900 (La. 06/03/20); 296 So. 3d 1060;</w:t>
      </w:r>
      <w:r>
        <w:t xml:space="preserve"> </w:t>
      </w:r>
      <w:r>
        <w:rPr>
          <w:i/>
          <w:iCs/>
        </w:rPr>
        <w:t xml:space="preserve">State</w:t>
      </w:r>
      <w:r>
        <w:rPr>
          <w:i/>
          <w:iCs/>
        </w:rPr>
        <w:t xml:space="preserve"> </w:t>
      </w:r>
      <w:r>
        <w:rPr>
          <w:i/>
          <w:iCs/>
        </w:rPr>
        <w:t xml:space="preserve">v. Young</w:t>
      </w:r>
      <w:r>
        <w:t xml:space="preserve">, 2019</w:t>
      </w:r>
      <w:r>
        <w:noBreakHyphen/>
      </w:r>
      <w:r>
        <w:t xml:space="preserve">01818 (La. 06/12/20), 2020 WL 3424876;</w:t>
      </w:r>
      <w:r>
        <w:t xml:space="preserve"> </w:t>
      </w:r>
      <w:r>
        <w:rPr>
          <w:i/>
          <w:iCs/>
        </w:rPr>
        <w:t xml:space="preserve">State</w:t>
      </w:r>
      <w:r>
        <w:rPr>
          <w:i/>
          <w:iCs/>
        </w:rPr>
        <w:t xml:space="preserve"> </w:t>
      </w:r>
      <w:r>
        <w:rPr>
          <w:i/>
          <w:iCs/>
        </w:rPr>
        <w:t xml:space="preserve">v. Brown</w:t>
      </w:r>
      <w:r>
        <w:t xml:space="preserve">, 2020</w:t>
      </w:r>
      <w:r>
        <w:noBreakHyphen/>
      </w:r>
      <w:r>
        <w:t xml:space="preserve">00276 (La. 06/22/20); 297 So.3d 721;</w:t>
      </w:r>
      <w:r>
        <w:t xml:space="preserve"> </w:t>
      </w:r>
      <w:r>
        <w:rPr>
          <w:i/>
          <w:iCs/>
        </w:rPr>
        <w:t xml:space="preserve">Dennis</w:t>
      </w:r>
      <w:r>
        <w:rPr>
          <w:i/>
          <w:iCs/>
        </w:rPr>
        <w:t xml:space="preserve"> </w:t>
      </w:r>
      <w:r>
        <w:rPr>
          <w:i/>
          <w:iCs/>
        </w:rPr>
        <w:t xml:space="preserve">v. Vannoy</w:t>
      </w:r>
      <w:r>
        <w:t xml:space="preserve">, 2019</w:t>
      </w:r>
      <w:r>
        <w:noBreakHyphen/>
      </w:r>
      <w:r>
        <w:t xml:space="preserve">01794 (La. 07/24/20); 299 So.3d 54;</w:t>
      </w:r>
      <w:r>
        <w:t xml:space="preserve"> </w:t>
      </w:r>
      <w:r>
        <w:rPr>
          <w:i/>
          <w:iCs/>
        </w:rPr>
        <w:t xml:space="preserve">Lawson</w:t>
      </w:r>
      <w:r>
        <w:rPr>
          <w:i/>
          <w:iCs/>
        </w:rPr>
        <w:t xml:space="preserve"> </w:t>
      </w:r>
      <w:r>
        <w:rPr>
          <w:i/>
          <w:iCs/>
        </w:rPr>
        <w:t xml:space="preserve">v. State</w:t>
      </w:r>
      <w:r>
        <w:t xml:space="preserve">, 2019</w:t>
      </w:r>
      <w:r>
        <w:noBreakHyphen/>
      </w:r>
      <w:r>
        <w:t xml:space="preserve">02074 (La. 08/14/20); 300 So.3d 858;</w:t>
      </w:r>
      <w:r>
        <w:t xml:space="preserve"> </w:t>
      </w:r>
      <w:r>
        <w:rPr>
          <w:i/>
          <w:iCs/>
        </w:rPr>
        <w:t xml:space="preserve">Hernandez</w:t>
      </w:r>
      <w:r>
        <w:rPr>
          <w:i/>
          <w:iCs/>
        </w:rPr>
        <w:t xml:space="preserve"> </w:t>
      </w:r>
      <w:r>
        <w:rPr>
          <w:i/>
          <w:iCs/>
        </w:rPr>
        <w:t xml:space="preserve">v. Vannoy</w:t>
      </w:r>
      <w:r>
        <w:t xml:space="preserve">, 2019</w:t>
      </w:r>
      <w:r>
        <w:noBreakHyphen/>
      </w:r>
      <w:r>
        <w:t xml:space="preserve">02034 (La. 08/14/20); 300 So.3d 857;</w:t>
      </w:r>
      <w:r>
        <w:t xml:space="preserve"> </w:t>
      </w:r>
      <w:r>
        <w:rPr>
          <w:i/>
          <w:iCs/>
        </w:rPr>
        <w:t xml:space="preserve">Cassard</w:t>
      </w:r>
      <w:r>
        <w:rPr>
          <w:i/>
          <w:iCs/>
        </w:rPr>
        <w:t xml:space="preserve"> </w:t>
      </w:r>
      <w:r>
        <w:rPr>
          <w:i/>
          <w:iCs/>
        </w:rPr>
        <w:t xml:space="preserve">v. Vannoy</w:t>
      </w:r>
      <w:r>
        <w:t xml:space="preserve">, 2020</w:t>
      </w:r>
      <w:r>
        <w:noBreakHyphen/>
      </w:r>
      <w:r>
        <w:t xml:space="preserve">00020 (La. 10/06/20), 2020 WL 5905099;</w:t>
      </w:r>
      <w:r>
        <w:t xml:space="preserve"> </w:t>
      </w:r>
      <w:r>
        <w:rPr>
          <w:i/>
          <w:iCs/>
        </w:rPr>
        <w:t xml:space="preserve">State</w:t>
      </w:r>
      <w:r>
        <w:rPr>
          <w:i/>
          <w:iCs/>
        </w:rPr>
        <w:t xml:space="preserve"> </w:t>
      </w:r>
      <w:r>
        <w:rPr>
          <w:i/>
          <w:iCs/>
        </w:rPr>
        <w:t xml:space="preserve">v. Barrett</w:t>
      </w:r>
      <w:r>
        <w:t xml:space="preserve">, 2019</w:t>
      </w:r>
      <w:r>
        <w:noBreakHyphen/>
      </w:r>
      <w:r>
        <w:t xml:space="preserve">01718 (La. 08/14/20); 300 So.3d 827;</w:t>
      </w:r>
      <w:r>
        <w:t xml:space="preserve"> </w:t>
      </w:r>
      <w:r>
        <w:rPr>
          <w:i/>
          <w:iCs/>
        </w:rPr>
        <w:t xml:space="preserve">State</w:t>
      </w:r>
      <w:r>
        <w:rPr>
          <w:i/>
          <w:iCs/>
        </w:rPr>
        <w:t xml:space="preserve"> </w:t>
      </w:r>
      <w:r>
        <w:rPr>
          <w:i/>
          <w:iCs/>
        </w:rPr>
        <w:t xml:space="preserve">v. Mason</w:t>
      </w:r>
      <w:r>
        <w:t xml:space="preserve">, 2019</w:t>
      </w:r>
      <w:r>
        <w:noBreakHyphen/>
      </w:r>
      <w:r>
        <w:t xml:space="preserve">01821 (La. 08/14/20), 2020 WL 4726952;</w:t>
      </w:r>
      <w:r>
        <w:t xml:space="preserve"> </w:t>
      </w:r>
      <w:r>
        <w:rPr>
          <w:i/>
          <w:iCs/>
        </w:rPr>
        <w:t xml:space="preserve">State</w:t>
      </w:r>
      <w:r>
        <w:rPr>
          <w:i/>
          <w:iCs/>
        </w:rPr>
        <w:t xml:space="preserve"> </w:t>
      </w:r>
      <w:r>
        <w:rPr>
          <w:i/>
          <w:iCs/>
        </w:rPr>
        <w:t xml:space="preserve">v. Mims</w:t>
      </w:r>
      <w:r>
        <w:t xml:space="preserve">, 2019</w:t>
      </w:r>
      <w:r>
        <w:noBreakHyphen/>
      </w:r>
      <w:r>
        <w:t xml:space="preserve">2088 (La. 08/14/20); 300 So.3d 867;</w:t>
      </w:r>
      <w:r>
        <w:t xml:space="preserve"> </w:t>
      </w:r>
      <w:r>
        <w:rPr>
          <w:i/>
          <w:iCs/>
        </w:rPr>
        <w:t xml:space="preserve">State</w:t>
      </w:r>
      <w:r>
        <w:rPr>
          <w:i/>
          <w:iCs/>
        </w:rPr>
        <w:t xml:space="preserve"> </w:t>
      </w:r>
      <w:r>
        <w:rPr>
          <w:i/>
          <w:iCs/>
        </w:rPr>
        <w:t xml:space="preserve">v. Williams</w:t>
      </w:r>
      <w:r>
        <w:t xml:space="preserve">, 2019</w:t>
      </w:r>
      <w:r>
        <w:noBreakHyphen/>
      </w:r>
      <w:r>
        <w:t xml:space="preserve">02010 (La. 08/14/20); 300 So.3d 856;</w:t>
      </w:r>
      <w:r>
        <w:t xml:space="preserve"> </w:t>
      </w:r>
      <w:r>
        <w:rPr>
          <w:i/>
          <w:iCs/>
        </w:rPr>
        <w:t xml:space="preserve">State</w:t>
      </w:r>
      <w:r>
        <w:rPr>
          <w:i/>
          <w:iCs/>
        </w:rPr>
        <w:t xml:space="preserve"> </w:t>
      </w:r>
      <w:r>
        <w:rPr>
          <w:i/>
          <w:iCs/>
        </w:rPr>
        <w:t xml:space="preserve">v. Brooks</w:t>
      </w:r>
      <w:r>
        <w:t xml:space="preserve">, 2020</w:t>
      </w:r>
      <w:r>
        <w:noBreakHyphen/>
      </w:r>
      <w:r>
        <w:t xml:space="preserve">00378 (La. 10/14/20), 2020 WL 6059695;</w:t>
      </w:r>
      <w:r>
        <w:t xml:space="preserve"> </w:t>
      </w:r>
      <w:r>
        <w:rPr>
          <w:i/>
          <w:iCs/>
        </w:rPr>
        <w:t xml:space="preserve">State</w:t>
      </w:r>
      <w:r>
        <w:rPr>
          <w:i/>
          <w:iCs/>
        </w:rPr>
        <w:t xml:space="preserve"> </w:t>
      </w:r>
      <w:r>
        <w:rPr>
          <w:i/>
          <w:iCs/>
        </w:rPr>
        <w:t xml:space="preserve">v. Cook</w:t>
      </w:r>
      <w:r>
        <w:t xml:space="preserve">, 2020</w:t>
      </w:r>
      <w:r>
        <w:noBreakHyphen/>
      </w:r>
      <w:r>
        <w:t xml:space="preserve">00001 (La. 08/14/20); 300 So.3d 838;</w:t>
      </w:r>
      <w:r>
        <w:t xml:space="preserve"> </w:t>
      </w:r>
      <w:r>
        <w:rPr>
          <w:i/>
          <w:iCs/>
        </w:rPr>
        <w:t xml:space="preserve">State</w:t>
      </w:r>
      <w:r>
        <w:rPr>
          <w:i/>
          <w:iCs/>
        </w:rPr>
        <w:t xml:space="preserve"> </w:t>
      </w:r>
      <w:r>
        <w:rPr>
          <w:i/>
          <w:iCs/>
        </w:rPr>
        <w:t xml:space="preserve">v. Parish</w:t>
      </w:r>
      <w:r>
        <w:t xml:space="preserve">, 2020</w:t>
      </w:r>
      <w:r>
        <w:noBreakHyphen/>
      </w:r>
      <w:r>
        <w:t xml:space="preserve">00072 (La. 08/14/20); 300 So.3d 861;</w:t>
      </w:r>
      <w:r>
        <w:t xml:space="preserve"> </w:t>
      </w:r>
      <w:r>
        <w:rPr>
          <w:i/>
          <w:iCs/>
        </w:rPr>
        <w:t xml:space="preserve">State</w:t>
      </w:r>
      <w:r>
        <w:rPr>
          <w:i/>
          <w:iCs/>
        </w:rPr>
        <w:t xml:space="preserve"> </w:t>
      </w:r>
      <w:r>
        <w:rPr>
          <w:i/>
          <w:iCs/>
        </w:rPr>
        <w:t xml:space="preserve">v. McGuire</w:t>
      </w:r>
      <w:r>
        <w:t xml:space="preserve">, 2019</w:t>
      </w:r>
      <w:r>
        <w:noBreakHyphen/>
      </w:r>
      <w:r>
        <w:t xml:space="preserve">01632 (La. 08/14/20); 300 So.3d 830;</w:t>
      </w:r>
      <w:r>
        <w:t xml:space="preserve"> </w:t>
      </w:r>
      <w:r>
        <w:rPr>
          <w:i/>
          <w:iCs/>
        </w:rPr>
        <w:t xml:space="preserve">State</w:t>
      </w:r>
      <w:r>
        <w:rPr>
          <w:i/>
          <w:iCs/>
        </w:rPr>
        <w:t xml:space="preserve"> </w:t>
      </w:r>
      <w:r>
        <w:rPr>
          <w:i/>
          <w:iCs/>
        </w:rPr>
        <w:t xml:space="preserve">v. Williams</w:t>
      </w:r>
      <w:r>
        <w:t xml:space="preserve">, 2020</w:t>
      </w:r>
      <w:r>
        <w:noBreakHyphen/>
      </w:r>
      <w:r>
        <w:t xml:space="preserve">00069 (La. 08/14/20); 300 So.3d 860;</w:t>
      </w:r>
      <w:r>
        <w:t xml:space="preserve"> </w:t>
      </w:r>
      <w:r>
        <w:rPr>
          <w:i/>
          <w:iCs/>
        </w:rPr>
        <w:t xml:space="preserve">State</w:t>
      </w:r>
      <w:r>
        <w:rPr>
          <w:i/>
          <w:iCs/>
        </w:rPr>
        <w:t xml:space="preserve"> </w:t>
      </w:r>
      <w:r>
        <w:rPr>
          <w:i/>
          <w:iCs/>
        </w:rPr>
        <w:t xml:space="preserve">v. Withers</w:t>
      </w:r>
      <w:r>
        <w:t xml:space="preserve">, 2020</w:t>
      </w:r>
      <w:r>
        <w:noBreakHyphen/>
      </w:r>
      <w:r>
        <w:t xml:space="preserve">00258 (La. 08/14/20); 300 So.3d 860;</w:t>
      </w:r>
      <w:r>
        <w:t xml:space="preserve"> </w:t>
      </w:r>
      <w:r>
        <w:rPr>
          <w:i/>
          <w:iCs/>
        </w:rPr>
        <w:t xml:space="preserve">State</w:t>
      </w:r>
      <w:r>
        <w:rPr>
          <w:i/>
          <w:iCs/>
        </w:rPr>
        <w:t xml:space="preserve"> </w:t>
      </w:r>
      <w:r>
        <w:rPr>
          <w:i/>
          <w:iCs/>
        </w:rPr>
        <w:t xml:space="preserve">v. Wardlaw</w:t>
      </w:r>
      <w:r>
        <w:t xml:space="preserve">, 2020</w:t>
      </w:r>
      <w:r>
        <w:noBreakHyphen/>
      </w:r>
      <w:r>
        <w:t xml:space="preserve">00004 (La. 08/14/20); 300 So.3d 859;</w:t>
      </w:r>
      <w:r>
        <w:t xml:space="preserve"> </w:t>
      </w:r>
      <w:r>
        <w:rPr>
          <w:i/>
          <w:iCs/>
        </w:rPr>
        <w:t xml:space="preserve">State</w:t>
      </w:r>
      <w:r>
        <w:rPr>
          <w:i/>
          <w:iCs/>
        </w:rPr>
        <w:t xml:space="preserve"> </w:t>
      </w:r>
      <w:r>
        <w:rPr>
          <w:i/>
          <w:iCs/>
        </w:rPr>
        <w:t xml:space="preserve">v. Sonnier</w:t>
      </w:r>
      <w:r>
        <w:t xml:space="preserve">, 2019</w:t>
      </w:r>
      <w:r>
        <w:noBreakHyphen/>
      </w:r>
      <w:r>
        <w:t xml:space="preserve">02066 (La. 08/14/20); 300 So.3d 857;</w:t>
      </w:r>
      <w:r>
        <w:t xml:space="preserve"> </w:t>
      </w:r>
      <w:r>
        <w:rPr>
          <w:i/>
          <w:iCs/>
        </w:rPr>
        <w:t xml:space="preserve">State</w:t>
      </w:r>
      <w:r>
        <w:rPr>
          <w:i/>
          <w:iCs/>
        </w:rPr>
        <w:t xml:space="preserve"> </w:t>
      </w:r>
      <w:r>
        <w:rPr>
          <w:i/>
          <w:iCs/>
        </w:rPr>
        <w:t xml:space="preserve">v. Pittman</w:t>
      </w:r>
      <w:r>
        <w:t xml:space="preserve">, 2019</w:t>
      </w:r>
      <w:r>
        <w:noBreakHyphen/>
      </w:r>
      <w:r>
        <w:t xml:space="preserve">01354 (La. 08/14/20); 300 So.3d 856;</w:t>
      </w:r>
      <w:r>
        <w:t xml:space="preserve"> </w:t>
      </w:r>
      <w:r>
        <w:rPr>
          <w:i/>
          <w:iCs/>
        </w:rPr>
        <w:t xml:space="preserve">State</w:t>
      </w:r>
      <w:r>
        <w:rPr>
          <w:i/>
          <w:iCs/>
        </w:rPr>
        <w:t xml:space="preserve"> </w:t>
      </w:r>
      <w:r>
        <w:rPr>
          <w:i/>
          <w:iCs/>
        </w:rPr>
        <w:t xml:space="preserve">v. Carter</w:t>
      </w:r>
      <w:r>
        <w:t xml:space="preserve">, 2019</w:t>
      </w:r>
      <w:r>
        <w:noBreakHyphen/>
      </w:r>
      <w:r>
        <w:t xml:space="preserve">02053 (La. 08/14/20); 300 So.3d 856;</w:t>
      </w:r>
      <w:r>
        <w:t xml:space="preserve"> </w:t>
      </w:r>
      <w:r>
        <w:rPr>
          <w:i/>
          <w:iCs/>
        </w:rPr>
        <w:t xml:space="preserve">State</w:t>
      </w:r>
      <w:r>
        <w:rPr>
          <w:i/>
          <w:iCs/>
        </w:rPr>
        <w:t xml:space="preserve"> </w:t>
      </w:r>
      <w:r>
        <w:rPr>
          <w:i/>
          <w:iCs/>
        </w:rPr>
        <w:t xml:space="preserve">v. Eaglin</w:t>
      </w:r>
      <w:r>
        <w:t xml:space="preserve">, 2019</w:t>
      </w:r>
      <w:r>
        <w:noBreakHyphen/>
      </w:r>
      <w:r>
        <w:t xml:space="preserve">01952 (La. 08/14/20); 300 So.3d 840;</w:t>
      </w:r>
      <w:r>
        <w:t xml:space="preserve"> </w:t>
      </w:r>
      <w:r>
        <w:rPr>
          <w:i/>
          <w:iCs/>
        </w:rPr>
        <w:t xml:space="preserve">State</w:t>
      </w:r>
      <w:r>
        <w:rPr>
          <w:i/>
          <w:iCs/>
        </w:rPr>
        <w:t xml:space="preserve"> </w:t>
      </w:r>
      <w:r>
        <w:rPr>
          <w:i/>
          <w:iCs/>
        </w:rPr>
        <w:t xml:space="preserve">v. Sims</w:t>
      </w:r>
      <w:r>
        <w:t xml:space="preserve">, 2020</w:t>
      </w:r>
      <w:r>
        <w:noBreakHyphen/>
      </w:r>
      <w:r>
        <w:t xml:space="preserve">00298 (La. 09/08/20); 301 So.3d 17;</w:t>
      </w:r>
      <w:r>
        <w:t xml:space="preserve"> </w:t>
      </w:r>
      <w:r>
        <w:rPr>
          <w:i/>
          <w:iCs/>
        </w:rPr>
        <w:t xml:space="preserve">State</w:t>
      </w:r>
      <w:r>
        <w:rPr>
          <w:i/>
          <w:iCs/>
        </w:rPr>
        <w:t xml:space="preserve"> </w:t>
      </w:r>
      <w:r>
        <w:rPr>
          <w:i/>
          <w:iCs/>
        </w:rPr>
        <w:t xml:space="preserve">v. Johnson</w:t>
      </w:r>
      <w:r>
        <w:t xml:space="preserve">, 2020</w:t>
      </w:r>
      <w:r>
        <w:noBreakHyphen/>
      </w:r>
      <w:r>
        <w:t xml:space="preserve">00052 (La. 09/29/20), 2020 WL 5793805.</w:t>
      </w:r>
    </w:p>
  </w:footnote>
  <w:footnote w:id="125">
    <w:p>
      <w:pPr>
        <w:pStyle w:val="FootnoteText"/>
      </w:pPr>
      <w:r>
        <w:rPr>
          <w:rStyle w:val="FootnoteReference"/>
        </w:rPr>
        <w:footnoteRef/>
      </w:r>
      <w:r>
        <w:t xml:space="preserve"> </w:t>
      </w:r>
      <w:r>
        <w:rPr>
          <w:i/>
          <w:iCs/>
        </w:rPr>
        <w:t xml:space="preserve">See also</w:t>
      </w:r>
      <w:r>
        <w:t xml:space="preserve"> </w:t>
      </w:r>
      <w:r>
        <w:rPr>
          <w:i/>
          <w:iCs/>
        </w:rPr>
        <w:t xml:space="preserve">id.</w:t>
      </w:r>
      <w:r>
        <w:t xml:space="preserve"> </w:t>
      </w:r>
      <w:r>
        <w:t xml:space="preserve">at 129 n.69. This court has repeatedly held that a writ denial by the court has no precedential value.</w:t>
      </w:r>
      <w:r>
        <w:t xml:space="preserve"> </w:t>
      </w:r>
      <w:r>
        <w:rPr>
          <w:i/>
          <w:iCs/>
        </w:rPr>
        <w:t xml:space="preserve">St. Tammany</w:t>
      </w:r>
      <w:r>
        <w:rPr>
          <w:i/>
          <w:iCs/>
        </w:rPr>
        <w:t xml:space="preserve"> </w:t>
      </w:r>
      <w:r>
        <w:rPr>
          <w:i/>
          <w:iCs/>
        </w:rPr>
        <w:t xml:space="preserve">Manor v. Spartan Bldg. Corp.</w:t>
      </w:r>
      <w:r>
        <w:t xml:space="preserve">, 509 So.2d 424, 428 (La. 1987) (“A writ denial by this Court has no precedential value.”). Additionally, “once [a] court of appeal denie[s] a writ, any additional remarks of findings are not binding.”</w:t>
      </w:r>
      <w:r>
        <w:t xml:space="preserve"> </w:t>
      </w:r>
      <w:r>
        <w:rPr>
          <w:i/>
          <w:iCs/>
        </w:rPr>
        <w:t xml:space="preserve">Maloney</w:t>
      </w:r>
      <w:r>
        <w:rPr>
          <w:i/>
          <w:iCs/>
        </w:rPr>
        <w:t xml:space="preserve"> </w:t>
      </w:r>
      <w:r>
        <w:rPr>
          <w:i/>
          <w:iCs/>
        </w:rPr>
        <w:t xml:space="preserve">Cinque, L.L.C. v. Pacific Ins. Co. Ltd.</w:t>
      </w:r>
      <w:r>
        <w:t xml:space="preserve">, 10</w:t>
      </w:r>
      <w:r>
        <w:noBreakHyphen/>
      </w:r>
      <w:r>
        <w:t xml:space="preserve">1164 (La. 05/21/10); 36 So.3d 236;</w:t>
      </w:r>
      <w:r>
        <w:t xml:space="preserve"> </w:t>
      </w:r>
      <w:r>
        <w:rPr>
          <w:i/>
          <w:iCs/>
        </w:rPr>
        <w:t xml:space="preserve">see also, Davis v. Jazz Casino Co., L.L.C.</w:t>
      </w:r>
      <w:r>
        <w:t xml:space="preserve">, 03</w:t>
      </w:r>
      <w:r>
        <w:noBreakHyphen/>
      </w:r>
      <w:r>
        <w:t xml:space="preserve">0276, p.1 (La. 06/06/03); 849 So.2d 497, 498 (when a court of appeal “declines to exercise its supervisory jurisdiction by denying the writ, the court was without jurisdiction to affirm, reverse or modify the judgment of the trial court. Thus, any language in the court of appeal’s earlier writ denial purporting to find no error in the trial court’s certification ruling is without effect.”).</w:t>
      </w:r>
    </w:p>
  </w:footnote>
  <w:footnote w:id="126">
    <w:p>
      <w:pPr>
        <w:pStyle w:val="FootnoteText"/>
      </w:pPr>
      <w:r>
        <w:rPr>
          <w:rStyle w:val="FootnoteReference"/>
        </w:rPr>
        <w:footnoteRef/>
      </w:r>
      <w:r>
        <w:t xml:space="preserve"> </w:t>
      </w:r>
      <w:r>
        <w:t xml:space="preserve">Lea Skene,</w:t>
      </w:r>
      <w:r>
        <w:t xml:space="preserve"> </w:t>
      </w:r>
      <w:r>
        <w:rPr>
          <w:i/>
          <w:iCs/>
        </w:rPr>
        <w:t xml:space="preserve">Louisiana’s Life Without Parole sentencing the Nation’s Highest—and Some Say That Should Change</w:t>
      </w:r>
      <w:r>
        <w:t xml:space="preserve">, THE ADVOCATE (Dec. 7, 2019), https://​www.​theadvocate.​com/​baton_rouge/​news/​article_f6309822</w:t>
      </w:r>
      <w:r>
        <w:noBreakHyphen/>
      </w:r>
      <w:r>
        <w:t xml:space="preserve">17ac</w:t>
      </w:r>
      <w:r>
        <w:noBreakHyphen/>
      </w:r>
      <w:r>
        <w:t xml:space="preserve">11ea</w:t>
      </w:r>
      <w:r>
        <w:noBreakHyphen/>
      </w:r>
      <w:r>
        <w:t xml:space="preserve">8750-​f7d212aa28f8.​html [https://​perma.​cc/​HYR8-​PHNR].</w:t>
      </w:r>
    </w:p>
  </w:footnote>
  <w:footnote w:id="127">
    <w:p>
      <w:pPr>
        <w:pStyle w:val="FootnoteText"/>
      </w:pPr>
      <w:r>
        <w:rPr>
          <w:rStyle w:val="FootnoteReference"/>
        </w:rPr>
        <w:footnoteRef/>
      </w:r>
      <w:r>
        <w:t xml:space="preserve"> </w:t>
      </w:r>
      <w:r>
        <w:t xml:space="preserve">JOHN BEL EDWARDS &amp; JAMES M. LEBLANC, LOUISIANA CORRECTIONS: BRIEFING BOOK 28 (July 2020),</w:t>
      </w:r>
      <w:r>
        <w:t xml:space="preserve"> </w:t>
      </w:r>
      <w:r>
        <w:rPr>
          <w:i/>
          <w:iCs/>
        </w:rPr>
        <w:t xml:space="preserve">available at</w:t>
      </w:r>
      <w:r>
        <w:t xml:space="preserve"> </w:t>
      </w:r>
      <w:r>
        <w:t xml:space="preserve">https://​s32082.​pcdn.​co/​wp-​content/​uploads/​2020/​08/​Full-​BB-​Jul</w:t>
      </w:r>
      <w:r>
        <w:noBreakHyphen/>
      </w:r>
      <w:r>
        <w:t xml:space="preserve">20.​pdf [https://​perma.​cc/​QTR2-​TRUB]; TCR</w:t>
      </w:r>
      <w:r>
        <w:t xml:space="preserve"> </w:t>
      </w:r>
      <w:r>
        <w:t xml:space="preserve">Staff,</w:t>
      </w:r>
      <w:r>
        <w:t xml:space="preserve"> </w:t>
      </w:r>
      <w:r>
        <w:rPr>
          <w:i/>
          <w:iCs/>
        </w:rPr>
        <w:t xml:space="preserve">Louisiana Leads Nation in Life Without Parole Terms</w:t>
      </w:r>
      <w:r>
        <w:t xml:space="preserve">, THE CRIME REPORT (Dec. 12, 2019), https://​thecrimereport.​org/​2019/​12/​12/​louisiana-​leads-​nation-​in-​lifewithout-​parole-​terms [https://​perma.​cc/​G3PL</w:t>
      </w:r>
      <w:r>
        <w:noBreakHyphen/>
      </w:r>
      <w:r>
        <w:t xml:space="preserve">8SDK].</w:t>
      </w:r>
    </w:p>
  </w:footnote>
  <w:footnote w:id="128">
    <w:p>
      <w:pPr>
        <w:pStyle w:val="FootnoteText"/>
      </w:pPr>
      <w:r>
        <w:rPr>
          <w:rStyle w:val="FootnoteReference"/>
        </w:rPr>
        <w:footnoteRef/>
      </w:r>
      <w:r>
        <w:t xml:space="preserve"> </w:t>
      </w:r>
      <w:r>
        <w:t xml:space="preserve">TCR Staff,</w:t>
      </w:r>
      <w:r>
        <w:t xml:space="preserve"> </w:t>
      </w:r>
      <w:r>
        <w:rPr>
          <w:i/>
          <w:iCs/>
        </w:rPr>
        <w:t xml:space="preserve">supra</w:t>
      </w:r>
      <w:r>
        <w:t xml:space="preserve"> </w:t>
      </w:r>
      <w:r>
        <w:t xml:space="preserve">note 119.</w:t>
      </w:r>
    </w:p>
  </w:footnote>
  <w:footnote w:id="129">
    <w:p>
      <w:pPr>
        <w:pStyle w:val="FootnoteText"/>
      </w:pPr>
      <w:r>
        <w:rPr>
          <w:rStyle w:val="FootnoteReference"/>
        </w:rPr>
        <w:footnoteRef/>
      </w:r>
      <w:r>
        <w:t xml:space="preserve"> </w:t>
      </w:r>
      <w:r>
        <w:t xml:space="preserve">Jamila</w:t>
      </w:r>
      <w:r>
        <w:t xml:space="preserve"> </w:t>
      </w:r>
      <w:r>
        <w:t xml:space="preserve">Johnson &amp; Talia MacMath,</w:t>
      </w:r>
      <w:r>
        <w:t xml:space="preserve"> </w:t>
      </w:r>
      <w:r>
        <w:rPr>
          <w:i/>
          <w:iCs/>
        </w:rPr>
        <w:t xml:space="preserve">State Courts Must Combat Mass Incarceration by Granting Broader Retroactivity to New Rules Than is Provided Under the Federal Teague v. Lane Test</w:t>
      </w:r>
      <w:r>
        <w:t xml:space="preserve">, 111 J. CRIM. L. &amp; CRIMINOLOGY ONLINE 33, 48 (2021).</w:t>
      </w:r>
    </w:p>
  </w:footnote>
  <w:footnote w:id="130">
    <w:p>
      <w:pPr>
        <w:pStyle w:val="FootnoteText"/>
      </w:pPr>
      <w:r>
        <w:rPr>
          <w:rStyle w:val="FootnoteReference"/>
        </w:rPr>
        <w:footnoteRef/>
      </w:r>
      <w:r>
        <w:t xml:space="preserve"> </w:t>
      </w:r>
      <w:r>
        <w:rPr>
          <w:i/>
          <w:iCs/>
        </w:rPr>
        <w:t xml:space="preserve">See</w:t>
      </w:r>
      <w:r>
        <w:t xml:space="preserve"> </w:t>
      </w:r>
      <w:r>
        <w:t xml:space="preserve">NAT’L CENTER FOR STATE COURTS, STATE OF THE STATE COURTS IN A (POST) PANDEMIC WORLD 4 (2020),</w:t>
      </w:r>
      <w:r>
        <w:t xml:space="preserve"> </w:t>
      </w:r>
      <w:r>
        <w:rPr>
          <w:i/>
          <w:iCs/>
        </w:rPr>
        <w:t xml:space="preserve">available at</w:t>
      </w:r>
      <w:r>
        <w:t xml:space="preserve"> </w:t>
      </w:r>
      <w:r>
        <w:t xml:space="preserve">https://​www.​ncsc.​org/​__data/​assets/​pdf_file/​0005/​41000/​COVID19-​Poll-​Presentation.​pdf. In 2021, national survey results across races showed that Americans’ trust in courts’ ability to provide equal justice to all reached a 10-year low, with only 46% of Americans trusting state court systems’ ability to provide equal justice to all. NAT’L CENTER FOR STATE COURTS, STATE OF THE STATE COURTS 2021 POLL 6 (2021),</w:t>
      </w:r>
      <w:r>
        <w:t xml:space="preserve"> </w:t>
      </w:r>
      <w:r>
        <w:rPr>
          <w:i/>
          <w:iCs/>
        </w:rPr>
        <w:t xml:space="preserve">available at</w:t>
      </w:r>
      <w:r>
        <w:t xml:space="preserve"> </w:t>
      </w:r>
      <w:r>
        <w:t xml:space="preserve">https://​www.​ncsc.​org/​__data/​assets/​pdf_file/​0020/​70580/​SSC_2021_Presentation.​pdf.</w:t>
      </w:r>
    </w:p>
  </w:footnote>
  <w:footnote w:id="131">
    <w:p>
      <w:pPr>
        <w:pStyle w:val="FootnoteText"/>
      </w:pPr>
      <w:r>
        <w:rPr>
          <w:rStyle w:val="FootnoteReference"/>
        </w:rPr>
        <w:footnoteRef/>
      </w:r>
      <w:r>
        <w:t xml:space="preserve"> </w:t>
      </w:r>
      <w:r>
        <w:t xml:space="preserve">This is especially true for Black jurists who serve this state’s bar and have to reconcile their oath to support our state’s constitution with the knowledge that, for generations, that very constitution was specifically designed to subjugate its Black populace.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8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20" w:after="120" w:line="276" w:lineRule="exact"/>
      <w:ind w:left="720" w:right="720" w:firstLine="0"/>
    </w:pPr>
  </w:style>
  <w:style w:type="paragraph" w:customStyle="1" w:styleId="XdQuoteFirst">
    <w:name w:val="Xd Quote First"/>
    <w:basedOn w:val="Normal"/>
    <w:qFormat/>
    <w:pPr>
      <w:spacing w:before="240" w:after="120" w:line="276" w:lineRule="exact"/>
      <w:ind w:left="720" w:right="720" w:firstLine="0"/>
    </w:pPr>
  </w:style>
  <w:style w:type="paragraph" w:customStyle="1" w:styleId="XdQuoteLast">
    <w:name w:val="Xd Quote Last"/>
    <w:basedOn w:val="Normal"/>
    <w:qFormat/>
    <w:pPr>
      <w:spacing w:before="12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