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p>
    <w:p>
      <w:pPr>
        <w:spacing w:before="0" w:after="480" w:line="276" w:lineRule="exact"/>
        <w:ind w:left="0" w:firstLine="0"/>
        <w:jc w:val="center"/>
      </w:pP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WEST</w:t>
      </w:r>
      <w:r>
        <w:t xml:space="preserve"> </w:t>
      </w:r>
      <w:r>
        <w:t xml:space="preserve">VIRGINIA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BLACKJEWEL,</w:t>
            </w:r>
            <w:r>
              <w:t xml:space="preserve"> </w:t>
            </w:r>
            <w:r>
              <w:t xml:space="preserve">L.L.C.,</w:t>
            </w:r>
            <w:r>
              <w:t xml:space="preserve"> </w:t>
            </w:r>
            <w:r>
              <w:t xml:space="preserve">et</w:t>
            </w:r>
            <w:r>
              <w:t xml:space="preserve"> </w:t>
            </w:r>
            <w:r>
              <w:t xml:space="preserve">al.,</w:t>
            </w:r>
          </w:p>
          <w:p>
            <w:pPr>
              <w:spacing w:before="0" w:after="0" w:line="276" w:lineRule="exact"/>
              <w:ind w:left="2592" w:firstLine="0"/>
              <w:jc w:val="left"/>
            </w:pPr>
            <w:r>
              <w:t xml:space="preserve">Debtors.</w:t>
            </w:r>
            <w:r>
              <w:rPr>
                <w:vertAlign w:val="superscript"/>
              </w:rPr>
              <w:t>*</w:t>
            </w:r>
          </w:p>
          <w:p>
            <w:pPr>
              <w:spacing w:before="240" w:after="0" w:line="276" w:lineRule="exact"/>
              <w:ind w:left="0" w:firstLine="0"/>
              <w:jc w:val="left"/>
            </w:pPr>
            <w:r>
              <w:t xml:space="preserve">Shawn</w:t>
            </w:r>
            <w:r>
              <w:t xml:space="preserve"> </w:t>
            </w:r>
            <w:r>
              <w:t xml:space="preserve">Abner,</w:t>
            </w:r>
            <w:r>
              <w:t xml:space="preserve"> </w:t>
            </w:r>
            <w:r>
              <w:t xml:space="preserve">Jacob</w:t>
            </w:r>
            <w:r>
              <w:t xml:space="preserve"> </w:t>
            </w:r>
            <w:r>
              <w:t xml:space="preserve">Helton,</w:t>
            </w:r>
            <w:r>
              <w:t xml:space="preserve"> </w:t>
            </w:r>
            <w:r>
              <w:t xml:space="preserve">Billy</w:t>
            </w:r>
            <w:r>
              <w:t xml:space="preserve"> </w:t>
            </w:r>
            <w:r>
              <w:t xml:space="preserve">Hatton,</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others</w:t>
            </w:r>
            <w:r>
              <w:t xml:space="preserve"> </w:t>
            </w:r>
            <w:r>
              <w:t xml:space="preserve">similarly</w:t>
            </w:r>
            <w:r>
              <w:t xml:space="preserve"> </w:t>
            </w:r>
            <w:r>
              <w:t xml:space="preserve">situated,</w:t>
            </w:r>
          </w:p>
          <w:p>
            <w:pPr>
              <w:spacing w:before="0" w:after="0" w:line="276" w:lineRule="exact"/>
              <w:ind w:left="2592" w:firstLine="0"/>
              <w:jc w:val="left"/>
            </w:pPr>
            <w:r>
              <w:t xml:space="preserve">Plaintiffs,</w:t>
            </w:r>
          </w:p>
          <w:p>
            <w:pPr>
              <w:spacing w:before="240" w:after="240" w:line="276" w:lineRule="exact"/>
              <w:ind w:left="1728" w:firstLine="0"/>
              <w:jc w:val="left"/>
            </w:pPr>
            <w:r>
              <w:t xml:space="preserve">v.</w:t>
            </w:r>
          </w:p>
          <w:p>
            <w:pPr>
              <w:spacing w:before="0" w:after="0" w:line="276" w:lineRule="exact"/>
              <w:ind w:left="0" w:firstLine="0"/>
              <w:jc w:val="left"/>
            </w:pPr>
            <w:r>
              <w:t xml:space="preserve">Blackjewel,</w:t>
            </w:r>
            <w:r>
              <w:t xml:space="preserve"> </w:t>
            </w:r>
            <w:r>
              <w:t xml:space="preserve">L.L.C.,</w:t>
            </w:r>
            <w:r>
              <w:t xml:space="preserve"> </w:t>
            </w:r>
            <w:r>
              <w:t xml:space="preserve">Revelation</w:t>
            </w:r>
            <w:r>
              <w:t xml:space="preserve"> </w:t>
            </w:r>
            <w:r>
              <w:t xml:space="preserve">Energy,</w:t>
            </w:r>
            <w:r>
              <w:t xml:space="preserve"> </w:t>
            </w:r>
            <w:r>
              <w:t xml:space="preserve">LLC,</w:t>
            </w:r>
            <w:r>
              <w:t xml:space="preserve"> </w:t>
            </w:r>
            <w:r>
              <w:t xml:space="preserve">Lexington</w:t>
            </w:r>
            <w:r>
              <w:t xml:space="preserve"> </w:t>
            </w:r>
            <w:r>
              <w:t xml:space="preserve">Coal</w:t>
            </w:r>
            <w:r>
              <w:t xml:space="preserve"> </w:t>
            </w:r>
            <w:r>
              <w:t xml:space="preserve">Co.,</w:t>
            </w:r>
            <w:r>
              <w:t xml:space="preserve"> </w:t>
            </w:r>
            <w:r>
              <w:t xml:space="preserve">LLC,</w:t>
            </w:r>
            <w:r>
              <w:t xml:space="preserve"> </w:t>
            </w:r>
            <w:r>
              <w:t xml:space="preserve">Jeff</w:t>
            </w:r>
            <w:r>
              <w:t xml:space="preserve"> </w:t>
            </w:r>
            <w:r>
              <w:t xml:space="preserve">Hoops,</w:t>
            </w:r>
            <w:r>
              <w:t xml:space="preserve"> </w:t>
            </w:r>
            <w:r>
              <w:t xml:space="preserve">Sr.,</w:t>
            </w:r>
            <w:r>
              <w:t xml:space="preserve"> </w:t>
            </w:r>
            <w:r>
              <w:t xml:space="preserve">Jeffers</w:t>
            </w:r>
            <w:r>
              <w:t xml:space="preserve"> </w:t>
            </w:r>
            <w:r>
              <w:t xml:space="preserve">A.</w:t>
            </w:r>
            <w:r>
              <w:t xml:space="preserve"> </w:t>
            </w:r>
            <w:r>
              <w:t xml:space="preserve">Hoops,</w:t>
            </w:r>
            <w:r>
              <w:t xml:space="preserve"> </w:t>
            </w:r>
            <w:r>
              <w:t xml:space="preserve">II</w:t>
            </w:r>
          </w:p>
          <w:p>
            <w:pPr>
              <w:spacing w:before="0" w:after="240" w:line="276" w:lineRule="exact"/>
              <w:ind w:left="2592" w:firstLine="0"/>
              <w:jc w:val="left"/>
            </w:pPr>
            <w:r>
              <w:t xml:space="preserve">Defendants.</w:t>
            </w:r>
          </w:p>
        </w:tc>
        <w:tc>
          <w:tcPr>
            <w:tcW w:w="4680" w:type="dxa"/>
            <w:tcMar>
              <w:left w:w="288" w:type="dxa"/>
            </w:tcMar>
          </w:tcPr>
          <w:p>
            <w:pPr>
              <w:spacing w:before="0" w:after="0" w:line="276" w:lineRule="exact"/>
              <w:ind w:left="0" w:firstLine="0"/>
              <w:jc w:val="left"/>
            </w:pPr>
            <w:r>
              <w:t xml:space="preserve">Chapter</w:t>
            </w:r>
            <w:r>
              <w:t xml:space="preserve"> </w:t>
            </w:r>
            <w:r>
              <w:t xml:space="preserve">11</w:t>
            </w:r>
          </w:p>
          <w:p>
            <w:pPr>
              <w:spacing w:before="0" w:after="0" w:line="276" w:lineRule="exact"/>
              <w:ind w:left="0" w:firstLine="0"/>
              <w:jc w:val="left"/>
            </w:pPr>
            <w:r>
              <w:t xml:space="preserve">Case</w:t>
            </w:r>
            <w:r>
              <w:t xml:space="preserve"> </w:t>
            </w:r>
            <w:r>
              <w:t xml:space="preserve">No.</w:t>
            </w:r>
            <w:r>
              <w:t xml:space="preserve"> </w:t>
            </w:r>
            <w:r>
              <w:t xml:space="preserve">19</w:t>
              <w:noBreakHyphen/>
              <w:t xml:space="preserve">30289</w:t>
            </w:r>
          </w:p>
          <w:p>
            <w:pPr>
              <w:spacing w:before="0" w:after="0" w:line="276" w:lineRule="exact"/>
              <w:ind w:left="0" w:firstLine="0"/>
              <w:jc w:val="left"/>
            </w:pPr>
            <w:r>
              <w:t xml:space="preserve">(Joint</w:t>
            </w:r>
            <w:r>
              <w:t xml:space="preserve"> </w:t>
            </w:r>
            <w:r>
              <w:t xml:space="preserve">Administration</w:t>
            </w:r>
            <w:r>
              <w:t xml:space="preserve"> </w:t>
            </w:r>
            <w:r>
              <w:t xml:space="preserve">Requested)</w:t>
            </w:r>
          </w:p>
          <w:p>
            <w:pPr>
              <w:spacing w:before="0" w:after="0" w:line="276" w:lineRule="exact"/>
              <w:ind w:left="0" w:firstLine="0"/>
              <w:jc w:val="left"/>
            </w:pPr>
            <w:r>
              <w:t xml:space="preserve">Adversary</w:t>
            </w:r>
            <w:r>
              <w:t xml:space="preserve"> </w:t>
            </w:r>
            <w:r>
              <w:t xml:space="preserve">Proceeding</w:t>
            </w:r>
          </w:p>
          <w:p>
            <w:pPr>
              <w:spacing w:before="0" w:after="0" w:line="276" w:lineRule="exact"/>
              <w:ind w:left="0" w:firstLine="0"/>
              <w:jc w:val="left"/>
            </w:pPr>
            <w:r>
              <w:t xml:space="preserve">No.</w:t>
            </w:r>
            <w:r>
              <w:t xml:space="preserve"> </w:t>
            </w:r>
            <w:r>
              <w:t xml:space="preserve">____________________</w:t>
            </w:r>
          </w:p>
        </w:tc>
      </w:tr>
    </w:tbl>
    <w:p>
      <w:pPr>
        <w:spacing w:before="120" w:after="0" w:line="230" w:lineRule="exact"/>
        <w:ind w:left="0" w:firstLine="0"/>
        <w:jc w:val="left"/>
      </w:pPr>
      <w:r>
        <w:rPr>
          <w:sz w:val="20"/>
          <w:szCs w:val="20"/>
        </w:rPr>
        <w:t xml:space="preserve">* </w:t>
      </w:r>
      <w:r>
        <w:rPr>
          <w:sz w:val="20"/>
          <w:szCs w:val="20"/>
        </w:rPr>
        <w:t xml:space="preserve">The</w:t>
      </w:r>
      <w:r>
        <w:rPr>
          <w:sz w:val="20"/>
          <w:szCs w:val="20"/>
        </w:rPr>
        <w:t xml:space="preserve"> </w:t>
      </w:r>
      <w:r>
        <w:rPr>
          <w:sz w:val="20"/>
          <w:szCs w:val="20"/>
        </w:rPr>
        <w:t xml:space="preserve">debtors</w:t>
      </w:r>
      <w:r>
        <w:rPr>
          <w:sz w:val="20"/>
          <w:szCs w:val="20"/>
        </w:rPr>
        <w:t xml:space="preserve"> </w:t>
      </w:r>
      <w:r>
        <w:rPr>
          <w:sz w:val="20"/>
          <w:szCs w:val="20"/>
        </w:rPr>
        <w:t xml:space="preserve">in</w:t>
      </w:r>
      <w:r>
        <w:rPr>
          <w:sz w:val="20"/>
          <w:szCs w:val="20"/>
        </w:rPr>
        <w:t xml:space="preserve"> </w:t>
      </w:r>
      <w:r>
        <w:rPr>
          <w:sz w:val="20"/>
          <w:szCs w:val="20"/>
        </w:rPr>
        <w:t xml:space="preserve">the</w:t>
      </w:r>
      <w:r>
        <w:rPr>
          <w:sz w:val="20"/>
          <w:szCs w:val="20"/>
        </w:rPr>
        <w:t xml:space="preserve"> </w:t>
      </w:r>
      <w:r>
        <w:rPr>
          <w:sz w:val="20"/>
          <w:szCs w:val="20"/>
        </w:rPr>
        <w:t xml:space="preserve">above-captioned</w:t>
      </w:r>
      <w:r>
        <w:rPr>
          <w:sz w:val="20"/>
          <w:szCs w:val="20"/>
        </w:rPr>
        <w:t xml:space="preserve"> </w:t>
      </w:r>
      <w:r>
        <w:rPr>
          <w:sz w:val="20"/>
          <w:szCs w:val="20"/>
        </w:rPr>
        <w:t xml:space="preserve">chapter</w:t>
      </w:r>
      <w:r>
        <w:rPr>
          <w:sz w:val="20"/>
          <w:szCs w:val="20"/>
        </w:rPr>
        <w:t xml:space="preserve"> </w:t>
      </w:r>
      <w:r>
        <w:rPr>
          <w:sz w:val="20"/>
          <w:szCs w:val="20"/>
        </w:rPr>
        <w:t xml:space="preserve">11</w:t>
      </w:r>
      <w:r>
        <w:rPr>
          <w:sz w:val="20"/>
          <w:szCs w:val="20"/>
        </w:rPr>
        <w:t xml:space="preserve"> </w:t>
      </w:r>
      <w:r>
        <w:rPr>
          <w:sz w:val="20"/>
          <w:szCs w:val="20"/>
        </w:rPr>
        <w:t xml:space="preserve">cases</w:t>
      </w:r>
      <w:r>
        <w:rPr>
          <w:sz w:val="20"/>
          <w:szCs w:val="20"/>
        </w:rPr>
        <w:t xml:space="preserve"> </w:t>
      </w:r>
      <w:r>
        <w:rPr>
          <w:sz w:val="20"/>
          <w:szCs w:val="20"/>
        </w:rPr>
        <w:t xml:space="preserve">and</w:t>
      </w:r>
      <w:r>
        <w:rPr>
          <w:sz w:val="20"/>
          <w:szCs w:val="20"/>
        </w:rPr>
        <w:t xml:space="preserve"> </w:t>
      </w:r>
      <w:r>
        <w:rPr>
          <w:sz w:val="20"/>
          <w:szCs w:val="20"/>
        </w:rPr>
        <w:t xml:space="preserve">the</w:t>
      </w:r>
      <w:r>
        <w:rPr>
          <w:sz w:val="20"/>
          <w:szCs w:val="20"/>
        </w:rPr>
        <w:t xml:space="preserve"> </w:t>
      </w:r>
      <w:r>
        <w:rPr>
          <w:sz w:val="20"/>
          <w:szCs w:val="20"/>
        </w:rPr>
        <w:t xml:space="preserve">last</w:t>
      </w:r>
      <w:r>
        <w:rPr>
          <w:sz w:val="20"/>
          <w:szCs w:val="20"/>
        </w:rPr>
        <w:t xml:space="preserve"> </w:t>
      </w:r>
      <w:r>
        <w:rPr>
          <w:sz w:val="20"/>
          <w:szCs w:val="20"/>
        </w:rPr>
        <w:t xml:space="preserve">four</w:t>
      </w:r>
      <w:r>
        <w:rPr>
          <w:sz w:val="20"/>
          <w:szCs w:val="20"/>
        </w:rPr>
        <w:t xml:space="preserve"> </w:t>
      </w:r>
      <w:r>
        <w:rPr>
          <w:sz w:val="20"/>
          <w:szCs w:val="20"/>
        </w:rPr>
        <w:t xml:space="preserve">digits</w:t>
      </w:r>
      <w:r>
        <w:rPr>
          <w:sz w:val="20"/>
          <w:szCs w:val="20"/>
        </w:rPr>
        <w:t xml:space="preserve"> </w:t>
      </w:r>
      <w:r>
        <w:rPr>
          <w:sz w:val="20"/>
          <w:szCs w:val="20"/>
        </w:rPr>
        <w:t xml:space="preserve">of</w:t>
      </w:r>
      <w:r>
        <w:rPr>
          <w:sz w:val="20"/>
          <w:szCs w:val="20"/>
        </w:rPr>
        <w:t xml:space="preserve"> </w:t>
      </w:r>
      <w:r>
        <w:rPr>
          <w:sz w:val="20"/>
          <w:szCs w:val="20"/>
        </w:rPr>
        <w:t xml:space="preserve">each</w:t>
      </w:r>
      <w:r>
        <w:rPr>
          <w:sz w:val="20"/>
          <w:szCs w:val="20"/>
        </w:rPr>
        <w:t xml:space="preserve"> </w:t>
      </w:r>
      <w:r>
        <w:rPr>
          <w:sz w:val="20"/>
          <w:szCs w:val="20"/>
        </w:rPr>
        <w:t xml:space="preserve">debtor’s</w:t>
      </w:r>
      <w:r>
        <w:rPr>
          <w:sz w:val="20"/>
          <w:szCs w:val="20"/>
        </w:rPr>
        <w:t xml:space="preserve"> </w:t>
      </w:r>
      <w:r>
        <w:rPr>
          <w:sz w:val="20"/>
          <w:szCs w:val="20"/>
        </w:rPr>
        <w:t xml:space="preserve">taxpayer</w:t>
      </w:r>
      <w:r>
        <w:rPr>
          <w:sz w:val="20"/>
          <w:szCs w:val="20"/>
        </w:rPr>
        <w:t xml:space="preserve"> </w:t>
      </w:r>
      <w:r>
        <w:rPr>
          <w:sz w:val="20"/>
          <w:szCs w:val="20"/>
        </w:rPr>
        <w:t xml:space="preserve">identification</w:t>
      </w:r>
      <w:r>
        <w:rPr>
          <w:sz w:val="20"/>
          <w:szCs w:val="20"/>
        </w:rPr>
        <w:t xml:space="preserve"> </w:t>
      </w:r>
      <w:r>
        <w:rPr>
          <w:sz w:val="20"/>
          <w:szCs w:val="20"/>
        </w:rPr>
        <w:t xml:space="preserve">number</w:t>
      </w:r>
      <w:r>
        <w:rPr>
          <w:sz w:val="20"/>
          <w:szCs w:val="20"/>
        </w:rPr>
        <w:t xml:space="preserve"> </w:t>
      </w:r>
      <w:r>
        <w:rPr>
          <w:sz w:val="20"/>
          <w:szCs w:val="20"/>
        </w:rPr>
        <w:t xml:space="preserve">are</w:t>
      </w:r>
      <w:r>
        <w:rPr>
          <w:sz w:val="20"/>
          <w:szCs w:val="20"/>
        </w:rPr>
        <w:t xml:space="preserve"> </w:t>
      </w:r>
      <w:r>
        <w:rPr>
          <w:sz w:val="20"/>
          <w:szCs w:val="20"/>
        </w:rPr>
        <w:t xml:space="preserve">as</w:t>
      </w:r>
      <w:r>
        <w:rPr>
          <w:sz w:val="20"/>
          <w:szCs w:val="20"/>
        </w:rPr>
        <w:t xml:space="preserve"> </w:t>
      </w:r>
      <w:r>
        <w:rPr>
          <w:sz w:val="20"/>
          <w:szCs w:val="20"/>
        </w:rPr>
        <w:t xml:space="preserve">follows:</w:t>
      </w:r>
      <w:r>
        <w:rPr>
          <w:sz w:val="20"/>
          <w:szCs w:val="20"/>
        </w:rPr>
        <w:t xml:space="preserve"> </w:t>
      </w:r>
      <w:r>
        <w:rPr>
          <w:sz w:val="20"/>
          <w:szCs w:val="20"/>
        </w:rPr>
        <w:t xml:space="preserve">Blackjewel,</w:t>
      </w:r>
      <w:r>
        <w:rPr>
          <w:sz w:val="20"/>
          <w:szCs w:val="20"/>
        </w:rPr>
        <w:t xml:space="preserve"> </w:t>
      </w:r>
      <w:r>
        <w:rPr>
          <w:sz w:val="20"/>
          <w:szCs w:val="20"/>
        </w:rPr>
        <w:t xml:space="preserve">L.L.C.</w:t>
      </w:r>
      <w:r>
        <w:rPr>
          <w:sz w:val="20"/>
          <w:szCs w:val="20"/>
        </w:rPr>
        <w:t xml:space="preserve"> </w:t>
      </w:r>
      <w:r>
        <w:rPr>
          <w:sz w:val="20"/>
          <w:szCs w:val="20"/>
        </w:rPr>
        <w:t xml:space="preserve">(0823);</w:t>
      </w:r>
      <w:r>
        <w:rPr>
          <w:sz w:val="20"/>
          <w:szCs w:val="20"/>
        </w:rPr>
        <w:t xml:space="preserve"> </w:t>
      </w:r>
      <w:r>
        <w:rPr>
          <w:sz w:val="20"/>
          <w:szCs w:val="20"/>
        </w:rPr>
        <w:t xml:space="preserve">Blackjewel</w:t>
      </w:r>
      <w:r>
        <w:rPr>
          <w:sz w:val="20"/>
          <w:szCs w:val="20"/>
        </w:rPr>
        <w:t xml:space="preserve"> </w:t>
      </w:r>
      <w:r>
        <w:rPr>
          <w:sz w:val="20"/>
          <w:szCs w:val="20"/>
        </w:rPr>
        <w:t xml:space="preserve">Holdings</w:t>
      </w:r>
      <w:r>
        <w:rPr>
          <w:sz w:val="20"/>
          <w:szCs w:val="20"/>
        </w:rPr>
        <w:t xml:space="preserve"> </w:t>
      </w:r>
      <w:r>
        <w:rPr>
          <w:sz w:val="20"/>
          <w:szCs w:val="20"/>
        </w:rPr>
        <w:t xml:space="preserve">L.L.C.</w:t>
      </w:r>
      <w:r>
        <w:rPr>
          <w:sz w:val="20"/>
          <w:szCs w:val="20"/>
        </w:rPr>
        <w:t xml:space="preserve"> </w:t>
      </w:r>
      <w:r>
        <w:rPr>
          <w:sz w:val="20"/>
          <w:szCs w:val="20"/>
        </w:rPr>
        <w:t xml:space="preserve">(4745);</w:t>
      </w:r>
      <w:r>
        <w:rPr>
          <w:sz w:val="20"/>
          <w:szCs w:val="20"/>
        </w:rPr>
        <w:t xml:space="preserve"> </w:t>
      </w:r>
      <w:r>
        <w:rPr>
          <w:sz w:val="20"/>
          <w:szCs w:val="20"/>
        </w:rPr>
        <w:t xml:space="preserve">Revelation</w:t>
      </w:r>
      <w:r>
        <w:rPr>
          <w:sz w:val="20"/>
          <w:szCs w:val="20"/>
        </w:rPr>
        <w:t xml:space="preserve"> </w:t>
      </w:r>
      <w:r>
        <w:rPr>
          <w:sz w:val="20"/>
          <w:szCs w:val="20"/>
        </w:rPr>
        <w:t xml:space="preserve">Energy</w:t>
      </w:r>
      <w:r>
        <w:rPr>
          <w:sz w:val="20"/>
          <w:szCs w:val="20"/>
        </w:rPr>
        <w:t xml:space="preserve"> </w:t>
      </w:r>
      <w:r>
        <w:rPr>
          <w:sz w:val="20"/>
          <w:szCs w:val="20"/>
        </w:rPr>
        <w:t xml:space="preserve">Holdings,</w:t>
      </w:r>
      <w:r>
        <w:rPr>
          <w:sz w:val="20"/>
          <w:szCs w:val="20"/>
        </w:rPr>
        <w:t xml:space="preserve"> </w:t>
      </w:r>
      <w:r>
        <w:rPr>
          <w:sz w:val="20"/>
          <w:szCs w:val="20"/>
        </w:rPr>
        <w:t xml:space="preserve">LLC</w:t>
      </w:r>
      <w:r>
        <w:rPr>
          <w:sz w:val="20"/>
          <w:szCs w:val="20"/>
        </w:rPr>
        <w:t xml:space="preserve"> </w:t>
      </w:r>
      <w:r>
        <w:rPr>
          <w:sz w:val="20"/>
          <w:szCs w:val="20"/>
        </w:rPr>
        <w:t xml:space="preserve">(8795);</w:t>
      </w:r>
      <w:r>
        <w:rPr>
          <w:sz w:val="20"/>
          <w:szCs w:val="20"/>
        </w:rPr>
        <w:t xml:space="preserve"> </w:t>
      </w:r>
      <w:r>
        <w:rPr>
          <w:sz w:val="20"/>
          <w:szCs w:val="20"/>
        </w:rPr>
        <w:t xml:space="preserve">Revelation</w:t>
      </w:r>
      <w:r>
        <w:rPr>
          <w:sz w:val="20"/>
          <w:szCs w:val="20"/>
        </w:rPr>
        <w:t xml:space="preserve"> </w:t>
      </w:r>
      <w:r>
        <w:rPr>
          <w:sz w:val="20"/>
          <w:szCs w:val="20"/>
        </w:rPr>
        <w:t xml:space="preserve">Management</w:t>
      </w:r>
      <w:r>
        <w:rPr>
          <w:sz w:val="20"/>
          <w:szCs w:val="20"/>
        </w:rPr>
        <w:t xml:space="preserve"> </w:t>
      </w:r>
      <w:r>
        <w:rPr>
          <w:sz w:val="20"/>
          <w:szCs w:val="20"/>
        </w:rPr>
        <w:t xml:space="preserve">Corporation</w:t>
      </w:r>
      <w:r>
        <w:rPr>
          <w:sz w:val="20"/>
          <w:szCs w:val="20"/>
        </w:rPr>
        <w:t xml:space="preserve"> </w:t>
      </w:r>
      <w:r>
        <w:rPr>
          <w:sz w:val="20"/>
          <w:szCs w:val="20"/>
        </w:rPr>
        <w:t xml:space="preserve">(8908)</w:t>
      </w:r>
      <w:r>
        <w:rPr>
          <w:sz w:val="20"/>
          <w:szCs w:val="20"/>
        </w:rPr>
        <w:t xml:space="preserve"> </w:t>
      </w:r>
      <w:r>
        <w:rPr>
          <w:sz w:val="20"/>
          <w:szCs w:val="20"/>
        </w:rPr>
        <w:t xml:space="preserve">and</w:t>
      </w:r>
      <w:r>
        <w:rPr>
          <w:sz w:val="20"/>
          <w:szCs w:val="20"/>
        </w:rPr>
        <w:t xml:space="preserve"> </w:t>
      </w:r>
      <w:r>
        <w:rPr>
          <w:sz w:val="20"/>
          <w:szCs w:val="20"/>
        </w:rPr>
        <w:t xml:space="preserve">Revelation</w:t>
      </w:r>
      <w:r>
        <w:rPr>
          <w:sz w:val="20"/>
          <w:szCs w:val="20"/>
        </w:rPr>
        <w:t xml:space="preserve"> </w:t>
      </w:r>
      <w:r>
        <w:rPr>
          <w:sz w:val="20"/>
          <w:szCs w:val="20"/>
        </w:rPr>
        <w:t xml:space="preserve">Energy,</w:t>
      </w:r>
      <w:r>
        <w:rPr>
          <w:sz w:val="20"/>
          <w:szCs w:val="20"/>
        </w:rPr>
        <w:t xml:space="preserve"> </w:t>
      </w:r>
      <w:r>
        <w:rPr>
          <w:sz w:val="20"/>
          <w:szCs w:val="20"/>
        </w:rPr>
        <w:t xml:space="preserve">LLC</w:t>
      </w:r>
      <w:r>
        <w:rPr>
          <w:sz w:val="20"/>
          <w:szCs w:val="20"/>
        </w:rPr>
        <w:t xml:space="preserve"> </w:t>
      </w:r>
      <w:r>
        <w:rPr>
          <w:sz w:val="20"/>
          <w:szCs w:val="20"/>
        </w:rPr>
        <w:t xml:space="preserve">(4605).</w:t>
      </w:r>
      <w:r>
        <w:rPr>
          <w:sz w:val="20"/>
          <w:szCs w:val="20"/>
        </w:rPr>
        <w:t xml:space="preserve"> </w:t>
      </w:r>
      <w:r>
        <w:rPr>
          <w:sz w:val="20"/>
          <w:szCs w:val="20"/>
        </w:rPr>
        <w:t xml:space="preserve">The</w:t>
      </w:r>
      <w:r>
        <w:rPr>
          <w:sz w:val="20"/>
          <w:szCs w:val="20"/>
        </w:rPr>
        <w:t xml:space="preserve"> </w:t>
      </w:r>
      <w:r>
        <w:rPr>
          <w:sz w:val="20"/>
          <w:szCs w:val="20"/>
        </w:rPr>
        <w:t xml:space="preserve">headquarters</w:t>
      </w:r>
      <w:r>
        <w:rPr>
          <w:sz w:val="20"/>
          <w:szCs w:val="20"/>
        </w:rPr>
        <w:t xml:space="preserve"> </w:t>
      </w:r>
      <w:r>
        <w:rPr>
          <w:sz w:val="20"/>
          <w:szCs w:val="20"/>
        </w:rPr>
        <w:t xml:space="preserve">of</w:t>
      </w:r>
      <w:r>
        <w:rPr>
          <w:sz w:val="20"/>
          <w:szCs w:val="20"/>
        </w:rPr>
        <w:t xml:space="preserve"> </w:t>
      </w:r>
      <w:r>
        <w:rPr>
          <w:sz w:val="20"/>
          <w:szCs w:val="20"/>
        </w:rPr>
        <w:t xml:space="preserve">each</w:t>
      </w:r>
      <w:r>
        <w:rPr>
          <w:sz w:val="20"/>
          <w:szCs w:val="20"/>
        </w:rPr>
        <w:t xml:space="preserve"> </w:t>
      </w:r>
      <w:r>
        <w:rPr>
          <w:sz w:val="20"/>
          <w:szCs w:val="20"/>
        </w:rPr>
        <w:t xml:space="preserve">Debtor</w:t>
      </w:r>
      <w:r>
        <w:rPr>
          <w:sz w:val="20"/>
          <w:szCs w:val="20"/>
        </w:rPr>
        <w:t xml:space="preserve"> </w:t>
      </w:r>
      <w:r>
        <w:rPr>
          <w:sz w:val="20"/>
          <w:szCs w:val="20"/>
        </w:rPr>
        <w:t xml:space="preserve">is</w:t>
      </w:r>
      <w:r>
        <w:rPr>
          <w:sz w:val="20"/>
          <w:szCs w:val="20"/>
        </w:rPr>
        <w:t xml:space="preserve"> </w:t>
      </w:r>
      <w:r>
        <w:rPr>
          <w:sz w:val="20"/>
          <w:szCs w:val="20"/>
        </w:rPr>
        <w:t xml:space="preserve">located</w:t>
      </w:r>
      <w:r>
        <w:rPr>
          <w:sz w:val="20"/>
          <w:szCs w:val="20"/>
        </w:rPr>
        <w:t xml:space="preserve"> </w:t>
      </w:r>
      <w:r>
        <w:rPr>
          <w:sz w:val="20"/>
          <w:szCs w:val="20"/>
        </w:rPr>
        <w:t xml:space="preserve">at</w:t>
      </w:r>
      <w:r>
        <w:rPr>
          <w:sz w:val="20"/>
          <w:szCs w:val="20"/>
        </w:rPr>
        <w:t xml:space="preserve"> </w:t>
      </w:r>
      <w:r>
        <w:rPr>
          <w:sz w:val="20"/>
          <w:szCs w:val="20"/>
        </w:rPr>
        <w:t xml:space="preserve">1051</w:t>
      </w:r>
      <w:r>
        <w:rPr>
          <w:sz w:val="20"/>
          <w:szCs w:val="20"/>
        </w:rPr>
        <w:t xml:space="preserve"> </w:t>
      </w:r>
      <w:r>
        <w:rPr>
          <w:sz w:val="20"/>
          <w:szCs w:val="20"/>
        </w:rPr>
        <w:t xml:space="preserve">Main</w:t>
      </w:r>
      <w:r>
        <w:rPr>
          <w:sz w:val="20"/>
          <w:szCs w:val="20"/>
        </w:rPr>
        <w:t xml:space="preserve"> </w:t>
      </w:r>
      <w:r>
        <w:rPr>
          <w:sz w:val="20"/>
          <w:szCs w:val="20"/>
        </w:rPr>
        <w:t xml:space="preserve">Street,</w:t>
      </w:r>
      <w:r>
        <w:rPr>
          <w:sz w:val="20"/>
          <w:szCs w:val="20"/>
        </w:rPr>
        <w:t xml:space="preserve"> </w:t>
      </w:r>
      <w:r>
        <w:rPr>
          <w:sz w:val="20"/>
          <w:szCs w:val="20"/>
        </w:rPr>
        <w:t xml:space="preserve">Milton,</w:t>
      </w:r>
      <w:r>
        <w:rPr>
          <w:sz w:val="20"/>
          <w:szCs w:val="20"/>
        </w:rPr>
        <w:t xml:space="preserve"> </w:t>
      </w:r>
      <w:r>
        <w:rPr>
          <w:sz w:val="20"/>
          <w:szCs w:val="20"/>
        </w:rPr>
        <w:t xml:space="preserve">West</w:t>
      </w:r>
      <w:r>
        <w:rPr>
          <w:sz w:val="20"/>
          <w:szCs w:val="20"/>
        </w:rPr>
        <w:t xml:space="preserve"> </w:t>
      </w:r>
      <w:r>
        <w:rPr>
          <w:sz w:val="20"/>
          <w:szCs w:val="20"/>
        </w:rPr>
        <w:t xml:space="preserve">Virginia</w:t>
      </w:r>
      <w:r>
        <w:rPr>
          <w:sz w:val="20"/>
          <w:szCs w:val="20"/>
        </w:rPr>
        <w:t xml:space="preserve"> </w:t>
      </w:r>
      <w:r>
        <w:rPr>
          <w:sz w:val="20"/>
          <w:szCs w:val="20"/>
        </w:rPr>
        <w:t xml:space="preserve">25541</w:t>
        <w:noBreakHyphen/>
        <w:t xml:space="preserve">1215.</w:t>
      </w:r>
    </w:p>
    <w:p>
      <w:pPr>
        <w:spacing w:before="480" w:after="240" w:line="276" w:lineRule="exact"/>
        <w:ind w:left="0" w:firstLine="0"/>
        <w:jc w:val="center"/>
      </w:pPr>
      <w:r>
        <w:rPr>
          <w:b/>
          <w:bCs/>
        </w:rPr>
        <w:t xml:space="preserve">CLASS</w:t>
      </w:r>
      <w:r>
        <w:rPr>
          <w:b/>
          <w:bCs/>
        </w:rPr>
        <w:t xml:space="preserve"> </w:t>
      </w:r>
      <w:r>
        <w:rPr>
          <w:b/>
          <w:bCs/>
        </w:rPr>
        <w:t xml:space="preserve">ACTION</w:t>
      </w:r>
      <w:r>
        <w:rPr>
          <w:b/>
          <w:bCs/>
        </w:rPr>
        <w:t xml:space="preserve"> </w:t>
      </w:r>
      <w:r>
        <w:rPr>
          <w:b/>
          <w:bCs/>
        </w:rPr>
        <w:t xml:space="preserve">ADVERSARY</w:t>
      </w:r>
      <w:r>
        <w:rPr>
          <w:b/>
          <w:bCs/>
        </w:rPr>
        <w:t xml:space="preserve"> </w:t>
      </w:r>
      <w:r>
        <w:rPr>
          <w:b/>
          <w:bCs/>
        </w:rPr>
        <w:t xml:space="preserve">PROCEEDING</w:t>
      </w:r>
      <w:r>
        <w:rPr>
          <w:b/>
          <w:bCs/>
        </w:rPr>
        <w:t xml:space="preserve"> </w:t>
      </w:r>
      <w:r>
        <w:rPr>
          <w:b/>
          <w:bCs/>
        </w:rPr>
        <w:t xml:space="preserve">COMPLAINT</w:t>
      </w:r>
    </w:p>
    <w:p>
      <w:pPr>
        <w:pStyle w:val="BodyText"/>
      </w:pPr>
      <w:r>
        <w:t xml:space="preserve">The Plaintiffs, individually and on behalf of others similarly situated, by and through the undersigned counsel, bring this action arising out of violations of the West Virginia Wage Payment and Collection Act, W. Va. Code § 21</w:t>
      </w:r>
      <w:r>
        <w:noBreakHyphen/>
      </w:r>
      <w:r>
        <w:t xml:space="preserve">4</w:t>
      </w:r>
      <w:r>
        <w:noBreakHyphen/>
      </w:r>
      <w:r>
        <w:t xml:space="preserve">1</w:t>
      </w:r>
      <w:r>
        <w:t xml:space="preserve"> </w:t>
      </w:r>
      <w:r>
        <w:rPr>
          <w:i/>
          <w:iCs/>
        </w:rPr>
        <w:t xml:space="preserve">et seq.</w:t>
      </w:r>
      <w:r>
        <w:t xml:space="preserve">, the Kentucky Revised Statutes, § 337.010</w:t>
      </w:r>
      <w:r>
        <w:t xml:space="preserve"> </w:t>
      </w:r>
      <w:r>
        <w:rPr>
          <w:i/>
          <w:iCs/>
        </w:rPr>
        <w:t xml:space="preserve">et seq.</w:t>
      </w:r>
      <w:r>
        <w:t xml:space="preserve">, the Code of Virginia, §§ 40.1</w:t>
      </w:r>
      <w:r>
        <w:noBreakHyphen/>
      </w:r>
      <w:r>
        <w:t xml:space="preserve">29 and 16.1</w:t>
      </w:r>
      <w:r>
        <w:noBreakHyphen/>
      </w:r>
      <w:r>
        <w:t xml:space="preserve">77, 79, the Employee Retirement Income Security Act (ERISA), 29 U.S.C. § 1001</w:t>
      </w:r>
      <w:r>
        <w:t xml:space="preserve"> </w:t>
      </w:r>
      <w:r>
        <w:rPr>
          <w:i/>
          <w:iCs/>
        </w:rPr>
        <w:t xml:space="preserve">et seq.</w:t>
      </w:r>
      <w:r>
        <w:t xml:space="preserve">, and the Worker Adjustment and Retraining Notification (WARN) Act, 29 U.S.C. § 2101</w:t>
      </w:r>
      <w:r>
        <w:t xml:space="preserve"> </w:t>
      </w:r>
      <w:r>
        <w:rPr>
          <w:i/>
          <w:iCs/>
        </w:rPr>
        <w:t xml:space="preserve">et seq.</w:t>
      </w:r>
      <w:r>
        <w:t xml:space="preserve"> </w:t>
      </w:r>
      <w:r>
        <w:t xml:space="preserve">arising out of Defendants mass lay off of Plaintiffs – employees of Defendant’s mining operations in Kentucky, West Virginia, and Virginia – in July 2019.</w:t>
      </w:r>
    </w:p>
    <w:p>
      <w:pPr>
        <w:pStyle w:val="BodyText"/>
      </w:pPr>
      <w:r>
        <w:t xml:space="preserve">Defendants failed to pay wages that were due under the applicable wage payment statutes on or about June 28, 2019, and again on or about July 12, 2019. For a period of several months in 2019, Defendants failed to pay benefits that were due to and earned by the Plaintiffs. Defendants also failed to provide their full-time employees with the sixty-days of notice required under the WARN Act prior to laying off more than 50 of those workers at each of several sites of employment, beginning in July 2019. As to all of these actions, Defendants acted as a joint employers of the Plaintiffs in all relevant respects, as set forth below.</w:t>
      </w:r>
    </w:p>
    <w:p>
      <w:pPr>
        <w:pStyle w:val="BodyText"/>
      </w:pPr>
      <w:r>
        <w:t xml:space="preserve">Plaintiffs bring this action, pursuant to Federal Rule of Civil Procedure 23, on their own behalf and on behalf of the Defendants’ other similarly-situated employees, for damages, interest, costs, and fees, pursuant to the aforementioned statutes and the common law.</w:t>
      </w:r>
    </w:p>
    <w:p>
      <w:pPr>
        <w:keepNext/>
        <w:keepLines/>
        <w:spacing w:before="240" w:after="240" w:line="276" w:lineRule="exact"/>
        <w:ind w:left="0" w:firstLine="0"/>
        <w:jc w:val="center"/>
        <w:outlineLvl w:val="0"/>
      </w:pPr>
      <w:r>
        <w:rPr>
          <w:b/>
          <w:bCs/>
        </w:rPr>
        <w:t xml:space="preserve">PARTIES</w:t>
      </w:r>
    </w:p>
    <w:p>
      <w:pPr>
        <w:pStyle w:val="BodyText"/>
      </w:pPr>
      <w:r>
        <w:t xml:space="preserve">1. Plaintiff, Mr. Shawn Abner, was a full-time employee of Blackjewel, L.L.C. and the other Defendants, as joint employers, since August 2018. Mr. Abner worked for those Defendants at the coal-mining and preparation site known as the Pax Surface Mine located in Fayette County, West Virginia, at the time that he was laid off without prior written notice on or about July 1, 2019. At all times relevant herein, Mr. Abner has resided in Raleigh County, West Virginia.</w:t>
      </w:r>
    </w:p>
    <w:p>
      <w:pPr>
        <w:pStyle w:val="BodyText"/>
      </w:pPr>
      <w:r>
        <w:t xml:space="preserve">2. Plaintiff, Mr. Jacob Helton, was a full-time employee of Blackjewel, L.L.C. and the other Defendants, as joint employers, at all relevant times. Mr. Helton worked for those Defendants at the coal-mining and preparation site known as the D</w:t>
      </w:r>
      <w:r>
        <w:noBreakHyphen/>
      </w:r>
      <w:r>
        <w:t xml:space="preserve">29 Darby Mine in Harlan County, Kentucky at the time that he was laid off without prior written notice on or about July 1, 2019. At all times relevant herein, Mr. Helton has resided in Bell County, Kentucky.</w:t>
      </w:r>
    </w:p>
    <w:p>
      <w:pPr>
        <w:pStyle w:val="BodyText"/>
      </w:pPr>
      <w:r>
        <w:t xml:space="preserve">3. Plaintiff, Mr. Billy Hatton, was a full-time employee of Blackjewel, L.L.C. and the other Defendants, as joint employers, at all relevant times. Mr. Hatton worked for those Defendants at the coal-mining and preparation site known as the D</w:t>
      </w:r>
      <w:r>
        <w:noBreakHyphen/>
      </w:r>
      <w:r>
        <w:t xml:space="preserve">7 Mine in Wise County, Virginia, at the time that he was laid off without prior written notice on or about July 1, 2019. At all times relevant herein, Mr. Hatton has resided in Letcher County, Kentucky.</w:t>
      </w:r>
    </w:p>
    <w:p>
      <w:pPr>
        <w:pStyle w:val="BodyText"/>
      </w:pPr>
      <w:r>
        <w:t xml:space="preserve">4. Upon information and belief, Defendants maintained commercial facilities in Kentucky, Virginia, West Virginia, and Wyoming (</w:t>
      </w:r>
      <w:r>
        <w:t xml:space="preserve">“Facilities”</w:t>
      </w:r>
      <w:r>
        <w:t xml:space="preserve">).</w:t>
      </w:r>
    </w:p>
    <w:p>
      <w:pPr>
        <w:pStyle w:val="BodyText"/>
      </w:pPr>
      <w:r>
        <w:t xml:space="preserve">5. The debtors in the Chapter 11 bankruptcy proceeding in this Court numbered 3:19-bk</w:t>
      </w:r>
      <w:r>
        <w:noBreakHyphen/>
      </w:r>
      <w:r>
        <w:t xml:space="preserve">30289 are referred to herein as the Blackjewel Defendants (</w:t>
      </w:r>
      <w:r>
        <w:t xml:space="preserve">“Blackjewel Defendants”</w:t>
      </w:r>
      <w:r>
        <w:t xml:space="preserve">) – Blackjewel, L.L.C. (0823); Blackjewel Holdings L.L.C. (4745); Revelation Energy Holdings, LLC (8795); Revelation Management Corporation (8908) and Revelation Energy, LLC (4605).</w:t>
      </w:r>
    </w:p>
    <w:p>
      <w:pPr>
        <w:pStyle w:val="BodyText"/>
      </w:pPr>
      <w:r>
        <w:t xml:space="preserve">6. Blackjewel, L.L.C. is chartered in Delaware, and has its principal place of business at 1051 Main Street, Suite 2, Milton, West Virginia, 25541. The sole member of Blackjewel, L.L.C. is Blackjewel Holdings, Inc., located at 1051 Main Street, Suite 2, Milton, West Virginia, 25541. Blackjewel Holdings, Inc. is not registered with the Secretary of State of West Virginia.</w:t>
      </w:r>
    </w:p>
    <w:p>
      <w:pPr>
        <w:pStyle w:val="BodyText"/>
      </w:pPr>
      <w:r>
        <w:t xml:space="preserve">7. Lexington Coal Company, LLC is chartered in Delaware, and has its principal place of business at 1051 Main Street, Suite 2, Milton, WV, 25541. The sole member of Lexington Coal Company, LLC is Lexington Coal Holdings, Inc., also located at 1051 Main Street, Suite 2, Milton, West Virginia, 25541. Lexington Coal Holdings, Inc. is not officially registered with the Secretary of State of West Virginia. The sole manager designated with the West Virginia Secretary of State by Lexington Coal Company, LLC is David Keith Runyon, also with an address listed as 1051 Main Street, Suite 2, Milton, West Virginia, 25541.</w:t>
      </w:r>
    </w:p>
    <w:p>
      <w:pPr>
        <w:pStyle w:val="BodyText"/>
      </w:pPr>
      <w:r>
        <w:t xml:space="preserve">8. Upon information and belief, Defendant Mr. Jeff Hoops, Sr. was at all times relevant a resident of Putnam County, West Virginia, and held a controlling beneficial interest in the other Defendant entities.</w:t>
      </w:r>
    </w:p>
    <w:p>
      <w:pPr>
        <w:pStyle w:val="BodyText"/>
      </w:pPr>
      <w:r>
        <w:t xml:space="preserve">9. Upon information and belief, Defendant Mr. Jeffery A. Hoops II was at all times relevant a resident of Putnam County, West Virginia, held a controlling beneficial interest in the other Defendant entities, and served as administrator of the Revelation Energy 401(k) Plan and, upon information and belief, also served as administrator of the group health plan or plans that the Defendants provided to their employees.</w:t>
      </w:r>
    </w:p>
    <w:p>
      <w:pPr>
        <w:pStyle w:val="BodyText"/>
      </w:pPr>
      <w:r>
        <w:t xml:space="preserve">10. At all relevant times, Plaintiffs were jointly employed by the Defendants as full-time employees, and worked at one or more of the Facilities until they were laid off, terminated, or reduced in force on or about July 1, 2019 at the direction and under the control of Defendants.</w:t>
      </w:r>
    </w:p>
    <w:p>
      <w:pPr>
        <w:pStyle w:val="BodyText"/>
      </w:pPr>
      <w:r>
        <w:t xml:space="preserve">11. On or about July 1, 2019, the Blackjewel Defendants filed a voluntary petition with this Court for relief by way of bankruptcy protection under Chapter 11 of the United States Code.</w:t>
      </w:r>
    </w:p>
    <w:p>
      <w:pPr>
        <w:keepNext/>
        <w:keepLines/>
        <w:spacing w:before="240" w:after="240" w:line="276" w:lineRule="exact"/>
        <w:ind w:left="0" w:firstLine="0"/>
        <w:jc w:val="center"/>
        <w:outlineLvl w:val="0"/>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12. Jurisdiction over this adversary proceeding is founded on 28 U.S.C. §§ 157, 1331, 1334, and 1367.</w:t>
      </w:r>
    </w:p>
    <w:p>
      <w:pPr>
        <w:pStyle w:val="BodyText"/>
      </w:pPr>
      <w:r>
        <w:t xml:space="preserve">13. This is a core proceeding pursuant to 28 U.S.C. § 157(b)⁠(2)⁠(A), (B), and (O).</w:t>
      </w:r>
    </w:p>
    <w:p>
      <w:pPr>
        <w:keepNext/>
        <w:keepLines/>
        <w:spacing w:before="240" w:after="240" w:line="276" w:lineRule="exact"/>
        <w:ind w:left="0" w:firstLine="0"/>
        <w:jc w:val="center"/>
        <w:outlineLvl w:val="0"/>
      </w:pPr>
      <w:r>
        <w:rPr>
          <w:b/>
          <w:bCs/>
        </w:rPr>
        <w:t xml:space="preserve">FACTS</w:t>
      </w:r>
    </w:p>
    <w:p>
      <w:pPr>
        <w:keepNext/>
        <w:keepLines/>
        <w:spacing w:before="240" w:after="240" w:line="276" w:lineRule="exact"/>
        <w:ind w:left="0" w:firstLine="0"/>
        <w:jc w:val="left"/>
        <w:outlineLvl w:val="2"/>
      </w:pPr>
      <w:r>
        <w:rPr>
          <w:b/>
          <w:bCs/>
        </w:rPr>
        <w:t xml:space="preserve">Non-payment</w:t>
      </w:r>
      <w:r>
        <w:rPr>
          <w:b/>
          <w:bCs/>
        </w:rPr>
        <w:t xml:space="preserve"> </w:t>
      </w:r>
      <w:r>
        <w:rPr>
          <w:b/>
          <w:bCs/>
        </w:rPr>
        <w:t xml:space="preserve">of</w:t>
      </w:r>
      <w:r>
        <w:rPr>
          <w:b/>
          <w:bCs/>
        </w:rPr>
        <w:t xml:space="preserve"> </w:t>
      </w:r>
      <w:r>
        <w:rPr>
          <w:b/>
          <w:bCs/>
        </w:rPr>
        <w:t xml:space="preserve">wages</w:t>
      </w:r>
      <w:r>
        <w:rPr>
          <w:b/>
          <w:bCs/>
        </w:rPr>
        <w:t xml:space="preserve"> </w:t>
      </w:r>
      <w:r>
        <w:rPr>
          <w:b/>
          <w:bCs/>
        </w:rPr>
        <w:t xml:space="preserve">and</w:t>
      </w:r>
      <w:r>
        <w:rPr>
          <w:b/>
          <w:bCs/>
        </w:rPr>
        <w:t xml:space="preserve"> </w:t>
      </w:r>
      <w:r>
        <w:rPr>
          <w:b/>
          <w:bCs/>
        </w:rPr>
        <w:t xml:space="preserve">benefits</w:t>
      </w:r>
      <w:r>
        <w:rPr>
          <w:b/>
          <w:bCs/>
        </w:rPr>
        <w:t xml:space="preserve"> </w:t>
      </w:r>
      <w:r>
        <w:rPr>
          <w:b/>
          <w:bCs/>
        </w:rPr>
        <w:t xml:space="preserve">in</w:t>
      </w:r>
      <w:r>
        <w:rPr>
          <w:b/>
          <w:bCs/>
        </w:rPr>
        <w:t xml:space="preserve"> </w:t>
      </w:r>
      <w:r>
        <w:rPr>
          <w:b/>
          <w:bCs/>
        </w:rPr>
        <w:t xml:space="preserve">June-July</w:t>
      </w:r>
      <w:r>
        <w:rPr>
          <w:b/>
          <w:bCs/>
        </w:rPr>
        <w:t xml:space="preserve"> </w:t>
      </w:r>
      <w:r>
        <w:rPr>
          <w:b/>
          <w:bCs/>
        </w:rPr>
        <w:t xml:space="preserve">2019;</w:t>
      </w:r>
      <w:r>
        <w:rPr>
          <w:b/>
          <w:bCs/>
        </w:rPr>
        <w:t xml:space="preserve"> </w:t>
      </w:r>
      <w:r>
        <w:rPr>
          <w:b/>
          <w:bCs/>
        </w:rPr>
        <w:t xml:space="preserve">incomplete</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benefits</w:t>
      </w:r>
      <w:r>
        <w:rPr>
          <w:b/>
          <w:bCs/>
        </w:rPr>
        <w:t xml:space="preserve"> </w:t>
      </w:r>
      <w:r>
        <w:rPr>
          <w:b/>
          <w:bCs/>
        </w:rPr>
        <w:t xml:space="preserve">in</w:t>
      </w:r>
      <w:r>
        <w:rPr>
          <w:b/>
          <w:bCs/>
        </w:rPr>
        <w:t xml:space="preserve"> </w:t>
      </w:r>
      <w:r>
        <w:rPr>
          <w:b/>
          <w:bCs/>
        </w:rPr>
        <w:t xml:space="preserve">2019.</w:t>
      </w:r>
    </w:p>
    <w:p>
      <w:pPr>
        <w:pStyle w:val="BodyText"/>
      </w:pPr>
      <w:r>
        <w:t xml:space="preserve">14. During the year 2019, the Defendants owned, operated, and controlled several mining facilities that produced and prepared coal in the states of West Virginia and Wyoming and the commonwealths of Kentucky and Virginia.</w:t>
      </w:r>
    </w:p>
    <w:p>
      <w:pPr>
        <w:pStyle w:val="BodyText"/>
      </w:pPr>
      <w:r>
        <w:t xml:space="preserve">15. The Plaintiffs engaged in full-time employment for the Defendants during the calendar year of 2019, and continuing up through the date of July 1, 2019.</w:t>
      </w:r>
    </w:p>
    <w:p>
      <w:pPr>
        <w:pStyle w:val="BodyText"/>
      </w:pPr>
      <w:r>
        <w:t xml:space="preserve">16. The Defendants contributed benefits to the Plaintiffs under the 401(k) Plan in regular amounts specified on each paystub (the</w:t>
      </w:r>
      <w:r>
        <w:t xml:space="preserve"> </w:t>
      </w:r>
      <w:r>
        <w:t xml:space="preserve">“Employer’s Contributions”</w:t>
      </w:r>
      <w:r>
        <w:t xml:space="preserve">).</w:t>
      </w:r>
    </w:p>
    <w:p>
      <w:pPr>
        <w:pStyle w:val="BodyText"/>
      </w:pPr>
      <w:r>
        <w:t xml:space="preserve">17. The Plaintiffs also contributed their wages to the plan in amounts that were earned by the Plaintiffs on their regular payment cycle, and which the paystubs issued by Defendants represented as having been deducted from each paystub and provided to the Plaintiffs in their 401(k) (the</w:t>
      </w:r>
      <w:r>
        <w:t xml:space="preserve"> </w:t>
      </w:r>
      <w:r>
        <w:t xml:space="preserve">“Employee’s Contributions”</w:t>
      </w:r>
      <w:r>
        <w:t xml:space="preserve">).</w:t>
      </w:r>
    </w:p>
    <w:p>
      <w:pPr>
        <w:pStyle w:val="BodyText"/>
      </w:pPr>
      <w:r>
        <w:t xml:space="preserve">18. The Defendants were obligated pursuant to the terms of the Plan to provide the Plaintiffs with the Employer’s Contributions in the amounts specified on each paystub.</w:t>
      </w:r>
    </w:p>
    <w:p>
      <w:pPr>
        <w:pStyle w:val="BodyText"/>
      </w:pPr>
      <w:r>
        <w:t xml:space="preserve">19. The Defendants were obligated pursuant to the terms of the Plan to provide the Plaintiffs with the Employee’s Contributions in the amount withheld from each paycheck.</w:t>
      </w:r>
    </w:p>
    <w:p>
      <w:pPr>
        <w:pStyle w:val="BodyText"/>
      </w:pPr>
      <w:r>
        <w:t xml:space="preserve">20. The last date of labor for which the Defendants compensated the Plaintiffs at all was June 10, 2019.</w:t>
      </w:r>
    </w:p>
    <w:p>
      <w:pPr>
        <w:pStyle w:val="BodyText"/>
      </w:pPr>
      <w:r>
        <w:t xml:space="preserve">21. Defendants represented to the Plaintiffs that they deducted certain sums from their biweekly paychecks and deposited those sums into a 401(k) account.</w:t>
      </w:r>
    </w:p>
    <w:p>
      <w:pPr>
        <w:pStyle w:val="BodyText"/>
      </w:pPr>
      <w:r>
        <w:t xml:space="preserve">22. However, upon information and belief, the Defendants did not pay, deduct, or deposit those specified sums throughout one or more periods in 2019 that extended beyond 19 days in length.</w:t>
      </w:r>
    </w:p>
    <w:p>
      <w:pPr>
        <w:pStyle w:val="BodyText"/>
      </w:pPr>
      <w:r>
        <w:t xml:space="preserve">23. Defendants represented to the Plaintiffs that, separate and apart from payroll deductions, the Defendants contributed certain sums to the Plaintiffs’ 401(k) accounts.</w:t>
      </w:r>
    </w:p>
    <w:p>
      <w:pPr>
        <w:pStyle w:val="BodyText"/>
      </w:pPr>
      <w:r>
        <w:t xml:space="preserve">24. Upon information and belief, the Defendants did not contribute those specified sums, and moreover the period or periods in which such non-contribution persisted were also greater than 19 days in length.</w:t>
      </w:r>
    </w:p>
    <w:p>
      <w:pPr>
        <w:keepNext/>
        <w:keepLines/>
        <w:spacing w:before="240" w:after="240" w:line="276" w:lineRule="exact"/>
        <w:ind w:left="0" w:firstLine="0"/>
        <w:jc w:val="left"/>
        <w:outlineLvl w:val="2"/>
      </w:pPr>
      <w:r>
        <w:rPr>
          <w:b/>
          <w:bCs/>
        </w:rPr>
        <w:t xml:space="preserve">Defendants</w:t>
      </w:r>
      <w:r>
        <w:rPr>
          <w:b/>
          <w:bCs/>
        </w:rPr>
        <w:t xml:space="preserve"> </w:t>
      </w:r>
      <w:r>
        <w:rPr>
          <w:b/>
          <w:bCs/>
        </w:rPr>
        <w:t xml:space="preserve">refused</w:t>
      </w:r>
      <w:r>
        <w:rPr>
          <w:b/>
          <w:bCs/>
        </w:rPr>
        <w:t xml:space="preserve"> </w:t>
      </w:r>
      <w:r>
        <w:rPr>
          <w:b/>
          <w:bCs/>
        </w:rPr>
        <w:t xml:space="preserve">to</w:t>
      </w:r>
      <w:r>
        <w:rPr>
          <w:b/>
          <w:bCs/>
        </w:rPr>
        <w:t xml:space="preserve"> </w:t>
      </w:r>
      <w:r>
        <w:rPr>
          <w:b/>
          <w:bCs/>
        </w:rPr>
        <w:t xml:space="preserve">allow</w:t>
      </w:r>
      <w:r>
        <w:rPr>
          <w:b/>
          <w:bCs/>
        </w:rPr>
        <w:t xml:space="preserve"> </w:t>
      </w:r>
      <w:r>
        <w:rPr>
          <w:b/>
          <w:bCs/>
        </w:rPr>
        <w:t xml:space="preserve">Plaintiffs</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retirement</w:t>
      </w:r>
      <w:r>
        <w:rPr>
          <w:b/>
          <w:bCs/>
        </w:rPr>
        <w:t xml:space="preserve"> </w:t>
      </w:r>
      <w:r>
        <w:rPr>
          <w:b/>
          <w:bCs/>
        </w:rPr>
        <w:t xml:space="preserve">funds</w:t>
      </w:r>
      <w:r>
        <w:rPr>
          <w:b/>
          <w:bCs/>
        </w:rPr>
        <w:t xml:space="preserve"> </w:t>
      </w:r>
      <w:r>
        <w:rPr>
          <w:b/>
          <w:bCs/>
        </w:rPr>
        <w:t xml:space="preserve">or</w:t>
      </w:r>
      <w:r>
        <w:rPr>
          <w:b/>
          <w:bCs/>
        </w:rPr>
        <w:t xml:space="preserve"> </w:t>
      </w:r>
      <w:r>
        <w:rPr>
          <w:b/>
          <w:bCs/>
        </w:rPr>
        <w:t xml:space="preserve">even</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complaints</w:t>
      </w:r>
      <w:r>
        <w:rPr>
          <w:b/>
          <w:bCs/>
        </w:rPr>
        <w:t xml:space="preserve"> </w:t>
      </w:r>
      <w:r>
        <w:rPr>
          <w:b/>
          <w:bCs/>
        </w:rPr>
        <w:t xml:space="preserve">regarding</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inaccessibility</w:t>
      </w:r>
      <w:r>
        <w:rPr>
          <w:b/>
          <w:bCs/>
        </w:rPr>
        <w:t xml:space="preserve"> </w:t>
      </w:r>
      <w:r>
        <w:rPr>
          <w:b/>
          <w:bCs/>
        </w:rPr>
        <w:t xml:space="preserve">of</w:t>
      </w:r>
      <w:r>
        <w:rPr>
          <w:b/>
          <w:bCs/>
        </w:rPr>
        <w:t xml:space="preserve"> </w:t>
      </w:r>
      <w:r>
        <w:rPr>
          <w:b/>
          <w:bCs/>
        </w:rPr>
        <w:t xml:space="preserve">those</w:t>
      </w:r>
      <w:r>
        <w:rPr>
          <w:b/>
          <w:bCs/>
        </w:rPr>
        <w:t xml:space="preserve"> </w:t>
      </w:r>
      <w:r>
        <w:rPr>
          <w:b/>
          <w:bCs/>
        </w:rPr>
        <w:t xml:space="preserve">funds.</w:t>
      </w:r>
    </w:p>
    <w:p>
      <w:pPr>
        <w:pStyle w:val="BodyText"/>
      </w:pPr>
      <w:r>
        <w:t xml:space="preserve">25. Plaintiff Shawn Abner corresponded with the Defendants in order to withdrawal funds from his 401(k).</w:t>
      </w:r>
    </w:p>
    <w:p>
      <w:pPr>
        <w:pStyle w:val="BodyText"/>
      </w:pPr>
      <w:r>
        <w:t xml:space="preserve">26. Defendants stated that they would not permit him to do so because his employment had not been terminated.</w:t>
      </w:r>
    </w:p>
    <w:p>
      <w:pPr>
        <w:pStyle w:val="BodyText"/>
      </w:pPr>
      <w:r>
        <w:t xml:space="preserve">27. Defendants stated that they would not process any requests or complaints regarding the 401(k) accounts because the employees had not been terminated.</w:t>
      </w:r>
    </w:p>
    <w:p>
      <w:pPr>
        <w:pStyle w:val="BodyText"/>
      </w:pPr>
      <w:r>
        <w:t xml:space="preserve">28. Termination of employment was not a precondition for withdrawing or in any other way utilizing funds earned in the 401(k) accounts of the Plaintiffs.</w:t>
      </w:r>
    </w:p>
    <w:p>
      <w:pPr>
        <w:pStyle w:val="BodyText"/>
      </w:pPr>
      <w:r>
        <w:t xml:space="preserve">29. Plaintiffs reasonably understood that it would be futile to pursue further complaints with the Defendants regarding inaccessibility of their retirement funds, or to make further requests for accessing their retirement funds.</w:t>
      </w:r>
    </w:p>
    <w:p>
      <w:pPr>
        <w:keepNext/>
        <w:keepLines/>
        <w:spacing w:before="240" w:after="240" w:line="276" w:lineRule="exact"/>
        <w:ind w:left="0" w:firstLine="0"/>
        <w:jc w:val="left"/>
        <w:outlineLvl w:val="2"/>
      </w:pPr>
      <w:r>
        <w:rPr>
          <w:b/>
          <w:bCs/>
        </w:rPr>
        <w:t xml:space="preserve">Defendants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provide</w:t>
      </w:r>
      <w:r>
        <w:rPr>
          <w:b/>
          <w:bCs/>
        </w:rPr>
        <w:t xml:space="preserve"> </w:t>
      </w:r>
      <w:r>
        <w:rPr>
          <w:b/>
          <w:bCs/>
        </w:rPr>
        <w:t xml:space="preserve">required</w:t>
      </w:r>
      <w:r>
        <w:rPr>
          <w:b/>
          <w:bCs/>
        </w:rPr>
        <w:t xml:space="preserve"> </w:t>
      </w:r>
      <w:r>
        <w:rPr>
          <w:b/>
          <w:bCs/>
        </w:rPr>
        <w:t xml:space="preserve">notices</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mass</w:t>
      </w:r>
      <w:r>
        <w:rPr>
          <w:b/>
          <w:bCs/>
        </w:rPr>
        <w:t xml:space="preserve"> </w:t>
      </w:r>
      <w:r>
        <w:rPr>
          <w:b/>
          <w:bCs/>
        </w:rPr>
        <w:t xml:space="preserve">layoff.</w:t>
      </w:r>
    </w:p>
    <w:p>
      <w:pPr>
        <w:pStyle w:val="BodyText"/>
      </w:pPr>
      <w:r>
        <w:t xml:space="preserve">30. Prior to July 1, 2019, Defendants, both on their own and jointly, employed 100 or more employees, including Plaintiffs, excluding part-time employees, at or in connection with the Facilities.</w:t>
      </w:r>
    </w:p>
    <w:p>
      <w:pPr>
        <w:pStyle w:val="BodyText"/>
      </w:pPr>
      <w:r>
        <w:t xml:space="preserve">31. Each of the following sites were known by the following common names and each constituted a</w:t>
      </w:r>
      <w:r>
        <w:t xml:space="preserve"> </w:t>
      </w:r>
      <w:r>
        <w:t xml:space="preserve">“single site of employment”</w:t>
      </w:r>
      <w:r>
        <w:t xml:space="preserve"> </w:t>
      </w:r>
      <w:r>
        <w:t xml:space="preserve">for purposes of the WARN Act: the Pax Mine in Fayette County, West Virginia; the Cumberland Mine Complex in Harlan County, Kentucky and Dickenson County, Virginia, including the D</w:t>
      </w:r>
      <w:r>
        <w:noBreakHyphen/>
      </w:r>
      <w:r>
        <w:t xml:space="preserve">11 Cloverlick/​Panther in Harlan County, Kentucky; and D</w:t>
      </w:r>
      <w:r>
        <w:noBreakHyphen/>
      </w:r>
      <w:r>
        <w:t xml:space="preserve">21 Mine in Harlan County, Kentucky; D</w:t>
      </w:r>
      <w:r>
        <w:noBreakHyphen/>
      </w:r>
      <w:r>
        <w:t xml:space="preserve">28 (Huff Creek) in Kentucky; D</w:t>
      </w:r>
      <w:r>
        <w:noBreakHyphen/>
      </w:r>
      <w:r>
        <w:t xml:space="preserve">31 in Kentucky; D</w:t>
      </w:r>
      <w:r>
        <w:noBreakHyphen/>
      </w:r>
      <w:r>
        <w:t xml:space="preserve">9 Mine in Kentucky; P</w:t>
      </w:r>
      <w:r>
        <w:noBreakHyphen/>
      </w:r>
      <w:r>
        <w:t xml:space="preserve">8 Mine in Kentucky; S</w:t>
      </w:r>
      <w:r>
        <w:noBreakHyphen/>
      </w:r>
      <w:r>
        <w:t xml:space="preserve">17 Mine in Kentucky; and D</w:t>
      </w:r>
      <w:r>
        <w:noBreakHyphen/>
      </w:r>
      <w:r>
        <w:t xml:space="preserve">7 Osaka Mine in Virginia (collectively, the</w:t>
      </w:r>
      <w:r>
        <w:t xml:space="preserve"> </w:t>
      </w:r>
      <w:r>
        <w:t xml:space="preserve">“Sites”</w:t>
      </w:r>
      <w:r>
        <w:t xml:space="preserve">).</w:t>
      </w:r>
    </w:p>
    <w:p>
      <w:pPr>
        <w:pStyle w:val="BodyText"/>
      </w:pPr>
      <w:r>
        <w:t xml:space="preserve">32. On or about July 1, 2019, Defendants verbally notified Plaintiffs that they were laid off indefinitely.</w:t>
      </w:r>
    </w:p>
    <w:p>
      <w:pPr>
        <w:pStyle w:val="BodyText"/>
      </w:pPr>
      <w:r>
        <w:t xml:space="preserve">33. On or about that date of July 1, 2019, fifty or more employees were laid off from full-time employment for an indefinite period by the Defendants at the Sites, and at other single sites of employment known and unknown, or were thus laid off at such sites within a 90-day period encompassing that date.</w:t>
      </w:r>
    </w:p>
    <w:p>
      <w:pPr>
        <w:pStyle w:val="BodyText"/>
      </w:pPr>
      <w:r>
        <w:t xml:space="preserve">34. Neither Jeffery Hoops, Sr., Jeffery A. Hoops, II, nor any other Defendant provided notice to the Plaintiffs or their spouses or other relevant plan beneficiaries regarding their rights under 29 U.S.C. 1166.</w:t>
      </w:r>
    </w:p>
    <w:p>
      <w:pPr>
        <w:keepNext/>
        <w:keepLines/>
        <w:spacing w:before="240" w:after="240" w:line="276" w:lineRule="exact"/>
        <w:ind w:left="0" w:firstLine="0"/>
        <w:jc w:val="left"/>
        <w:outlineLvl w:val="2"/>
      </w:pPr>
      <w:r>
        <w:rPr>
          <w:b/>
          <w:bCs/>
        </w:rPr>
        <w:t xml:space="preserve">Defendants</w:t>
      </w:r>
      <w:r>
        <w:rPr>
          <w:b/>
          <w:bCs/>
        </w:rPr>
        <w:t xml:space="preserve"> </w:t>
      </w:r>
      <w:r>
        <w:rPr>
          <w:b/>
          <w:bCs/>
        </w:rPr>
        <w:t xml:space="preserve">were</w:t>
      </w:r>
      <w:r>
        <w:rPr>
          <w:b/>
          <w:bCs/>
        </w:rPr>
        <w:t xml:space="preserve"> </w:t>
      </w:r>
      <w:r>
        <w:rPr>
          <w:b/>
          <w:bCs/>
        </w:rPr>
        <w:t xml:space="preserve">joint</w:t>
      </w:r>
      <w:r>
        <w:rPr>
          <w:b/>
          <w:bCs/>
        </w:rPr>
        <w:t xml:space="preserve"> </w:t>
      </w:r>
      <w:r>
        <w:rPr>
          <w:b/>
          <w:bCs/>
        </w:rPr>
        <w:t xml:space="preserve">employers</w:t>
      </w:r>
      <w:r>
        <w:rPr>
          <w:b/>
          <w:bCs/>
        </w:rPr>
        <w:t xml:space="preserve"> </w:t>
      </w:r>
      <w:r>
        <w:rPr>
          <w:b/>
          <w:bCs/>
        </w:rPr>
        <w:t xml:space="preserve">and</w:t>
      </w:r>
      <w:r>
        <w:rPr>
          <w:b/>
          <w:bCs/>
        </w:rPr>
        <w:t xml:space="preserve"> </w:t>
      </w:r>
      <w:r>
        <w:rPr>
          <w:b/>
          <w:bCs/>
        </w:rPr>
        <w:t xml:space="preserve">integrated</w:t>
      </w:r>
      <w:r>
        <w:rPr>
          <w:b/>
          <w:bCs/>
        </w:rPr>
        <w:t xml:space="preserve"> </w:t>
      </w:r>
      <w:r>
        <w:rPr>
          <w:b/>
          <w:bCs/>
        </w:rPr>
        <w:t xml:space="preserve">enterprises—sharing</w:t>
      </w:r>
      <w:r>
        <w:rPr>
          <w:b/>
          <w:bCs/>
        </w:rPr>
        <w:t xml:space="preserve"> </w:t>
      </w:r>
      <w:r>
        <w:rPr>
          <w:b/>
          <w:bCs/>
        </w:rPr>
        <w:t xml:space="preserve">capital,</w:t>
      </w:r>
      <w:r>
        <w:rPr>
          <w:b/>
          <w:bCs/>
        </w:rPr>
        <w:t xml:space="preserve"> </w:t>
      </w:r>
      <w:r>
        <w:rPr>
          <w:b/>
          <w:bCs/>
        </w:rPr>
        <w:t xml:space="preserve">sharing</w:t>
      </w:r>
      <w:r>
        <w:rPr>
          <w:b/>
          <w:bCs/>
        </w:rPr>
        <w:t xml:space="preserve"> </w:t>
      </w:r>
      <w:r>
        <w:rPr>
          <w:b/>
          <w:bCs/>
        </w:rPr>
        <w:t xml:space="preserve">profits,</w:t>
      </w:r>
      <w:r>
        <w:rPr>
          <w:b/>
          <w:bCs/>
        </w:rPr>
        <w:t xml:space="preserve"> </w:t>
      </w:r>
      <w:r>
        <w:rPr>
          <w:b/>
          <w:bCs/>
        </w:rPr>
        <w:t xml:space="preserve">sharing</w:t>
      </w:r>
      <w:r>
        <w:rPr>
          <w:b/>
          <w:bCs/>
        </w:rPr>
        <w:t xml:space="preserve"> </w:t>
      </w:r>
      <w:r>
        <w:rPr>
          <w:b/>
          <w:bCs/>
        </w:rPr>
        <w:t xml:space="preserve">common</w:t>
      </w:r>
      <w:r>
        <w:rPr>
          <w:b/>
          <w:bCs/>
        </w:rPr>
        <w:t xml:space="preserve"> </w:t>
      </w:r>
      <w:r>
        <w:rPr>
          <w:b/>
          <w:bCs/>
        </w:rPr>
        <w:t xml:space="preserve">control,</w:t>
      </w:r>
      <w:r>
        <w:rPr>
          <w:b/>
          <w:bCs/>
        </w:rPr>
        <w:t xml:space="preserve"> </w:t>
      </w:r>
      <w:r>
        <w:rPr>
          <w:b/>
          <w:bCs/>
        </w:rPr>
        <w:t xml:space="preserve">and</w:t>
      </w:r>
      <w:r>
        <w:rPr>
          <w:b/>
          <w:bCs/>
        </w:rPr>
        <w:t xml:space="preserve"> </w:t>
      </w:r>
      <w:r>
        <w:rPr>
          <w:b/>
          <w:bCs/>
        </w:rPr>
        <w:t xml:space="preserve">ignoring</w:t>
      </w:r>
      <w:r>
        <w:rPr>
          <w:b/>
          <w:bCs/>
        </w:rPr>
        <w:t xml:space="preserve"> </w:t>
      </w:r>
      <w:r>
        <w:rPr>
          <w:b/>
          <w:bCs/>
        </w:rPr>
        <w:t xml:space="preserve">corporate</w:t>
      </w:r>
      <w:r>
        <w:rPr>
          <w:b/>
          <w:bCs/>
        </w:rPr>
        <w:t xml:space="preserve"> </w:t>
      </w:r>
      <w:r>
        <w:rPr>
          <w:b/>
          <w:bCs/>
        </w:rPr>
        <w:t xml:space="preserve">formalities.</w:t>
      </w:r>
    </w:p>
    <w:p>
      <w:pPr>
        <w:pStyle w:val="BodyText"/>
      </w:pPr>
      <w:r>
        <w:t xml:space="preserve">35. All of the employees at each of the aforementioned Sites were engaged in a common operational purpose, under common management, used common equipment, and were under the Defendants’ de facto and de jure management, maintenance, and control. Representatives of each of the three Defendants routinely ordered, directed, and/​or controlled the Plaintiff and other workers throughout each Site on a regular basis.</w:t>
      </w:r>
    </w:p>
    <w:p>
      <w:pPr>
        <w:pStyle w:val="BodyText"/>
      </w:pPr>
      <w:r>
        <w:t xml:space="preserve">36. At all times relevant to this action, each Site was under the Defendants’ de jure and de facto ownership and control as an employer and a mine operator.</w:t>
      </w:r>
    </w:p>
    <w:p>
      <w:pPr>
        <w:pStyle w:val="BodyText"/>
      </w:pPr>
      <w:r>
        <w:t xml:space="preserve">37. Upon information and belief, employees of Defendants directed the workforce at each Site and participated in implementing the layoff that forms the basis of the instant action.</w:t>
      </w:r>
    </w:p>
    <w:p>
      <w:pPr>
        <w:pStyle w:val="BodyText"/>
      </w:pPr>
      <w:r>
        <w:t xml:space="preserve">38. On or about July 1, 2019, the Defendants laid off, terminated, or reduced-in-force 50 or more employees at each Site, separating those individuals from full-time employment.</w:t>
      </w:r>
    </w:p>
    <w:p>
      <w:pPr>
        <w:pStyle w:val="BodyText"/>
      </w:pPr>
      <w:r>
        <w:t xml:space="preserve">39. Neither the Plaintiffs nor the others of Defendants’ employees received written notice that the employees would be laid off prior to the occurrence of that layoff in 2019.</w:t>
      </w:r>
    </w:p>
    <w:p>
      <w:pPr>
        <w:pStyle w:val="BodyText"/>
      </w:pPr>
      <w:r>
        <w:t xml:space="preserve">40. At all times relevant, Jeffery Hoops Sr. was the de facto owner and controller of the Defendant entities, by and through Lexington Coal Company, LLC, upon information and belief.</w:t>
      </w:r>
    </w:p>
    <w:p>
      <w:pPr>
        <w:pStyle w:val="BodyText"/>
      </w:pPr>
      <w:r>
        <w:t xml:space="preserve">a. Hoops Sr. personally managed the business affairs of the Sites directly, and through agents who he personally employed and controlled, such as by directing or authorizing those agents to make capital outlays for the Sites.</w:t>
      </w:r>
    </w:p>
    <w:p>
      <w:pPr>
        <w:pStyle w:val="BodyText"/>
      </w:pPr>
      <w:r>
        <w:t xml:space="preserve">b. Hoops Sr. directed the business affairs of the Debtors in significant part through individuals who were jointly employed Defendant Hoops and Defendant Lexington Coal Company, LLC—including, but not limited to, Tom Michaels.</w:t>
      </w:r>
    </w:p>
    <w:p>
      <w:pPr>
        <w:pStyle w:val="BodyText"/>
      </w:pPr>
      <w:r>
        <w:t xml:space="preserve">c. Upon information and belief, Hoops Sr. personally exercised control over the sale of coal by the Debtors to Lexington Coal Company, LLC, and in turn, upon information and belief, personally exercised control over the further sale of that coal to third parties.</w:t>
      </w:r>
    </w:p>
    <w:p>
      <w:pPr>
        <w:pStyle w:val="BodyText"/>
      </w:pPr>
      <w:r>
        <w:t xml:space="preserve">41. Defendant entities acted jointly under the common direction and control of Defendant Jeffery Hoops Sr., who was the de facto owner and controller of the Defendant entities and who was the employer or joint employer of the Plaintiffs along with the Defendant entities.</w:t>
      </w:r>
    </w:p>
    <w:p>
      <w:pPr>
        <w:pStyle w:val="BodyText"/>
      </w:pPr>
      <w:r>
        <w:t xml:space="preserve">42. Lexington Coal Company, LLC was a joint employer of the Plaintiffs, along with the other Defendants.</w:t>
      </w:r>
    </w:p>
    <w:p>
      <w:pPr>
        <w:pStyle w:val="BodyText"/>
      </w:pPr>
      <w:r>
        <w:t xml:space="preserve">43. The Defendants constitute an integrated enterprise and, as such, they are not in fact bankrupt. Specifically, upon information and belief:</w:t>
      </w:r>
    </w:p>
    <w:p>
      <w:pPr>
        <w:pStyle w:val="BodyText"/>
      </w:pPr>
      <w:r>
        <w:t xml:space="preserve">a. Lexington Coal Company continues to do business and derive substantial revenue as a solvent entity.</w:t>
      </w:r>
    </w:p>
    <w:p>
      <w:pPr>
        <w:pStyle w:val="BodyText"/>
      </w:pPr>
      <w:r>
        <w:t xml:space="preserve">b. Lexington Coal Company provided operating capital to the other Defendants at the mining operations that were permitted in the name of Blackjewel, L.L.C.</w:t>
      </w:r>
    </w:p>
    <w:p>
      <w:pPr>
        <w:pStyle w:val="BodyText"/>
      </w:pPr>
      <w:r>
        <w:t xml:space="preserve">c. The sole member-owner registered with the West Virginia Secretary of State as to the Lexington Coal Company is Lexington Coal Holdings, Inc.—an entity that is ignoring corporate formalities by failing to register with the Secretary of State in West Virginia.</w:t>
      </w:r>
    </w:p>
    <w:p>
      <w:pPr>
        <w:pStyle w:val="BodyText"/>
      </w:pPr>
      <w:r>
        <w:t xml:space="preserve">d. In reality, Lexington Coal Company is under the de facto control of Defendant Jeffery Hoops and/​or his immediate family members, and is a de facto single employer together with the other Defendants for purposes of the WARN Act and other relevant statutes as pleaded in this Complaint.</w:t>
      </w:r>
    </w:p>
    <w:p>
      <w:pPr>
        <w:pStyle w:val="BodyText"/>
      </w:pPr>
      <w:r>
        <w:t xml:space="preserve">e. Lexington Coal Company has received profits from the sale of coal by the Facilities.</w:t>
      </w:r>
    </w:p>
    <w:p>
      <w:pPr>
        <w:pStyle w:val="BodyText"/>
      </w:pPr>
      <w:r>
        <w:t xml:space="preserve">f. The agents of Defendants Jeffery Hoops and Lexington Coal Company, including but not limited to Tom Michaels, exercised managerial control of the Facilities during relevant periods.</w:t>
      </w:r>
    </w:p>
    <w:p>
      <w:pPr>
        <w:keepNext/>
        <w:keepLines/>
        <w:spacing w:before="240" w:after="240" w:line="276" w:lineRule="exact"/>
        <w:ind w:left="0" w:firstLine="0"/>
        <w:jc w:val="center"/>
        <w:outlineLvl w:val="1"/>
      </w:pPr>
      <w:r>
        <w:rPr>
          <w:b/>
          <w:bCs/>
        </w:rPr>
        <w:t xml:space="preserve">Count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Kentucky</w:t>
      </w:r>
      <w:r>
        <w:rPr>
          <w:b/>
          <w:bCs/>
        </w:rPr>
        <w:t xml:space="preserve"> </w:t>
      </w:r>
      <w:r>
        <w:rPr>
          <w:b/>
          <w:bCs/>
        </w:rPr>
        <w:t xml:space="preserve">Wage</w:t>
      </w:r>
      <w:r>
        <w:rPr>
          <w:b/>
          <w:bCs/>
        </w:rPr>
        <w:t xml:space="preserve"> </w:t>
      </w:r>
      <w:r>
        <w:rPr>
          <w:b/>
          <w:bCs/>
        </w:rPr>
        <w:t xml:space="preserve">Violations</w:t>
      </w:r>
    </w:p>
    <w:p>
      <w:pPr>
        <w:pStyle w:val="BodyText"/>
      </w:pPr>
      <w:r>
        <w:rPr>
          <w:i/>
          <w:iCs/>
        </w:rPr>
        <w:t xml:space="preserve">Ky. Rev. Stat. Sec. 337.020</w:t>
      </w:r>
    </w:p>
    <w:p>
      <w:pPr>
        <w:pStyle w:val="BodyText"/>
      </w:pPr>
      <w:r>
        <w:t xml:space="preserve">44. Plaintiffs repeat and re-allege the foregoing paragraphs.</w:t>
      </w:r>
    </w:p>
    <w:p>
      <w:pPr>
        <w:pStyle w:val="BodyText"/>
      </w:pPr>
      <w:r>
        <w:t xml:space="preserve">45. The Defendants jointly employed Mr. X, Y, and Z (</w:t>
      </w:r>
      <w:r>
        <w:t xml:space="preserve">“Kentucky Plaintiffs”</w:t>
      </w:r>
      <w:r>
        <w:t xml:space="preserve">) as employees.</w:t>
      </w:r>
    </w:p>
    <w:p>
      <w:pPr>
        <w:pStyle w:val="BodyText"/>
      </w:pPr>
      <w:r>
        <w:t xml:space="preserve">46.</w:t>
      </w:r>
      <w:r>
        <w:t xml:space="preserve"> </w:t>
      </w:r>
      <w:r>
        <w:t xml:space="preserve">“</w:t>
      </w:r>
      <w:r>
        <w:t xml:space="preserve">‘Employer’</w:t>
      </w:r>
      <w:r>
        <w:t xml:space="preserve"> </w:t>
      </w:r>
      <w:r>
        <w:t xml:space="preserve">is any person, either individual, corporation, partnership, agency, or firm who employs an employee and includes any person, either individual, corporation, partnership, agency, or firm acting directly or indirectly in the interest of an employer in relation to an employee.”</w:t>
      </w:r>
      <w:r>
        <w:t xml:space="preserve"> </w:t>
      </w:r>
      <w:r>
        <w:t xml:space="preserve">Ky. Rev. Stat. § 337.010(d).</w:t>
      </w:r>
    </w:p>
    <w:p>
      <w:pPr>
        <w:pStyle w:val="BodyText"/>
      </w:pPr>
      <w:r>
        <w:t xml:space="preserve">47. An employee is</w:t>
      </w:r>
      <w:r>
        <w:t xml:space="preserve"> </w:t>
      </w:r>
      <w:r>
        <w:t xml:space="preserve">“is any person employed by or suffered or permitted to work for an employer,”</w:t>
      </w:r>
      <w:r>
        <w:t xml:space="preserve"> </w:t>
      </w:r>
      <w:r>
        <w:t xml:space="preserve">subject to inapplicable exceptions. Ky. Rev. Stat. § 337.010(e).</w:t>
      </w:r>
    </w:p>
    <w:p>
      <w:pPr>
        <w:pStyle w:val="BodyText"/>
      </w:pPr>
      <w:r>
        <w:t xml:space="preserve">48.</w:t>
      </w:r>
      <w:r>
        <w:t xml:space="preserve"> </w:t>
      </w:r>
      <w:r>
        <w:t xml:space="preserve">“</w:t>
      </w:r>
      <w:r>
        <w:t xml:space="preserve">‘Wages’</w:t>
      </w:r>
      <w:r>
        <w:t xml:space="preserve"> </w:t>
      </w:r>
      <w:r>
        <w:t xml:space="preserve">includes any compensation due to an employee by reason of his or her employment, including salaries, commissions, vested vacation pay, overtime pay, severance or dismissal pay, earned bonuses, and any other similar advantages agreed upon by the employer and the employee or provided to employees as an established policy.”</w:t>
      </w:r>
      <w:r>
        <w:t xml:space="preserve"> </w:t>
      </w:r>
      <w:r>
        <w:t xml:space="preserve">Ky. Rev. Stat. § 337.010(c)⁠(1).</w:t>
      </w:r>
    </w:p>
    <w:p>
      <w:pPr>
        <w:pStyle w:val="BodyText"/>
      </w:pPr>
      <w:r>
        <w:t xml:space="preserve">49.</w:t>
      </w:r>
      <w:r>
        <w:t xml:space="preserve"> </w:t>
      </w:r>
      <w:r>
        <w:t xml:space="preserve">“Every employer doing business in [Kentucky] shall, as often as semimonthly, pay to each of its employees all wages or salary earned to a day not more than eighteen (18) days prior to the date of that payment. . . . No employer subject to this section shall, by any means, secure exemption from it. Every such employee shall have a right of action against any such employer for the full amount of his wages due on each regular pay day.”</w:t>
      </w:r>
      <w:r>
        <w:t xml:space="preserve"> </w:t>
      </w:r>
      <w:r>
        <w:t xml:space="preserve">Ky. Rev. Stat. § 337.020.</w:t>
      </w:r>
    </w:p>
    <w:p>
      <w:pPr>
        <w:pStyle w:val="BodyText"/>
      </w:pPr>
      <w:r>
        <w:t xml:space="preserve">50. Defendants did not pay to the Kentucky Plaintiff, or to their other Kentucky employees, all wages or salaries earned for any date following June 9, 2019.</w:t>
      </w:r>
    </w:p>
    <w:p>
      <w:pPr>
        <w:pStyle w:val="BodyText"/>
      </w:pPr>
      <w:r>
        <w:t xml:space="preserve">51. As joint employers of the Kentucky Plaintiff and the other employees at the Kentucky Sites, the Defendants are liable for unpaid wages and liquidated damages in Kentucky. Ky. Rev. Stat. § 337.385.</w:t>
      </w:r>
    </w:p>
    <w:p>
      <w:pPr>
        <w:pStyle w:val="BodyText"/>
      </w:pPr>
      <w:r>
        <w:t xml:space="preserve">52.</w:t>
      </w:r>
      <w:r>
        <w:t xml:space="preserve"> </w:t>
      </w:r>
      <w:r>
        <w:t xml:space="preserve">“[A]ny employer who pays any employee less than wages and overtime compensation to which such employee is entitled under or by virtue of KRS §§ 337.020 to 337.285 shall be liable to such employee affected for the full amount of such wages and overtime compensation, less any amount actually paid to such employee by the employer, for an additional equal amount as liquidated damages, and for costs and such reasonable attorney’s fees as may be allowed by the court.”</w:t>
      </w:r>
      <w:r>
        <w:t xml:space="preserve"> </w:t>
      </w:r>
      <w:r>
        <w:t xml:space="preserve">Ky. Rev. Stat. § 337.385(1).</w:t>
      </w:r>
    </w:p>
    <w:p>
      <w:pPr>
        <w:pStyle w:val="BodyText"/>
      </w:pPr>
      <w:r>
        <w:t xml:space="preserve">53. The Kentucky Plaintiffs are, therefore, entitled to recover the wages and damages due to them, including interest, in addition to liquidated damages equivalent to one times the amount which was unpaid when due, and attorney fees, pursuant to Ky. Rev. Stat. §§ 337.020, 385(1).</w:t>
      </w:r>
    </w:p>
    <w:p>
      <w:pPr>
        <w:keepNext/>
        <w:keepLines/>
        <w:spacing w:before="240" w:after="240" w:line="276" w:lineRule="exact"/>
        <w:ind w:left="0" w:firstLine="0"/>
        <w:jc w:val="center"/>
        <w:outlineLvl w:val="1"/>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West</w:t>
      </w:r>
      <w:r>
        <w:rPr>
          <w:b/>
          <w:bCs/>
        </w:rPr>
        <w:t xml:space="preserve"> </w:t>
      </w:r>
      <w:r>
        <w:rPr>
          <w:b/>
          <w:bCs/>
        </w:rPr>
        <w:t xml:space="preserve">Virginia</w:t>
      </w:r>
      <w:r>
        <w:rPr>
          <w:b/>
          <w:bCs/>
        </w:rPr>
        <w:t xml:space="preserve"> </w:t>
      </w:r>
      <w:r>
        <w:rPr>
          <w:b/>
          <w:bCs/>
        </w:rPr>
        <w:t xml:space="preserve">Wage</w:t>
      </w:r>
      <w:r>
        <w:rPr>
          <w:b/>
          <w:bCs/>
        </w:rPr>
        <w:t xml:space="preserve"> </w:t>
      </w:r>
      <w:r>
        <w:rPr>
          <w:b/>
          <w:bCs/>
        </w:rPr>
        <w:t xml:space="preserve">Violations</w:t>
      </w:r>
    </w:p>
    <w:p>
      <w:pPr>
        <w:pStyle w:val="BodyText"/>
      </w:pPr>
      <w:r>
        <w:rPr>
          <w:i/>
          <w:iCs/>
        </w:rPr>
        <w:t xml:space="preserve">West Virginia Wage Payment and Collection Act, W.Va. Code § 21</w:t>
      </w:r>
      <w:r>
        <w:noBreakHyphen/>
      </w:r>
      <w:r>
        <w:rPr>
          <w:i/>
          <w:iCs/>
        </w:rPr>
        <w:t xml:space="preserve">5</w:t>
      </w:r>
      <w:r>
        <w:noBreakHyphen/>
      </w:r>
      <w:r>
        <w:rPr>
          <w:i/>
          <w:iCs/>
        </w:rPr>
        <w:t xml:space="preserve">1 – 13</w:t>
      </w:r>
    </w:p>
    <w:p>
      <w:pPr>
        <w:pStyle w:val="BodyText"/>
      </w:pPr>
      <w:r>
        <w:t xml:space="preserve">54. Plaintiffs repeat and re-allege the foregoing paragraphs.</w:t>
      </w:r>
    </w:p>
    <w:p>
      <w:pPr>
        <w:pStyle w:val="BodyText"/>
      </w:pPr>
      <w:r>
        <w:t xml:space="preserve">55. The Defendants jointly employed Mr. Shawn Abner (the</w:t>
      </w:r>
      <w:r>
        <w:t xml:space="preserve"> </w:t>
      </w:r>
      <w:r>
        <w:t xml:space="preserve">“West Virginia Plaintiff”</w:t>
      </w:r>
      <w:r>
        <w:t xml:space="preserve">) as an employee who was suffered or permitted to work by the Defendants jointly, within the meaning of W. Va. Code § 21</w:t>
      </w:r>
      <w:r>
        <w:noBreakHyphen/>
      </w:r>
      <w:r>
        <w:t xml:space="preserve">5</w:t>
      </w:r>
      <w:r>
        <w:noBreakHyphen/>
      </w:r>
      <w:r>
        <w:t xml:space="preserve">1(b),(m).</w:t>
      </w:r>
    </w:p>
    <w:p>
      <w:pPr>
        <w:pStyle w:val="BodyText"/>
      </w:pPr>
      <w:r>
        <w:t xml:space="preserve">56.</w:t>
      </w:r>
      <w:r>
        <w:t xml:space="preserve"> </w:t>
      </w:r>
      <w:r>
        <w:t xml:space="preserve">“Every person, firm or corporation doing business in this state . . . shall settle with its employees at least twice every month and with no more than 19 days between settlements, unless otherwise provided by special agreement, and pay them the wages due, less authorized deductions and authorized wage assignments, for their work or services.”</w:t>
      </w:r>
      <w:r>
        <w:t xml:space="preserve"> </w:t>
      </w:r>
      <w:r>
        <w:t xml:space="preserve">W. Va. Code § 21</w:t>
      </w:r>
      <w:r>
        <w:noBreakHyphen/>
      </w:r>
      <w:r>
        <w:t xml:space="preserve">5</w:t>
      </w:r>
      <w:r>
        <w:noBreakHyphen/>
      </w:r>
      <w:r>
        <w:t xml:space="preserve">3(a).</w:t>
      </w:r>
    </w:p>
    <w:p>
      <w:pPr>
        <w:pStyle w:val="BodyText"/>
      </w:pPr>
      <w:r>
        <w:t xml:space="preserve">57. For all relevant purposes,</w:t>
      </w:r>
      <w:r>
        <w:t xml:space="preserve"> </w:t>
      </w:r>
      <w:r>
        <w:t xml:space="preserve">“the term</w:t>
      </w:r>
      <w:r>
        <w:t xml:space="preserve"> </w:t>
      </w:r>
      <w:r>
        <w:t xml:space="preserve">‘wages’</w:t>
      </w:r>
      <w:r>
        <w:t xml:space="preserve"> </w:t>
      </w:r>
      <w:r>
        <w:t xml:space="preserve">shall also include then accrued fringe benefits capable of calculation and payable directly to an employee[.]”</w:t>
      </w:r>
      <w:r>
        <w:t xml:space="preserve"> </w:t>
      </w:r>
      <w:r>
        <w:t xml:space="preserve">W. Va. Code § 21</w:t>
      </w:r>
      <w:r>
        <w:noBreakHyphen/>
      </w:r>
      <w:r>
        <w:t xml:space="preserve">5</w:t>
      </w:r>
      <w:r>
        <w:noBreakHyphen/>
      </w:r>
      <w:r>
        <w:t xml:space="preserve">1(c).</w:t>
      </w:r>
    </w:p>
    <w:p>
      <w:pPr>
        <w:pStyle w:val="BodyText"/>
      </w:pPr>
      <w:r>
        <w:t xml:space="preserve">58. Wages due to the West Virginia Plaintiff included cash wages, Employee’s Contributions to Plaintiff’s 401(k) account, Employer’s Contributions to 401(k) Plan in sums stated on each paystub that Defendants represented as having been paid to the Plaintiff upon delivery of each paystub, and other health and welfare benefits.</w:t>
      </w:r>
    </w:p>
    <w:p>
      <w:pPr>
        <w:pStyle w:val="BodyText"/>
      </w:pPr>
      <w:r>
        <w:t xml:space="preserve">59.</w:t>
      </w:r>
      <w:r>
        <w:t xml:space="preserve"> </w:t>
      </w:r>
      <w:r>
        <w:t xml:space="preserve">“[W]hen an employee for any reason whatsoever is laid off, the person, firm or corporation shall pay in full to the employee not later than the next regular payday, either through the regular pay channels or by mail if requested by the employee, wages earned at the time of suspension or layoff.”</w:t>
      </w:r>
      <w:r>
        <w:t xml:space="preserve"> </w:t>
      </w:r>
      <w:r>
        <w:t xml:space="preserve">W. Va. Code § 21</w:t>
      </w:r>
      <w:r>
        <w:noBreakHyphen/>
      </w:r>
      <w:r>
        <w:t xml:space="preserve">5</w:t>
      </w:r>
      <w:r>
        <w:noBreakHyphen/>
      </w:r>
      <w:r>
        <w:t xml:space="preserve">3(d).</w:t>
      </w:r>
    </w:p>
    <w:p>
      <w:pPr>
        <w:pStyle w:val="BodyText"/>
      </w:pPr>
      <w:r>
        <w:t xml:space="preserve">60.</w:t>
      </w:r>
      <w:r>
        <w:t xml:space="preserve"> </w:t>
      </w:r>
      <w:r>
        <w:t xml:space="preserve">“If a person, firm or corporation fails to pay an employee wages as required under this section, the person, firm or corporation, in addition to the amount which was unpaid when due, is liable to the employee for two times that unpaid amount as liquidated damages.”</w:t>
      </w:r>
      <w:r>
        <w:t xml:space="preserve"> </w:t>
      </w:r>
      <w:r>
        <w:t xml:space="preserve">W. Va. Code § 21</w:t>
      </w:r>
      <w:r>
        <w:noBreakHyphen/>
      </w:r>
      <w:r>
        <w:t xml:space="preserve">5</w:t>
      </w:r>
      <w:r>
        <w:noBreakHyphen/>
      </w:r>
      <w:r>
        <w:t xml:space="preserve">3(e).</w:t>
      </w:r>
    </w:p>
    <w:p>
      <w:pPr>
        <w:pStyle w:val="BodyText"/>
      </w:pPr>
      <w:r>
        <w:t xml:space="preserve">61.</w:t>
      </w:r>
      <w:r>
        <w:t xml:space="preserve"> </w:t>
      </w:r>
      <w:r>
        <w:t xml:space="preserve">“Every employee shall have a lien and all other rights and remedies for the protection and enforcement of his or her salary or wages, as he or she would have been entitled to had he or she rendered service therefor in the manner as last employed; except that, for the purpose of liquidated damages, the failure shall not be deemed to continue after the date of the filing of a petition in bankruptcy with respect to the employer if he or she is adjudicated bankrupt upon the petition.”</w:t>
      </w:r>
      <w:r>
        <w:t xml:space="preserve"> </w:t>
      </w:r>
      <w:r>
        <w:t xml:space="preserve">W. Va. Code § 21</w:t>
      </w:r>
      <w:r>
        <w:noBreakHyphen/>
      </w:r>
      <w:r>
        <w:t xml:space="preserve">5</w:t>
      </w:r>
      <w:r>
        <w:noBreakHyphen/>
      </w:r>
      <w:r>
        <w:t xml:space="preserve">3(e).</w:t>
      </w:r>
    </w:p>
    <w:p>
      <w:pPr>
        <w:pStyle w:val="BodyText"/>
      </w:pPr>
      <w:r>
        <w:t xml:space="preserve">a. The Defendants have not yet been adjudicated bankrupt upon the petition and the Plaintiffs have substantial reason to believe that the Defendants, as joint employers, are not in fact bankrupt for the reasons set forth above in this Complaint.</w:t>
      </w:r>
    </w:p>
    <w:p>
      <w:pPr>
        <w:pStyle w:val="BodyText"/>
      </w:pPr>
      <w:r>
        <w:t xml:space="preserve">b. However, even if one or more of the Defendants is ultimately adjudicated bankrupt, liquidated damages shall nonetheless attach to the employer-contributed benefits that were not paid as indicated on the paystubs for a period of several months prior to the filing of bankruptcy.</w:t>
      </w:r>
    </w:p>
    <w:p>
      <w:pPr>
        <w:pStyle w:val="BodyText"/>
      </w:pPr>
      <w:r>
        <w:t xml:space="preserve">62. Defendants did not make payments of all wages due to the West Virginia Plaintiff and to Defendants’ West Virginia employees as indicated on the paystubs.</w:t>
      </w:r>
    </w:p>
    <w:p>
      <w:pPr>
        <w:pStyle w:val="BodyText"/>
      </w:pPr>
      <w:r>
        <w:t xml:space="preserve">63. The West Virginia Plaintiff and Defendants’ West Virginia employees relied upon the representations of payment made by Defendant on those paystubs.</w:t>
      </w:r>
    </w:p>
    <w:p>
      <w:pPr>
        <w:pStyle w:val="BodyText"/>
      </w:pPr>
      <w:r>
        <w:t xml:space="preserve">64. By not placing all of the Employer’s and Employees’ Contributions into the 401(k) account as indicated, the Defendants deprived the West Virginia Plaintiff and Defendants’ West Virginia employees of the sums that they had earned and also of the interest that they would have earned on those sums had they been deposited as indicated on each paystub.</w:t>
      </w:r>
    </w:p>
    <w:p>
      <w:pPr>
        <w:pStyle w:val="BodyText"/>
      </w:pPr>
      <w:r>
        <w:t xml:space="preserve">65.</w:t>
      </w:r>
      <w:r>
        <w:t xml:space="preserve"> </w:t>
      </w:r>
      <w:r>
        <w:t xml:space="preserve">“Any person whose wages have not been paid in accord with this article . . . may bring any legal action necessary to collect a claim under this article. . . . The court in any action brought under this article may, in the event that any judgment is awarded to the plaintiff or plaintiffs, assess costs of the action, including reasonable attorney fees against the defendant.”</w:t>
      </w:r>
      <w:r>
        <w:t xml:space="preserve"> </w:t>
      </w:r>
      <w:r>
        <w:t xml:space="preserve">W. Va. Code Sec. 21</w:t>
      </w:r>
      <w:r>
        <w:noBreakHyphen/>
      </w:r>
      <w:r>
        <w:t xml:space="preserve">5</w:t>
      </w:r>
      <w:r>
        <w:noBreakHyphen/>
      </w:r>
      <w:r>
        <w:t xml:space="preserve">12.</w:t>
      </w:r>
    </w:p>
    <w:p>
      <w:pPr>
        <w:pStyle w:val="BodyText"/>
      </w:pPr>
      <w:r>
        <w:t xml:space="preserve">66. When the Defendants terminated the West Virginia Plaintiff and Defendants’ West Virginia employees, the Defendants failed to pay the wages due as required by the next regular payday on which the wages would otherwise have been due and payable, in violation of W. Va. Code Sec. 21</w:t>
      </w:r>
      <w:r>
        <w:noBreakHyphen/>
      </w:r>
      <w:r>
        <w:t xml:space="preserve">5</w:t>
      </w:r>
      <w:r>
        <w:noBreakHyphen/>
      </w:r>
      <w:r>
        <w:t xml:space="preserve">4(e).</w:t>
      </w:r>
    </w:p>
    <w:p>
      <w:pPr>
        <w:pStyle w:val="BodyText"/>
      </w:pPr>
      <w:r>
        <w:t xml:space="preserve">67. The West Virginia Plaintiff and Defendants’ West Virginia employees are, therefore, entitled to recover the wages and damages due to them, including interest, in addition to liquidated damages equivalent to two times the amount which was unpaid when due, and attorney fees, pursuant to W. Va. Code Sec. 21</w:t>
      </w:r>
      <w:r>
        <w:noBreakHyphen/>
      </w:r>
      <w:r>
        <w:t xml:space="preserve">5</w:t>
      </w:r>
      <w:r>
        <w:noBreakHyphen/>
      </w:r>
      <w:r>
        <w:t xml:space="preserve">4(e), and 12.</w:t>
      </w:r>
    </w:p>
    <w:p>
      <w:pPr>
        <w:keepNext/>
        <w:keepLines/>
        <w:spacing w:before="240" w:after="240" w:line="276" w:lineRule="exact"/>
        <w:ind w:left="0" w:firstLine="0"/>
        <w:jc w:val="center"/>
        <w:outlineLvl w:val="0"/>
      </w:pPr>
      <w:r>
        <w:rPr>
          <w:b/>
          <w:bCs/>
        </w:rPr>
        <w:t xml:space="preserve">DAMAGES</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
      </w:pPr>
      <w:r>
        <w:t xml:space="preserve">112. Pursuant to Fed. R. Civ. P. 23(a), (b), &amp; (c), and 29 U.S.C. § 2104(a)⁠(5), and other applicable law, Plaintiffs request that the Court provide the following equitable and legal relief:</w:t>
      </w:r>
    </w:p>
    <w:p>
      <w:pPr>
        <w:pStyle w:val="BodyText"/>
      </w:pPr>
      <w:r>
        <w:t xml:space="preserve">a. An allowed claim against the Debtor Defendants in favor of the Plaintiffs and Class Members in the following amounts: wages and benefits due but unpaid as set forth above; up to the maximum amount of statutory and liquidated damages, including interest compounded at an appropriate rate and frequency, pursuant to Ky. Rev. Stat. Section 337.385(1), W. Va. Code 21</w:t>
      </w:r>
      <w:r>
        <w:noBreakHyphen/>
      </w:r>
      <w:r>
        <w:t xml:space="preserve">5</w:t>
      </w:r>
      <w:r>
        <w:noBreakHyphen/>
      </w:r>
      <w:r>
        <w:t xml:space="preserve">4, 12, Va. Code 40.1</w:t>
      </w:r>
      <w:r>
        <w:noBreakHyphen/>
      </w:r>
      <w:r>
        <w:t xml:space="preserve">28, 29 U.S.C. 1132(a), (c), (ERISA), 29 U.S.C. §§ 2104(a)⁠(1) &amp; (2) (WARN Act).</w:t>
      </w:r>
    </w:p>
    <w:p>
      <w:pPr>
        <w:pStyle w:val="BodyText"/>
      </w:pPr>
      <w:r>
        <w:t xml:space="preserve">b. The Court designate the named Plaintiffs as class representatives as permitted by Rule 23 and 29 U.S.C. § 2104(a)⁠(5).</w:t>
      </w:r>
    </w:p>
    <w:p>
      <w:pPr>
        <w:pStyle w:val="BodyText"/>
      </w:pPr>
      <w:r>
        <w:t xml:space="preserve">c. The Court appoint the undersigned attorneys as class counsel pursuant to Rule 23.</w:t>
      </w:r>
    </w:p>
    <w:p>
      <w:pPr>
        <w:pStyle w:val="BodyText"/>
      </w:pPr>
      <w:r>
        <w:t xml:space="preserve">d. An allowed administrative priority claim against the Debtor Defendants under 11 U.S.C. § 503 for the reasonable attorneys’ fees, litigation expenses, and other costs that Plaintiffs incur in pursuing this action as authorized by Ky. Rev. Stat. § 337.020, W.Va. Code § 21</w:t>
      </w:r>
      <w:r>
        <w:noBreakHyphen/>
      </w:r>
      <w:r>
        <w:t xml:space="preserve">5</w:t>
      </w:r>
      <w:r>
        <w:noBreakHyphen/>
      </w:r>
      <w:r>
        <w:t xml:space="preserve">12, Va. Code, 29 U.S.C. § 1132, and 29 U.S.C. § 2104(a)⁠(6).</w:t>
      </w:r>
    </w:p>
    <w:p>
      <w:pPr>
        <w:pStyle w:val="BodyText"/>
      </w:pPr>
      <w:r>
        <w:t xml:space="preserve">e. A declaration of relief from the stay to pursue Count VIII (ERISA Claim for Failure to Provide Notice of COBRA Rights) against Jeffery A. Hoops II in his capacity as plan administrator.</w:t>
      </w:r>
    </w:p>
    <w:p>
      <w:pPr>
        <w:pStyle w:val="BodyText"/>
      </w:pPr>
      <w:r>
        <w:t xml:space="preserve">f. Any such other relief as it may deem just and proper.</w:t>
      </w:r>
    </w:p>
    <w:p>
      <w:pPr>
        <w:spacing w:before="0" w:after="0" w:line="480" w:lineRule="exact"/>
        <w:ind w:left="0" w:firstLine="720"/>
        <w:jc w:val="left"/>
      </w:pPr>
      <w:r>
        <w:t xml:space="preserve">[Plaintiffs’</w:t>
      </w:r>
      <w:r>
        <w:t xml:space="preserve"> </w:t>
      </w:r>
      <w:r>
        <w:t xml:space="preserve">statement</w:t>
      </w:r>
      <w:r>
        <w:t xml:space="preserve"> </w:t>
      </w:r>
      <w:r>
        <w:t xml:space="preserve">whether</w:t>
      </w:r>
      <w:r>
        <w:t xml:space="preserve"> </w:t>
      </w:r>
      <w:r>
        <w:t xml:space="preserve">they</w:t>
      </w:r>
      <w:r>
        <w:t xml:space="preserve"> </w:t>
      </w:r>
      <w:r>
        <w:t xml:space="preserve">do</w:t>
      </w:r>
      <w:r>
        <w:t xml:space="preserve"> </w:t>
      </w:r>
      <w:r>
        <w:t xml:space="preserve">or</w:t>
      </w:r>
      <w:r>
        <w:t xml:space="preserve"> </w:t>
      </w:r>
      <w:r>
        <w:t xml:space="preserve">do</w:t>
      </w:r>
      <w:r>
        <w:t xml:space="preserve"> </w:t>
      </w:r>
      <w:r>
        <w:t xml:space="preserve">not</w:t>
      </w:r>
      <w:r>
        <w:t xml:space="preserve"> </w:t>
      </w:r>
      <w:r>
        <w:t xml:space="preserve">consent</w:t>
      </w:r>
      <w:r>
        <w:t xml:space="preserve"> </w:t>
      </w:r>
      <w:r>
        <w:t xml:space="preserve">to</w:t>
      </w:r>
      <w:r>
        <w:t xml:space="preserve"> </w:t>
      </w:r>
      <w:r>
        <w:t xml:space="preserve">the</w:t>
      </w:r>
      <w:r>
        <w:t xml:space="preserve"> </w:t>
      </w:r>
      <w:r>
        <w:t xml:space="preserve">entry</w:t>
      </w:r>
      <w:r>
        <w:t xml:space="preserve"> </w:t>
      </w:r>
      <w:r>
        <w:t xml:space="preserve">of</w:t>
      </w:r>
      <w:r>
        <w:t xml:space="preserve"> </w:t>
      </w:r>
      <w:r>
        <w:t xml:space="preserve">final</w:t>
      </w:r>
      <w:r>
        <w:t xml:space="preserve"> </w:t>
      </w:r>
      <w:r>
        <w:t xml:space="preserve">orders</w:t>
      </w:r>
      <w:r>
        <w:t xml:space="preserve"> </w:t>
      </w:r>
      <w:r>
        <w:t xml:space="preserve">or</w:t>
      </w:r>
      <w:r>
        <w:t xml:space="preserve"> </w:t>
      </w:r>
      <w:r>
        <w:t xml:space="preserve">judgment</w:t>
      </w:r>
      <w:r>
        <w:t xml:space="preserve"> </w:t>
      </w:r>
      <w:r>
        <w:t xml:space="preserve">by</w:t>
      </w:r>
      <w:r>
        <w:t xml:space="preserve"> </w:t>
      </w:r>
      <w:r>
        <w:t xml:space="preserve">the</w:t>
      </w:r>
      <w:r>
        <w:t xml:space="preserve"> </w:t>
      </w:r>
      <w:r>
        <w:t xml:space="preserve">bankruptcy</w:t>
      </w:r>
      <w:r>
        <w:t xml:space="preserve"> </w:t>
      </w:r>
      <w:r>
        <w:t xml:space="preserve">court:</w:t>
      </w:r>
      <w:r>
        <w:t xml:space="preserve"> </w:t>
      </w:r>
      <w:r>
        <w:t xml:space="preserve">to</w:t>
      </w:r>
      <w:r>
        <w:t xml:space="preserve"> </w:t>
      </w:r>
      <w:r>
        <w:t xml:space="preserve">be</w:t>
      </w:r>
      <w:r>
        <w:t xml:space="preserve"> </w:t>
      </w:r>
      <w:r>
        <w:t xml:space="preserve">completed</w:t>
      </w:r>
      <w:r>
        <w:t xml:space="preserve"> </w:t>
      </w:r>
      <w:r>
        <w:t xml:space="preserve">by</w:t>
      </w:r>
      <w:r>
        <w:t xml:space="preserve"> </w:t>
      </w:r>
      <w:r>
        <w:t xml:space="preserve">counsel.]</w:t>
      </w:r>
    </w:p>
    <w:p>
      <w:pPr>
        <w:keepNext/>
        <w:keepLines/>
        <w:spacing w:before="480" w:after="0" w:line="276" w:lineRule="exact"/>
        <w:ind w:left="4752" w:firstLine="0"/>
        <w:jc w:val="left"/>
      </w:pPr>
      <w:r>
        <w:t xml:space="preserve">Plaintiffs,</w:t>
      </w:r>
    </w:p>
    <w:p>
      <w:pPr>
        <w:keepNext/>
        <w:keepLines/>
        <w:spacing w:before="0" w:after="0" w:line="276" w:lineRule="exact"/>
        <w:ind w:left="4752" w:firstLine="0"/>
        <w:jc w:val="left"/>
      </w:pPr>
      <w:r>
        <w:t xml:space="preserve">Shawn</w:t>
      </w:r>
      <w:r>
        <w:t xml:space="preserve"> </w:t>
      </w:r>
      <w:r>
        <w:t xml:space="preserve">Abner,</w:t>
      </w:r>
      <w:r>
        <w:t xml:space="preserve"> </w:t>
      </w:r>
      <w:r>
        <w:t xml:space="preserve">et</w:t>
      </w:r>
      <w:r>
        <w:t xml:space="preserve"> </w:t>
      </w:r>
      <w:r>
        <w:t xml:space="preserve">al.</w:t>
      </w:r>
    </w:p>
    <w:p>
      <w:pPr>
        <w:keepNext/>
        <w:keepLines/>
        <w:spacing w:before="0" w:after="0" w:line="276" w:lineRule="exact"/>
        <w:ind w:left="4752" w:firstLine="0"/>
        <w:jc w:val="left"/>
      </w:pPr>
      <w:r>
        <w:t xml:space="preserve">By</w:t>
      </w:r>
      <w:r>
        <w:t xml:space="preserve"> </w:t>
      </w:r>
      <w:r>
        <w:t xml:space="preserve">counsel:</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keepNext/>
              <w:keepLines/>
              <w:spacing w:before="240" w:after="0" w:line="276" w:lineRule="exact"/>
              <w:ind w:left="0" w:firstLine="0"/>
              <w:jc w:val="left"/>
            </w:pPr>
            <w:r>
              <w:t xml:space="preserve">/​s/</w:t>
            </w:r>
            <w:r>
              <w:t xml:space="preserve"> </w:t>
            </w:r>
            <w:r>
              <w:t xml:space="preserve">Samuel</w:t>
            </w:r>
            <w:r>
              <w:t xml:space="preserve"> </w:t>
            </w:r>
            <w:r>
              <w:t xml:space="preserve">B.</w:t>
            </w:r>
            <w:r>
              <w:t xml:space="preserve"> </w:t>
            </w:r>
            <w:r>
              <w:t xml:space="preserve">Petsonk</w:t>
            </w:r>
          </w:p>
          <w:p>
            <w:pPr>
              <w:keepNext/>
              <w:keepLines/>
              <w:spacing w:before="0" w:after="0" w:line="276" w:lineRule="exact"/>
              <w:ind w:left="0" w:firstLine="0"/>
              <w:jc w:val="left"/>
            </w:pPr>
            <w:r>
              <w:t xml:space="preserve">Samuel</w:t>
            </w:r>
            <w:r>
              <w:t xml:space="preserve"> </w:t>
            </w:r>
            <w:r>
              <w:t xml:space="preserve">B.</w:t>
            </w:r>
            <w:r>
              <w:t xml:space="preserve"> </w:t>
            </w:r>
            <w:r>
              <w:t xml:space="preserve">Petsonk</w:t>
            </w:r>
            <w:r>
              <w:t xml:space="preserve"> </w:t>
            </w:r>
            <w:r>
              <w:t xml:space="preserve">(WVSB</w:t>
            </w:r>
            <w:r>
              <w:t xml:space="preserve"> </w:t>
            </w:r>
            <w:r>
              <w:t xml:space="preserve">#</w:t>
            </w:r>
            <w:r>
              <w:t xml:space="preserve"> </w:t>
            </w:r>
            <w:r>
              <w:t xml:space="preserve">12</w:t>
              <w:noBreakHyphen/>
              <w:t xml:space="preserve">418)</w:t>
            </w:r>
          </w:p>
          <w:p>
            <w:pPr>
              <w:keepNext/>
              <w:keepLines/>
              <w:spacing w:before="0" w:after="0" w:line="276" w:lineRule="exact"/>
              <w:ind w:left="0" w:firstLine="0"/>
              <w:jc w:val="left"/>
            </w:pPr>
            <w:r>
              <w:t xml:space="preserve">Petsonk</w:t>
            </w:r>
            <w:r>
              <w:t xml:space="preserve"> </w:t>
            </w:r>
            <w:r>
              <w:t xml:space="preserve">PLLC</w:t>
            </w:r>
          </w:p>
          <w:p>
            <w:pPr>
              <w:keepNext/>
              <w:keepLines/>
              <w:spacing w:before="0" w:after="0" w:line="276" w:lineRule="exact"/>
              <w:ind w:left="0" w:firstLine="0"/>
              <w:jc w:val="left"/>
            </w:pPr>
            <w:r>
              <w:t xml:space="preserve">101</w:t>
            </w:r>
            <w:r>
              <w:t xml:space="preserve"> </w:t>
            </w:r>
            <w:r>
              <w:t xml:space="preserve">Ramey</w:t>
            </w:r>
            <w:r>
              <w:t xml:space="preserve"> </w:t>
            </w:r>
            <w:r>
              <w:t xml:space="preserve">Court,</w:t>
            </w:r>
            <w:r>
              <w:t xml:space="preserve"> </w:t>
            </w:r>
            <w:r>
              <w:t xml:space="preserve">PO</w:t>
            </w:r>
            <w:r>
              <w:t xml:space="preserve"> </w:t>
            </w:r>
            <w:r>
              <w:t xml:space="preserve">Box</w:t>
            </w:r>
            <w:r>
              <w:t xml:space="preserve"> </w:t>
            </w:r>
            <w:r>
              <w:t xml:space="preserve">1045</w:t>
            </w:r>
          </w:p>
          <w:p>
            <w:pPr>
              <w:keepNext/>
              <w:keepLines/>
              <w:spacing w:before="0" w:after="0" w:line="276" w:lineRule="exact"/>
              <w:ind w:left="0" w:firstLine="0"/>
              <w:jc w:val="left"/>
            </w:pPr>
            <w:r>
              <w:t xml:space="preserve">Beckley,</w:t>
            </w:r>
            <w:r>
              <w:t xml:space="preserve"> </w:t>
            </w:r>
            <w:r>
              <w:t xml:space="preserve">WV</w:t>
            </w:r>
            <w:r>
              <w:t xml:space="preserve"> </w:t>
            </w:r>
            <w:r>
              <w:t xml:space="preserve">25802</w:t>
            </w:r>
          </w:p>
          <w:p>
            <w:pPr>
              <w:keepNext/>
              <w:keepLines/>
              <w:spacing w:before="0" w:after="0" w:line="276" w:lineRule="exact"/>
              <w:ind w:left="0" w:firstLine="0"/>
              <w:jc w:val="left"/>
            </w:pPr>
            <w:r>
              <w:t xml:space="preserve">(304)</w:t>
            </w:r>
            <w:r>
              <w:t xml:space="preserve"> </w:t>
            </w:r>
            <w:r>
              <w:t xml:space="preserve">900</w:t>
              <w:noBreakHyphen/>
              <w:t xml:space="preserve">3171</w:t>
            </w:r>
            <w:r>
              <w:t xml:space="preserve"> </w:t>
            </w:r>
            <w:r>
              <w:t xml:space="preserve">(phone)</w:t>
            </w:r>
          </w:p>
          <w:p>
            <w:pPr>
              <w:keepNext/>
              <w:keepLines/>
              <w:spacing w:before="0" w:after="0" w:line="276" w:lineRule="exact"/>
              <w:ind w:left="0" w:firstLine="0"/>
              <w:jc w:val="left"/>
            </w:pPr>
            <w:r>
              <w:t xml:space="preserve">(304)</w:t>
            </w:r>
            <w:r>
              <w:t xml:space="preserve"> </w:t>
            </w:r>
            <w:r>
              <w:t xml:space="preserve">986</w:t>
              <w:noBreakHyphen/>
              <w:t xml:space="preserve">4633</w:t>
            </w:r>
            <w:r>
              <w:t xml:space="preserve"> </w:t>
            </w:r>
            <w:r>
              <w:t xml:space="preserve">(fax)</w:t>
            </w:r>
          </w:p>
          <w:p>
            <w:pPr>
              <w:keepNext/>
              <w:keepLines/>
              <w:spacing w:before="0" w:after="0" w:line="276" w:lineRule="exact"/>
              <w:ind w:left="0" w:firstLine="0"/>
              <w:jc w:val="left"/>
            </w:pPr>
            <w:r>
              <w:t xml:space="preserve">sam@petsonk.com</w:t>
            </w:r>
          </w:p>
        </w:tc>
        <w:tc>
          <w:tcPr>
            <w:tcW w:w="4608" w:type="dxa"/>
          </w:tcPr>
          <w:p>
            <w:pPr>
              <w:keepNext/>
              <w:keepLines/>
              <w:spacing w:before="240" w:after="0" w:line="276" w:lineRule="exact"/>
              <w:ind w:left="0" w:firstLine="0"/>
              <w:jc w:val="left"/>
            </w:pPr>
            <w:r>
              <w:t xml:space="preserve">/​s/</w:t>
            </w:r>
            <w:r>
              <w:t xml:space="preserve"> </w:t>
            </w:r>
            <w:r>
              <w:t xml:space="preserve">Bren</w:t>
            </w:r>
            <w:r>
              <w:t xml:space="preserve"> </w:t>
            </w:r>
            <w:r>
              <w:t xml:space="preserve">J.</w:t>
            </w:r>
            <w:r>
              <w:t xml:space="preserve"> </w:t>
            </w:r>
            <w:r>
              <w:t xml:space="preserve">Pomponio</w:t>
            </w:r>
          </w:p>
          <w:p>
            <w:pPr>
              <w:keepNext/>
              <w:keepLines/>
              <w:spacing w:before="0" w:after="0" w:line="276" w:lineRule="exact"/>
              <w:ind w:left="0" w:firstLine="0"/>
              <w:jc w:val="left"/>
            </w:pPr>
            <w:r>
              <w:t xml:space="preserve">Bren</w:t>
            </w:r>
            <w:r>
              <w:t xml:space="preserve"> </w:t>
            </w:r>
            <w:r>
              <w:t xml:space="preserve">J.</w:t>
            </w:r>
            <w:r>
              <w:t xml:space="preserve"> </w:t>
            </w:r>
            <w:r>
              <w:t xml:space="preserve">Pomponio</w:t>
            </w:r>
            <w:r>
              <w:t xml:space="preserve"> </w:t>
            </w:r>
            <w:r>
              <w:t xml:space="preserve">(WVSB</w:t>
            </w:r>
            <w:r>
              <w:t xml:space="preserve"> </w:t>
            </w:r>
            <w:r>
              <w:t xml:space="preserve">#7774)</w:t>
            </w:r>
          </w:p>
          <w:p>
            <w:pPr>
              <w:keepNext/>
              <w:keepLines/>
              <w:spacing w:before="0" w:after="0" w:line="276" w:lineRule="exact"/>
              <w:ind w:left="0" w:firstLine="0"/>
              <w:jc w:val="left"/>
            </w:pPr>
            <w:r>
              <w:t xml:space="preserve">Clint</w:t>
            </w:r>
            <w:r>
              <w:t xml:space="preserve"> </w:t>
            </w:r>
            <w:r>
              <w:t xml:space="preserve">Carte</w:t>
            </w:r>
            <w:r>
              <w:t xml:space="preserve"> </w:t>
            </w:r>
            <w:r>
              <w:t xml:space="preserve">(WVSB</w:t>
            </w:r>
            <w:r>
              <w:t xml:space="preserve"> </w:t>
            </w:r>
            <w:r>
              <w:t xml:space="preserve">#12054)</w:t>
            </w:r>
          </w:p>
          <w:p>
            <w:pPr>
              <w:keepNext/>
              <w:keepLines/>
              <w:spacing w:before="0" w:after="0" w:line="276" w:lineRule="exact"/>
              <w:ind w:left="0" w:firstLine="0"/>
              <w:jc w:val="left"/>
            </w:pPr>
            <w:r>
              <w:t xml:space="preserve">Mountain</w:t>
            </w:r>
            <w:r>
              <w:t xml:space="preserve"> </w:t>
            </w:r>
            <w:r>
              <w:t xml:space="preserve">State</w:t>
            </w:r>
            <w:r>
              <w:t xml:space="preserve"> </w:t>
            </w:r>
            <w:r>
              <w:t xml:space="preserve">Justice,</w:t>
            </w:r>
            <w:r>
              <w:t xml:space="preserve"> </w:t>
            </w:r>
            <w:r>
              <w:t xml:space="preserve">Inc.</w:t>
            </w:r>
          </w:p>
          <w:p>
            <w:pPr>
              <w:keepNext/>
              <w:keepLines/>
              <w:spacing w:before="0" w:after="0" w:line="276" w:lineRule="exact"/>
              <w:ind w:left="0" w:firstLine="0"/>
              <w:jc w:val="left"/>
            </w:pPr>
            <w:r>
              <w:t xml:space="preserve">1217</w:t>
            </w:r>
            <w:r>
              <w:t xml:space="preserve"> </w:t>
            </w:r>
            <w:r>
              <w:t xml:space="preserve">Quarrier</w:t>
            </w:r>
            <w:r>
              <w:t xml:space="preserve"> </w:t>
            </w:r>
            <w:r>
              <w:t xml:space="preserve">Street</w:t>
            </w:r>
          </w:p>
          <w:p>
            <w:pPr>
              <w:keepNext/>
              <w:keepLines/>
              <w:spacing w:before="0" w:after="0" w:line="276" w:lineRule="exact"/>
              <w:ind w:left="0" w:firstLine="0"/>
              <w:jc w:val="left"/>
            </w:pPr>
            <w:r>
              <w:t xml:space="preserve">Charleston,</w:t>
            </w:r>
            <w:r>
              <w:t xml:space="preserve"> </w:t>
            </w:r>
            <w:r>
              <w:t xml:space="preserve">WV</w:t>
            </w:r>
            <w:r>
              <w:t xml:space="preserve"> </w:t>
            </w:r>
            <w:r>
              <w:t xml:space="preserve">25301</w:t>
            </w:r>
          </w:p>
          <w:p>
            <w:pPr>
              <w:keepNext/>
              <w:keepLines/>
              <w:spacing w:before="0" w:after="0" w:line="276" w:lineRule="exact"/>
              <w:ind w:left="0" w:firstLine="0"/>
              <w:jc w:val="left"/>
            </w:pPr>
            <w:r>
              <w:t xml:space="preserve">(304)</w:t>
            </w:r>
            <w:r>
              <w:t xml:space="preserve"> </w:t>
            </w:r>
            <w:r>
              <w:t xml:space="preserve">344</w:t>
              <w:noBreakHyphen/>
              <w:t xml:space="preserve">3144</w:t>
            </w:r>
          </w:p>
          <w:p>
            <w:pPr>
              <w:keepNext/>
              <w:keepLines/>
              <w:spacing w:before="0" w:after="0" w:line="276" w:lineRule="exact"/>
              <w:ind w:left="0" w:firstLine="0"/>
              <w:jc w:val="left"/>
            </w:pPr>
            <w:r>
              <w:t xml:space="preserve">(304)</w:t>
            </w:r>
            <w:r>
              <w:t xml:space="preserve"> </w:t>
            </w:r>
            <w:r>
              <w:t xml:space="preserve">344</w:t>
              <w:noBreakHyphen/>
              <w:t xml:space="preserve">3145</w:t>
            </w:r>
            <w:r>
              <w:t xml:space="preserve"> </w:t>
            </w:r>
            <w:r>
              <w:t xml:space="preserve">(fax)</w:t>
            </w:r>
          </w:p>
          <w:p>
            <w:pPr>
              <w:keepNext/>
              <w:keepLines/>
              <w:spacing w:before="0" w:after="0" w:line="276" w:lineRule="exact"/>
              <w:ind w:left="0" w:firstLine="0"/>
              <w:jc w:val="left"/>
            </w:pPr>
            <w:r>
              <w:t xml:space="preserve">bren@msjlaw.org</w:t>
            </w:r>
          </w:p>
          <w:p>
            <w:pPr>
              <w:keepNext/>
              <w:keepLines/>
              <w:spacing w:before="0" w:after="0" w:line="276" w:lineRule="exact"/>
              <w:ind w:left="0" w:firstLine="0"/>
              <w:jc w:val="left"/>
            </w:pPr>
            <w:r>
              <w:t xml:space="preserve">clint@msjlaw.org</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