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WASHINGTON</w:t>
      </w:r>
    </w:p>
    <w:p>
      <w:pPr>
        <w:spacing w:before="0" w:after="0" w:line="322" w:lineRule="exact"/>
        <w:ind w:left="0" w:firstLine="0"/>
        <w:jc w:val="center"/>
      </w:pPr>
      <w:r>
        <w:rPr>
          <w:b/>
          <w:bCs/>
        </w:rPr>
        <w:t xml:space="preserve">DIVISION</w:t>
      </w:r>
      <w:r>
        <w:rPr>
          <w:b/>
          <w:bCs/>
        </w:rPr>
        <w:t xml:space="preserve"> </w:t>
      </w:r>
      <w:r>
        <w:rPr>
          <w:b/>
          <w:bCs/>
        </w:rPr>
        <w:t xml:space="preserve">ONE</w:t>
      </w:r>
    </w:p>
    <w:p>
      <w:pPr>
        <w:spacing w:before="0" w:after="0" w:line="360" w:lineRule="exact"/>
      </w:pPr>
    </w:p>
    <w:tbl>
      <w:tblPr>
        <w:tblW w:w="7200" w:type="dxa"/>
        <w:tblLayout w:type="fixed"/>
        <w:tblCellMar>
          <w:top w:w="0" w:type="dxa"/>
          <w:left w:w="0" w:type="dxa"/>
          <w:bottom w:w="0" w:type="dxa"/>
          <w:right w:w="0" w:type="dxa"/>
        </w:tblCellMar>
        <w:tblLook w:val="0000" w:firstRow="0" w:lastRow="0" w:firstColumn="0" w:lastColumn="0" w:noHBand="0" w:noVBand="0"/>
      </w:tblPr>
      <w:tblGrid>
        <w:gridCol w:w="5040"/>
        <w:gridCol w:w="2160"/>
      </w:tblGrid>
      <w:tr>
        <w:trPr>
          <w:cantSplit/>
        </w:trPr>
        <w:tc>
          <w:tcPr>
            <w:tcW w:w="5040" w:type="dxa"/>
          </w:tcPr>
          <w:p>
            <w:pPr>
              <w:spacing w:before="84" w:after="0" w:line="280" w:lineRule="exact"/>
              <w:ind w:left="0" w:firstLine="0"/>
              <w:jc w:val="left"/>
            </w:pPr>
            <w:r>
              <w:t xml:space="preserve">RUTH</w:t>
            </w:r>
            <w:r>
              <w:t xml:space="preserve"> </w:t>
            </w:r>
            <w:r>
              <w:t xml:space="preserve">SCOTT,</w:t>
            </w:r>
            <w:r>
              <w:t xml:space="preserve"> </w:t>
            </w:r>
            <w:r>
              <w:t xml:space="preserve">individually,</w:t>
            </w:r>
            <w:r>
              <w:t xml:space="preserve"> </w:t>
            </w:r>
            <w:r>
              <w:t xml:space="preserve">and</w:t>
            </w:r>
            <w:r>
              <w:t xml:space="preserve"> </w:t>
            </w:r>
            <w:r>
              <w:t xml:space="preserve">as</w:t>
            </w:r>
            <w:r>
              <w:t xml:space="preserve"> </w:t>
            </w:r>
            <w:r>
              <w:t xml:space="preserve">personal</w:t>
            </w:r>
            <w:r>
              <w:t xml:space="preserve"> </w:t>
            </w:r>
            <w:r>
              <w:t xml:space="preserve">representative</w:t>
            </w:r>
            <w:r>
              <w:t xml:space="preserve"> </w:t>
            </w:r>
            <w:r>
              <w:t xml:space="preserve">of</w:t>
            </w:r>
            <w:r>
              <w:t xml:space="preserve"> </w:t>
            </w:r>
            <w:r>
              <w:t xml:space="preserve">the</w:t>
            </w:r>
            <w:r>
              <w:t xml:space="preserve"> </w:t>
            </w:r>
            <w:r>
              <w:t xml:space="preserve">ESTATE</w:t>
            </w:r>
            <w:r>
              <w:t xml:space="preserve"> </w:t>
            </w:r>
            <w:r>
              <w:t xml:space="preserve">OF</w:t>
            </w:r>
            <w:r>
              <w:t xml:space="preserve"> </w:t>
            </w:r>
            <w:r>
              <w:t xml:space="preserve">MIKAEL</w:t>
            </w:r>
            <w:r>
              <w:t xml:space="preserve"> </w:t>
            </w:r>
            <w:r>
              <w:t xml:space="preserve">SCOTT,</w:t>
            </w:r>
            <w:r>
              <w:t xml:space="preserve"> </w:t>
            </w:r>
            <w:r>
              <w:t xml:space="preserve">a</w:t>
            </w:r>
            <w:r>
              <w:t xml:space="preserve"> </w:t>
            </w:r>
            <w:r>
              <w:t xml:space="preserve">deceased</w:t>
            </w:r>
            <w:r>
              <w:t xml:space="preserve"> </w:t>
            </w:r>
            <w:r>
              <w:t xml:space="preserve">individual;</w:t>
            </w:r>
            <w:r>
              <w:t xml:space="preserve"> </w:t>
            </w:r>
            <w:r>
              <w:t xml:space="preserve">JEFF</w:t>
            </w:r>
            <w:r>
              <w:t xml:space="preserve"> </w:t>
            </w:r>
            <w:r>
              <w:t xml:space="preserve">MUHLEMAN,</w:t>
            </w:r>
            <w:r>
              <w:t xml:space="preserve"> </w:t>
            </w:r>
            <w:r>
              <w:t xml:space="preserve">individually,</w:t>
            </w:r>
            <w:r>
              <w:t xml:space="preserve"> </w:t>
            </w:r>
            <w:r>
              <w:t xml:space="preserve">and</w:t>
            </w:r>
            <w:r>
              <w:t xml:space="preserve"> </w:t>
            </w:r>
            <w:r>
              <w:t xml:space="preserve">as</w:t>
            </w:r>
            <w:r>
              <w:t xml:space="preserve"> </w:t>
            </w:r>
            <w:r>
              <w:t xml:space="preserve">personal</w:t>
            </w:r>
            <w:r>
              <w:t xml:space="preserve"> </w:t>
            </w:r>
            <w:r>
              <w:t xml:space="preserve">representative</w:t>
            </w:r>
            <w:r>
              <w:t xml:space="preserve"> </w:t>
            </w:r>
            <w:r>
              <w:t xml:space="preserve">of</w:t>
            </w:r>
            <w:r>
              <w:t xml:space="preserve"> </w:t>
            </w:r>
            <w:r>
              <w:t xml:space="preserve">the</w:t>
            </w:r>
            <w:r>
              <w:t xml:space="preserve"> </w:t>
            </w:r>
            <w:r>
              <w:t xml:space="preserve">ESTATE</w:t>
            </w:r>
            <w:r>
              <w:t xml:space="preserve"> </w:t>
            </w:r>
            <w:r>
              <w:t xml:space="preserve">OF</w:t>
            </w:r>
            <w:r>
              <w:t xml:space="preserve"> </w:t>
            </w:r>
            <w:r>
              <w:t xml:space="preserve">TYLER</w:t>
            </w:r>
            <w:r>
              <w:t xml:space="preserve"> </w:t>
            </w:r>
            <w:r>
              <w:t xml:space="preserve">MUHLEMAN,</w:t>
            </w:r>
            <w:r>
              <w:t xml:space="preserve"> </w:t>
            </w:r>
            <w:r>
              <w:t xml:space="preserve">a</w:t>
            </w:r>
            <w:r>
              <w:t xml:space="preserve"> </w:t>
            </w:r>
            <w:r>
              <w:t xml:space="preserve">deceased</w:t>
            </w:r>
            <w:r>
              <w:t xml:space="preserve"> </w:t>
            </w:r>
            <w:r>
              <w:t xml:space="preserve">individual;</w:t>
            </w:r>
            <w:r>
              <w:t xml:space="preserve"> </w:t>
            </w:r>
            <w:r>
              <w:t xml:space="preserve">and</w:t>
            </w:r>
            <w:r>
              <w:t xml:space="preserve"> </w:t>
            </w:r>
            <w:r>
              <w:t xml:space="preserve">CINDY</w:t>
            </w:r>
            <w:r>
              <w:t xml:space="preserve"> </w:t>
            </w:r>
            <w:r>
              <w:t xml:space="preserve">CRUZ,</w:t>
            </w:r>
            <w:r>
              <w:t xml:space="preserve"> </w:t>
            </w:r>
            <w:r>
              <w:t xml:space="preserve">individually,</w:t>
            </w:r>
          </w:p>
          <w:p>
            <w:pPr>
              <w:spacing w:before="0" w:after="0" w:line="280" w:lineRule="exact"/>
              <w:ind w:left="0" w:firstLine="0"/>
              <w:jc w:val="left"/>
            </w:pPr>
            <w:r>
              <w:t xml:space="preserve">Plaintiffs/​Respondents,</w:t>
            </w:r>
          </w:p>
          <w:p>
            <w:pPr>
              <w:spacing w:before="0" w:after="0" w:line="280" w:lineRule="exact"/>
              <w:ind w:left="0" w:firstLine="0"/>
              <w:jc w:val="left"/>
            </w:pPr>
            <w:r>
              <w:t xml:space="preserve">v.</w:t>
            </w:r>
          </w:p>
          <w:p>
            <w:pPr>
              <w:spacing w:before="0" w:after="0" w:line="280" w:lineRule="exact"/>
              <w:ind w:left="0" w:firstLine="0"/>
              <w:jc w:val="left"/>
            </w:pPr>
            <w:r>
              <w:t xml:space="preserve">AMAZON.COM,</w:t>
            </w:r>
            <w:r>
              <w:t xml:space="preserve"> </w:t>
            </w:r>
            <w:r>
              <w:t xml:space="preserve">INC.,</w:t>
            </w:r>
            <w:r>
              <w:t xml:space="preserve"> </w:t>
            </w:r>
            <w:r>
              <w:t xml:space="preserve">a</w:t>
            </w:r>
            <w:r>
              <w:t xml:space="preserve"> </w:t>
            </w:r>
            <w:r>
              <w:t xml:space="preserve">Delaware</w:t>
            </w:r>
            <w:r>
              <w:t xml:space="preserve"> </w:t>
            </w:r>
            <w:r>
              <w:t xml:space="preserve">corporation,</w:t>
            </w:r>
          </w:p>
          <w:p>
            <w:pPr>
              <w:spacing w:before="0" w:after="0" w:line="280" w:lineRule="exact"/>
              <w:ind w:left="0" w:firstLine="0"/>
              <w:jc w:val="left"/>
            </w:pPr>
            <w:r>
              <w:t xml:space="preserve">Defendant/​Petitioner.</w:t>
            </w:r>
          </w:p>
          <w:p>
            <w:pPr>
              <w:pBdr>
                <w:top w:val="single" w:sz="6" w:space="0" w:color="000000"/>
              </w:pBdr>
              <w:spacing w:before="112" w:after="0" w:line="1" w:lineRule="exact"/>
            </w:pPr>
          </w:p>
        </w:tc>
        <w:tc>
          <w:tcPr>
            <w:tcW w:w="2160" w:type="dxa"/>
            <w:tcMar>
              <w:left w:w="288" w:type="dxa"/>
            </w:tcMar>
          </w:tcPr>
          <w:p>
            <w:pPr>
              <w:spacing w:before="84" w:after="0" w:line="322" w:lineRule="exact"/>
              <w:ind w:left="0" w:firstLine="0"/>
              <w:jc w:val="left"/>
            </w:pPr>
            <w:r>
              <w:t xml:space="preserve">No.</w:t>
            </w:r>
            <w:r>
              <w:t xml:space="preserve"> </w:t>
            </w:r>
            <w:r>
              <w:t xml:space="preserve">84933</w:t>
              <w:noBreakHyphen/>
              <w:t xml:space="preserve">6</w:t>
            </w:r>
          </w:p>
        </w:tc>
      </w:tr>
    </w:tbl>
    <w:p>
      <w:pPr>
        <w:spacing w:before="360" w:after="0" w:line="322" w:lineRule="exact"/>
        <w:ind w:left="0" w:firstLine="0"/>
        <w:jc w:val="left"/>
      </w:pPr>
      <w:r>
        <w:t xml:space="preserve">King</w:t>
      </w:r>
      <w:r>
        <w:t xml:space="preserve"> </w:t>
      </w:r>
      <w:r>
        <w:t xml:space="preserve">County</w:t>
      </w:r>
      <w:r>
        <w:t xml:space="preserve"> </w:t>
      </w:r>
      <w:r>
        <w:t xml:space="preserve">Superior</w:t>
      </w:r>
      <w:r>
        <w:t xml:space="preserve"> </w:t>
      </w:r>
      <w:r>
        <w:t xml:space="preserve">Court</w:t>
      </w:r>
      <w:r>
        <w:t xml:space="preserve"> </w:t>
      </w:r>
      <w:r>
        <w:t xml:space="preserve">Case</w:t>
      </w:r>
      <w:r>
        <w:t xml:space="preserve"> </w:t>
      </w:r>
      <w:r>
        <w:t xml:space="preserve">No.</w:t>
      </w:r>
      <w:r>
        <w:t xml:space="preserve"> </w:t>
      </w:r>
      <w:r>
        <w:t xml:space="preserve">22</w:t>
        <w:noBreakHyphen/>
        <w:t xml:space="preserve">2</w:t>
        <w:noBreakHyphen/>
        <w:t xml:space="preserve">01739</w:t>
        <w:noBreakHyphen/>
        <w:t xml:space="preserve">2</w:t>
      </w:r>
      <w:r>
        <w:t xml:space="preserve"> </w:t>
      </w:r>
      <w:r>
        <w:t xml:space="preserve">SEA</w:t>
      </w:r>
    </w:p>
    <w:p>
      <w:pPr>
        <w:spacing w:before="576" w:after="0" w:line="322" w:lineRule="exact"/>
        <w:ind w:left="0" w:firstLine="0"/>
        <w:jc w:val="center"/>
      </w:pPr>
      <w:r>
        <w:rPr>
          <w:b/>
          <w:bCs/>
        </w:rPr>
        <w:t xml:space="preserve">AMAZON’S</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DISCRETIONARY</w:t>
      </w:r>
      <w:r>
        <w:rPr>
          <w:b/>
          <w:bCs/>
        </w:rPr>
        <w:t xml:space="preserve"> </w:t>
      </w:r>
      <w:r>
        <w:rPr>
          <w:b/>
          <w:bCs/>
        </w:rPr>
        <w:t xml:space="preserve">REVIEW</w:t>
      </w:r>
    </w:p>
    <w:p>
      <w:pPr>
        <w:spacing w:before="0" w:after="0" w:line="432" w:lineRule="exact"/>
      </w:pPr>
    </w:p>
    <w:tbl>
      <w:tblPr>
        <w:tblW w:w="7200" w:type="dxa"/>
        <w:tblLayout w:type="fixed"/>
        <w:tblCellMar>
          <w:top w:w="0" w:type="dxa"/>
          <w:left w:w="0" w:type="dxa"/>
          <w:bottom w:w="0" w:type="dxa"/>
          <w:right w:w="0" w:type="dxa"/>
        </w:tblCellMar>
        <w:tblLook w:val="0000" w:firstRow="0" w:lastRow="0" w:firstColumn="0" w:lastColumn="0" w:noHBand="0" w:noVBand="0"/>
      </w:tblPr>
      <w:tblGrid>
        <w:gridCol w:w="7200"/>
      </w:tblGrid>
      <w:tr>
        <w:trPr>
          <w:cantSplit/>
        </w:trPr>
        <w:tc>
          <w:tcPr>
            <w:tcW w:w="7200" w:type="dxa"/>
          </w:tcPr>
          <w:p>
            <w:pPr>
              <w:spacing w:before="0" w:after="0" w:line="280" w:lineRule="exact"/>
              <w:ind w:left="2520" w:firstLine="0"/>
              <w:jc w:val="left"/>
            </w:pPr>
            <w:r>
              <w:t xml:space="preserve">Gregory</w:t>
            </w:r>
            <w:r>
              <w:t xml:space="preserve"> </w:t>
            </w:r>
            <w:r>
              <w:t xml:space="preserve">F.</w:t>
            </w:r>
            <w:r>
              <w:t xml:space="preserve"> </w:t>
            </w:r>
            <w:r>
              <w:t xml:space="preserve">Miller,</w:t>
            </w:r>
            <w:r>
              <w:t xml:space="preserve"> </w:t>
            </w:r>
            <w:r>
              <w:t xml:space="preserve">WSBA</w:t>
            </w:r>
            <w:r>
              <w:t xml:space="preserve"> </w:t>
            </w:r>
            <w:r>
              <w:t xml:space="preserve">No.</w:t>
            </w:r>
            <w:r>
              <w:t xml:space="preserve"> </w:t>
            </w:r>
            <w:r>
              <w:t xml:space="preserve">56466</w:t>
            </w:r>
          </w:p>
          <w:p>
            <w:pPr>
              <w:spacing w:before="0" w:after="0" w:line="280" w:lineRule="exact"/>
              <w:ind w:left="2520" w:firstLine="0"/>
              <w:jc w:val="left"/>
            </w:pPr>
            <w:r>
              <w:t xml:space="preserve">GMiller@perkinscoie.com</w:t>
            </w:r>
          </w:p>
          <w:p>
            <w:pPr>
              <w:spacing w:before="0" w:after="0" w:line="280" w:lineRule="exact"/>
              <w:ind w:left="2520" w:firstLine="0"/>
              <w:jc w:val="left"/>
            </w:pPr>
            <w:r>
              <w:t xml:space="preserve">W.</w:t>
            </w:r>
            <w:r>
              <w:t xml:space="preserve"> </w:t>
            </w:r>
            <w:r>
              <w:t xml:space="preserve">Brendan</w:t>
            </w:r>
            <w:r>
              <w:t xml:space="preserve"> </w:t>
            </w:r>
            <w:r>
              <w:t xml:space="preserve">Murphy,</w:t>
            </w:r>
            <w:r>
              <w:t xml:space="preserve"> </w:t>
            </w:r>
            <w:r>
              <w:t xml:space="preserve">WSBA</w:t>
            </w:r>
            <w:r>
              <w:t xml:space="preserve"> </w:t>
            </w:r>
            <w:r>
              <w:t xml:space="preserve">No.</w:t>
            </w:r>
            <w:r>
              <w:t xml:space="preserve"> </w:t>
            </w:r>
            <w:r>
              <w:t xml:space="preserve">34476</w:t>
            </w:r>
          </w:p>
          <w:p>
            <w:pPr>
              <w:spacing w:before="0" w:after="0" w:line="280" w:lineRule="exact"/>
              <w:ind w:left="2520" w:firstLine="0"/>
              <w:jc w:val="left"/>
            </w:pPr>
            <w:r>
              <w:t xml:space="preserve">BMurphy@perkinscoie.com</w:t>
            </w:r>
          </w:p>
          <w:p>
            <w:pPr>
              <w:spacing w:before="0" w:after="0" w:line="280" w:lineRule="exact"/>
              <w:ind w:left="2520" w:firstLine="0"/>
              <w:jc w:val="left"/>
            </w:pPr>
            <w:r>
              <w:t xml:space="preserve">Michelle</w:t>
            </w:r>
            <w:r>
              <w:t xml:space="preserve"> </w:t>
            </w:r>
            <w:r>
              <w:t xml:space="preserve">L.</w:t>
            </w:r>
            <w:r>
              <w:t xml:space="preserve"> </w:t>
            </w:r>
            <w:r>
              <w:t xml:space="preserve">Maley,</w:t>
            </w:r>
            <w:r>
              <w:t xml:space="preserve"> </w:t>
            </w:r>
            <w:r>
              <w:t xml:space="preserve">WSBA</w:t>
            </w:r>
            <w:r>
              <w:t xml:space="preserve"> </w:t>
            </w:r>
            <w:r>
              <w:t xml:space="preserve">No.</w:t>
            </w:r>
            <w:r>
              <w:t xml:space="preserve"> </w:t>
            </w:r>
            <w:r>
              <w:t xml:space="preserve">51318</w:t>
            </w:r>
          </w:p>
          <w:p>
            <w:pPr>
              <w:spacing w:before="0" w:after="0" w:line="280" w:lineRule="exact"/>
              <w:ind w:left="2520" w:firstLine="0"/>
              <w:jc w:val="left"/>
            </w:pPr>
            <w:r>
              <w:t xml:space="preserve">MMaley@perkinscoie.com</w:t>
            </w:r>
          </w:p>
          <w:p>
            <w:pPr>
              <w:spacing w:before="0" w:after="0" w:line="280" w:lineRule="exact"/>
              <w:ind w:left="2520" w:firstLine="0"/>
              <w:jc w:val="left"/>
            </w:pPr>
            <w:r>
              <w:t xml:space="preserve">Perkins</w:t>
            </w:r>
            <w:r>
              <w:t xml:space="preserve"> </w:t>
            </w:r>
            <w:r>
              <w:t xml:space="preserve">Coie</w:t>
            </w:r>
            <w:r>
              <w:t xml:space="preserve"> </w:t>
            </w:r>
            <w:r>
              <w:t xml:space="preserve">LLP</w:t>
            </w:r>
          </w:p>
          <w:p>
            <w:pPr>
              <w:spacing w:before="0" w:after="0" w:line="280" w:lineRule="exact"/>
              <w:ind w:left="2520" w:firstLine="0"/>
              <w:jc w:val="left"/>
            </w:pPr>
            <w:r>
              <w:t xml:space="preserve">1201</w:t>
            </w:r>
            <w:r>
              <w:t xml:space="preserve"> </w:t>
            </w:r>
            <w:r>
              <w:t xml:space="preserve">Third</w:t>
            </w:r>
            <w:r>
              <w:t xml:space="preserve"> </w:t>
            </w:r>
            <w:r>
              <w:t xml:space="preserve">Avenue,</w:t>
            </w:r>
            <w:r>
              <w:t xml:space="preserve"> </w:t>
            </w:r>
            <w:r>
              <w:t xml:space="preserve">Suite</w:t>
            </w:r>
            <w:r>
              <w:t xml:space="preserve"> </w:t>
            </w:r>
            <w:r>
              <w:t xml:space="preserve">4900</w:t>
            </w:r>
          </w:p>
          <w:p>
            <w:pPr>
              <w:spacing w:before="0" w:after="0" w:line="280" w:lineRule="exact"/>
              <w:ind w:left="2520" w:firstLine="0"/>
              <w:jc w:val="left"/>
            </w:pPr>
            <w:r>
              <w:t xml:space="preserve">Seattle,</w:t>
            </w:r>
            <w:r>
              <w:t xml:space="preserve"> </w:t>
            </w:r>
            <w:r>
              <w:t xml:space="preserve">Washington</w:t>
            </w:r>
            <w:r>
              <w:t xml:space="preserve"> </w:t>
            </w:r>
            <w:r>
              <w:t xml:space="preserve">98101</w:t>
              <w:noBreakHyphen/>
              <w:t xml:space="preserve">3099</w:t>
            </w:r>
          </w:p>
          <w:p>
            <w:pPr>
              <w:spacing w:before="0" w:after="0" w:line="280" w:lineRule="exact"/>
              <w:ind w:left="2520" w:firstLine="0"/>
              <w:jc w:val="left"/>
            </w:pPr>
            <w:r>
              <w:t xml:space="preserve">Telephone</w:t>
            </w:r>
            <w:r>
              <w:t xml:space="preserve"> </w:t>
            </w:r>
            <w:r>
              <w:t xml:space="preserve">+1.206.359.8000</w:t>
            </w:r>
          </w:p>
          <w:p>
            <w:pPr>
              <w:spacing w:before="0" w:after="0" w:line="280" w:lineRule="exact"/>
              <w:ind w:left="2520" w:firstLine="0"/>
              <w:jc w:val="left"/>
            </w:pPr>
            <w:r>
              <w:t xml:space="preserve">Facsimile</w:t>
            </w:r>
            <w:r>
              <w:t xml:space="preserve"> </w:t>
            </w:r>
            <w:r>
              <w:t xml:space="preserve">+1.206.359.9000</w:t>
            </w:r>
          </w:p>
          <w:p>
            <w:pPr>
              <w:spacing w:before="0" w:after="0" w:line="280" w:lineRule="exact"/>
              <w:ind w:left="2520" w:firstLine="0"/>
              <w:jc w:val="left"/>
            </w:pPr>
            <w:r>
              <w:rPr>
                <w:i/>
                <w:iCs/>
              </w:rPr>
              <w:t xml:space="preserve">Attorneys</w:t>
            </w:r>
            <w:r>
              <w:rPr>
                <w:i/>
                <w:iCs/>
              </w:rPr>
              <w:t xml:space="preserve"> </w:t>
            </w:r>
            <w:r>
              <w:rPr>
                <w:i/>
                <w:iCs/>
              </w:rPr>
              <w:t xml:space="preserve">for</w:t>
            </w:r>
            <w:r>
              <w:rPr>
                <w:i/>
                <w:iCs/>
              </w:rPr>
              <w:t xml:space="preserve"> </w:t>
            </w:r>
            <w:r>
              <w:rPr>
                <w:i/>
                <w:iCs/>
              </w:rPr>
              <w:t xml:space="preserve">Defendant/​Petitioner</w:t>
            </w:r>
            <w:r>
              <w:rPr>
                <w:i/>
                <w:iCs/>
              </w:rPr>
              <w:t xml:space="preserve"> </w:t>
            </w:r>
            <w:r>
              <w:rPr>
                <w:i/>
                <w:iCs/>
              </w:rPr>
              <w:t xml:space="preserve">Amazon</w:t>
            </w:r>
          </w:p>
        </w:tc>
      </w:tr>
    </w:tbl>
    <w:p>
      <w:pPr>
        <w:spacing w:before="0" w:after="0" w:line="1" w:lineRule="exact"/>
        <w:sectPr>
          <w:footerReference w:type="default" r:id="rIdXdNone"/>
          <w:pgSz w:w="12240" w:h="15840"/>
          <w:pgMar w:top="2160" w:right="2160" w:bottom="2160" w:left="2880" w:header="720" w:footer="1190" w:gutter="0"/>
        </w:sectPr>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7200"/>
        </w:tabs>
        <w:spacing w:before="252" w:after="0" w:line="322" w:lineRule="exact"/>
        <w:ind w:left="420" w:right="720" w:hanging="420"/>
      </w:pPr>
      <w:r>
        <w:t xml:space="preserve">IDENTITY</w:t>
      </w:r>
      <w:r>
        <w:t xml:space="preserve"> </w:t>
      </w:r>
      <w:r>
        <w:t xml:space="preserve">OF</w:t>
      </w:r>
      <w:r>
        <w:t xml:space="preserve"> </w:t>
      </w:r>
      <w:r>
        <w:t xml:space="preserve">PETITIONER</w:t>
      </w:r>
      <w:r>
        <w:t xml:space="preserve">   </w:t>
      </w:r>
      <w:r>
        <w:tab/>
      </w:r>
      <w:r>
        <w:t xml:space="preserve">1</w:t>
      </w:r>
    </w:p>
    <w:p>
      <w:pPr>
        <w:keepLines/>
        <w:tabs>
          <w:tab w:val="right" w:leader="dot" w:pos="7200"/>
        </w:tabs>
        <w:spacing w:before="252" w:after="0" w:line="322" w:lineRule="exact"/>
        <w:ind w:left="420" w:right="720" w:hanging="420"/>
      </w:pPr>
      <w:r>
        <w:t xml:space="preserve">INTRODUCTION</w:t>
      </w:r>
      <w:r>
        <w:t xml:space="preserve"> </w:t>
      </w:r>
      <w:r>
        <w:t xml:space="preserve">AND</w:t>
      </w:r>
      <w:r>
        <w:t xml:space="preserve"> </w:t>
      </w:r>
      <w:r>
        <w:t xml:space="preserve">DECISION</w:t>
      </w:r>
      <w:r>
        <w:t xml:space="preserve"> </w:t>
      </w:r>
      <w:r>
        <w:t xml:space="preserve">BELOW</w:t>
      </w:r>
      <w:r>
        <w:t xml:space="preserve">   </w:t>
      </w:r>
      <w:r>
        <w:tab/>
      </w:r>
      <w:r>
        <w:t xml:space="preserve">1</w:t>
      </w:r>
    </w:p>
    <w:p>
      <w:pPr>
        <w:keepLines/>
        <w:tabs>
          <w:tab w:val="right" w:leader="dot" w:pos="7200"/>
        </w:tabs>
        <w:spacing w:before="252" w:after="0" w:line="322" w:lineRule="exact"/>
        <w:ind w:left="420" w:right="720" w:hanging="420"/>
      </w:pPr>
      <w:r>
        <w:t xml:space="preserve">ISSUES</w:t>
      </w:r>
      <w:r>
        <w:t xml:space="preserve"> </w:t>
      </w:r>
      <w:r>
        <w:t xml:space="preserve">PRESENTED</w:t>
      </w:r>
      <w:r>
        <w:t xml:space="preserve"> </w:t>
      </w:r>
      <w:r>
        <w:t xml:space="preserve">FOR</w:t>
      </w:r>
      <w:r>
        <w:t xml:space="preserve"> </w:t>
      </w:r>
      <w:r>
        <w:t xml:space="preserve">REVIEW</w:t>
      </w:r>
      <w:r>
        <w:t xml:space="preserve">   </w:t>
      </w:r>
      <w:r>
        <w:tab/>
      </w:r>
      <w:r>
        <w:t xml:space="preserve">4</w:t>
      </w:r>
    </w:p>
    <w:p>
      <w:pPr>
        <w:keepLines/>
        <w:tabs>
          <w:tab w:val="right" w:leader="dot" w:pos="7200"/>
        </w:tabs>
        <w:spacing w:before="252" w:after="0" w:line="322" w:lineRule="exact"/>
        <w:ind w:left="420" w:right="720" w:hanging="42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4</w:t>
      </w:r>
    </w:p>
    <w:p>
      <w:pPr>
        <w:keepLines/>
        <w:tabs>
          <w:tab w:val="right" w:leader="dot" w:pos="7200"/>
        </w:tabs>
        <w:spacing w:before="252" w:after="0" w:line="322" w:lineRule="exact"/>
        <w:ind w:left="840" w:right="720" w:hanging="420"/>
      </w:pPr>
      <w:r>
        <w:t xml:space="preserve">A.</w:t>
      </w:r>
      <w:r>
        <w:t xml:space="preserve"> </w:t>
      </w:r>
      <w:r>
        <w:t xml:space="preserve">Background</w:t>
      </w:r>
      <w:r>
        <w:t xml:space="preserve">   </w:t>
      </w:r>
      <w:r>
        <w:tab/>
      </w:r>
      <w:r>
        <w:t xml:space="preserve">4</w:t>
      </w:r>
    </w:p>
    <w:p>
      <w:pPr>
        <w:keepLines/>
        <w:tabs>
          <w:tab w:val="right" w:leader="dot" w:pos="7200"/>
        </w:tabs>
        <w:spacing w:before="252" w:after="0" w:line="322" w:lineRule="exact"/>
        <w:ind w:left="840" w:right="720" w:hanging="420"/>
      </w:pPr>
      <w:r>
        <w:t xml:space="preserve">B.</w:t>
      </w:r>
      <w:r>
        <w:t xml:space="preserve"> </w:t>
      </w:r>
      <w:r>
        <w:t xml:space="preserve">Procedural</w:t>
      </w:r>
      <w:r>
        <w:t xml:space="preserve"> </w:t>
      </w:r>
      <w:r>
        <w:t xml:space="preserve">history</w:t>
      </w:r>
      <w:r>
        <w:t xml:space="preserve">   </w:t>
      </w:r>
      <w:r>
        <w:tab/>
      </w:r>
      <w:r>
        <w:t xml:space="preserve">6</w:t>
      </w:r>
    </w:p>
    <w:p>
      <w:pPr>
        <w:keepLines/>
        <w:tabs>
          <w:tab w:val="right" w:leader="dot" w:pos="7200"/>
        </w:tabs>
        <w:spacing w:before="252" w:after="0" w:line="322" w:lineRule="exact"/>
        <w:ind w:left="420" w:right="720" w:hanging="420"/>
      </w:pPr>
      <w:r>
        <w:t xml:space="preserve">ARGUMENT</w:t>
      </w:r>
      <w:r>
        <w:t xml:space="preserve">   </w:t>
      </w:r>
      <w:r>
        <w:tab/>
      </w:r>
      <w:r>
        <w:t xml:space="preserve">10</w:t>
      </w:r>
    </w:p>
    <w:p>
      <w:pPr>
        <w:keepLines/>
        <w:tabs>
          <w:tab w:val="right" w:leader="dot" w:pos="7200"/>
        </w:tabs>
        <w:spacing w:before="252" w:after="0" w:line="322" w:lineRule="exact"/>
        <w:ind w:left="840" w:right="720" w:hanging="420"/>
      </w:pPr>
      <w:r>
        <w:t xml:space="preserve">A.</w:t>
      </w:r>
      <w:r>
        <w:t xml:space="preserve"> </w:t>
      </w:r>
      <w:r>
        <w:t xml:space="preserve">Permitting</w:t>
      </w:r>
      <w:r>
        <w:t xml:space="preserve"> </w:t>
      </w:r>
      <w:r>
        <w:t xml:space="preserve">Plaintiffs</w:t>
      </w:r>
      <w:r>
        <w:t xml:space="preserve"> </w:t>
      </w:r>
      <w:r>
        <w:t xml:space="preserve">to</w:t>
      </w:r>
      <w:r>
        <w:t xml:space="preserve"> </w:t>
      </w:r>
      <w:r>
        <w:t xml:space="preserve">proceed</w:t>
      </w:r>
      <w:r>
        <w:t xml:space="preserve"> </w:t>
      </w:r>
      <w:r>
        <w:t xml:space="preserve">on</w:t>
      </w:r>
      <w:r>
        <w:t xml:space="preserve"> </w:t>
      </w:r>
      <w:r>
        <w:t xml:space="preserve">their</w:t>
      </w:r>
      <w:r>
        <w:t xml:space="preserve"> </w:t>
      </w:r>
      <w:r>
        <w:t xml:space="preserve">negligence-based</w:t>
      </w:r>
      <w:r>
        <w:t xml:space="preserve"> </w:t>
      </w:r>
      <w:r>
        <w:t xml:space="preserve">claims</w:t>
      </w:r>
      <w:r>
        <w:t xml:space="preserve"> </w:t>
      </w:r>
      <w:r>
        <w:t xml:space="preserve">contradicts</w:t>
      </w:r>
      <w:r>
        <w:t xml:space="preserve"> </w:t>
      </w:r>
      <w:r>
        <w:t xml:space="preserve">binding</w:t>
      </w:r>
      <w:r>
        <w:t xml:space="preserve"> </w:t>
      </w:r>
      <w:r>
        <w:t xml:space="preserve">precedent</w:t>
      </w:r>
      <w:r>
        <w:t xml:space="preserve"> </w:t>
      </w:r>
      <w:r>
        <w:t xml:space="preserve">and</w:t>
      </w:r>
      <w:r>
        <w:t xml:space="preserve"> </w:t>
      </w:r>
      <w:r>
        <w:t xml:space="preserve">contravenes</w:t>
      </w:r>
      <w:r>
        <w:t xml:space="preserve"> </w:t>
      </w:r>
      <w:r>
        <w:t xml:space="preserve">the</w:t>
      </w:r>
      <w:r>
        <w:t xml:space="preserve"> </w:t>
      </w:r>
      <w:r>
        <w:t xml:space="preserve">WPLA.</w:t>
      </w:r>
      <w:r>
        <w:t xml:space="preserve">   </w:t>
      </w:r>
      <w:r>
        <w:tab/>
      </w:r>
      <w:r>
        <w:t xml:space="preserve">11</w:t>
      </w:r>
    </w:p>
    <w:p>
      <w:pPr>
        <w:keepLines/>
        <w:tabs>
          <w:tab w:val="right" w:leader="dot" w:pos="7200"/>
        </w:tabs>
        <w:spacing w:before="252" w:after="0" w:line="322" w:lineRule="exact"/>
        <w:ind w:left="1260" w:right="720" w:hanging="420"/>
      </w:pPr>
      <w:r>
        <w:t xml:space="preserve">1.</w:t>
      </w:r>
      <w:r>
        <w:t xml:space="preserve"> </w:t>
      </w:r>
      <w:r>
        <w:t xml:space="preserve">Plaintiffs’</w:t>
      </w:r>
      <w:r>
        <w:t xml:space="preserve"> </w:t>
      </w:r>
      <w:r>
        <w:t xml:space="preserve">negligence-based</w:t>
      </w:r>
      <w:r>
        <w:t xml:space="preserve"> </w:t>
      </w:r>
      <w:r>
        <w:t xml:space="preserve">claims</w:t>
      </w:r>
      <w:r>
        <w:t xml:space="preserve"> </w:t>
      </w:r>
      <w:r>
        <w:t xml:space="preserve">are</w:t>
      </w:r>
      <w:r>
        <w:t xml:space="preserve"> </w:t>
      </w:r>
      <w:r>
        <w:t xml:space="preserve">foreclosed</w:t>
      </w:r>
      <w:r>
        <w:t xml:space="preserve"> </w:t>
      </w:r>
      <w:r>
        <w:t xml:space="preserve">by</w:t>
      </w:r>
      <w:r>
        <w:t xml:space="preserve"> </w:t>
      </w:r>
      <w:r>
        <w:t xml:space="preserve">the</w:t>
      </w:r>
      <w:r>
        <w:t xml:space="preserve"> </w:t>
      </w:r>
      <w:r>
        <w:t xml:space="preserve">decisions</w:t>
      </w:r>
      <w:r>
        <w:t xml:space="preserve"> </w:t>
      </w:r>
      <w:r>
        <w:t xml:space="preserve">in</w:t>
      </w:r>
      <w:r>
        <w:t xml:space="preserve"> </w:t>
      </w:r>
      <w:r>
        <w:rPr>
          <w:i/>
          <w:iCs/>
        </w:rPr>
        <w:t xml:space="preserve">Knott</w:t>
      </w:r>
      <w:r>
        <w:t xml:space="preserve"> </w:t>
      </w:r>
      <w:r>
        <w:t xml:space="preserve">and</w:t>
      </w:r>
      <w:r>
        <w:t xml:space="preserve"> </w:t>
      </w:r>
      <w:r>
        <w:rPr>
          <w:i/>
          <w:iCs/>
        </w:rPr>
        <w:t xml:space="preserve">Webstad</w:t>
      </w:r>
      <w:r>
        <w:t xml:space="preserve">.</w:t>
      </w:r>
      <w:r>
        <w:t xml:space="preserve">   </w:t>
      </w:r>
      <w:r>
        <w:tab/>
      </w:r>
      <w:r>
        <w:t xml:space="preserve">12</w:t>
      </w:r>
    </w:p>
    <w:p>
      <w:pPr>
        <w:keepLines/>
        <w:tabs>
          <w:tab w:val="right" w:leader="dot" w:pos="7200"/>
        </w:tabs>
        <w:spacing w:before="252" w:after="0" w:line="322" w:lineRule="exact"/>
        <w:ind w:left="1260" w:right="720" w:hanging="420"/>
      </w:pPr>
      <w:r>
        <w:t xml:space="preserve">2.</w:t>
      </w:r>
      <w:r>
        <w:t xml:space="preserve"> </w:t>
      </w:r>
      <w:r>
        <w:t xml:space="preserve">Plaintiffs’</w:t>
      </w:r>
      <w:r>
        <w:t xml:space="preserve"> </w:t>
      </w:r>
      <w:r>
        <w:t xml:space="preserve">negligence-based</w:t>
      </w:r>
      <w:r>
        <w:t xml:space="preserve"> </w:t>
      </w:r>
      <w:r>
        <w:t xml:space="preserve">claims</w:t>
      </w:r>
      <w:r>
        <w:t xml:space="preserve"> </w:t>
      </w:r>
      <w:r>
        <w:t xml:space="preserve">are</w:t>
      </w:r>
      <w:r>
        <w:t xml:space="preserve"> </w:t>
      </w:r>
      <w:r>
        <w:t xml:space="preserve">preempted</w:t>
      </w:r>
      <w:r>
        <w:t xml:space="preserve"> </w:t>
      </w:r>
      <w:r>
        <w:t xml:space="preserve">and</w:t>
      </w:r>
      <w:r>
        <w:t xml:space="preserve"> </w:t>
      </w:r>
      <w:r>
        <w:t xml:space="preserve">precluded</w:t>
      </w:r>
      <w:r>
        <w:t xml:space="preserve"> </w:t>
      </w:r>
      <w:r>
        <w:t xml:space="preserve">by</w:t>
      </w:r>
      <w:r>
        <w:t xml:space="preserve"> </w:t>
      </w:r>
      <w:r>
        <w:t xml:space="preserve">the</w:t>
      </w:r>
      <w:r>
        <w:t xml:space="preserve"> </w:t>
      </w:r>
      <w:r>
        <w:t xml:space="preserve">WPLA.</w:t>
      </w:r>
      <w:r>
        <w:t xml:space="preserve">   </w:t>
      </w:r>
      <w:r>
        <w:tab/>
      </w:r>
      <w:r>
        <w:t xml:space="preserve">18</w:t>
      </w:r>
    </w:p>
    <w:p>
      <w:pPr>
        <w:keepLines/>
        <w:tabs>
          <w:tab w:val="right" w:leader="dot" w:pos="7200"/>
        </w:tabs>
        <w:spacing w:before="252" w:after="0" w:line="322" w:lineRule="exact"/>
        <w:ind w:left="840" w:right="720" w:hanging="420"/>
      </w:pPr>
      <w:r>
        <w:t xml:space="preserve">B.</w:t>
      </w:r>
      <w:r>
        <w:t xml:space="preserve"> </w:t>
      </w:r>
      <w:r>
        <w:t xml:space="preserve">Permitting</w:t>
      </w:r>
      <w:r>
        <w:t xml:space="preserve"> </w:t>
      </w:r>
      <w:r>
        <w:t xml:space="preserve">Plaintiffs</w:t>
      </w:r>
      <w:r>
        <w:t xml:space="preserve"> </w:t>
      </w:r>
      <w:r>
        <w:t xml:space="preserve">to</w:t>
      </w:r>
      <w:r>
        <w:t xml:space="preserve"> </w:t>
      </w:r>
      <w:r>
        <w:t xml:space="preserve">proceed</w:t>
      </w:r>
      <w:r>
        <w:t xml:space="preserve"> </w:t>
      </w:r>
      <w:r>
        <w:t xml:space="preserve">on</w:t>
      </w:r>
      <w:r>
        <w:t xml:space="preserve"> </w:t>
      </w:r>
      <w:r>
        <w:t xml:space="preserve">their</w:t>
      </w:r>
      <w:r>
        <w:t xml:space="preserve"> </w:t>
      </w:r>
      <w:r>
        <w:t xml:space="preserve">warning-based</w:t>
      </w:r>
      <w:r>
        <w:t xml:space="preserve"> </w:t>
      </w:r>
      <w:r>
        <w:t xml:space="preserve">WPLA</w:t>
      </w:r>
      <w:r>
        <w:t xml:space="preserve"> </w:t>
      </w:r>
      <w:r>
        <w:t xml:space="preserve">claims,</w:t>
      </w:r>
      <w:r>
        <w:t xml:space="preserve"> </w:t>
      </w:r>
      <w:r>
        <w:t xml:space="preserve">when</w:t>
      </w:r>
      <w:r>
        <w:t xml:space="preserve"> </w:t>
      </w:r>
      <w:r>
        <w:t xml:space="preserve">the</w:t>
      </w:r>
      <w:r>
        <w:t xml:space="preserve"> </w:t>
      </w:r>
      <w:r>
        <w:t xml:space="preserve">injuries</w:t>
      </w:r>
      <w:r>
        <w:t xml:space="preserve"> </w:t>
      </w:r>
      <w:r>
        <w:t xml:space="preserve">arise</w:t>
      </w:r>
      <w:r>
        <w:t xml:space="preserve"> </w:t>
      </w:r>
      <w:r>
        <w:t xml:space="preserve">from</w:t>
      </w:r>
      <w:r>
        <w:t xml:space="preserve"> </w:t>
      </w:r>
      <w:r>
        <w:t xml:space="preserve">intentional</w:t>
      </w:r>
      <w:r>
        <w:t xml:space="preserve"> </w:t>
      </w:r>
      <w:r>
        <w:t xml:space="preserve">self-harm,</w:t>
      </w:r>
      <w:r>
        <w:t xml:space="preserve"> </w:t>
      </w:r>
      <w:r>
        <w:t xml:space="preserve">requires</w:t>
      </w:r>
      <w:r>
        <w:t xml:space="preserve"> </w:t>
      </w:r>
      <w:r>
        <w:t xml:space="preserve">review</w:t>
      </w:r>
      <w:r>
        <w:t xml:space="preserve"> </w:t>
      </w:r>
      <w:r>
        <w:t xml:space="preserve">under</w:t>
      </w:r>
      <w:r>
        <w:t xml:space="preserve"> </w:t>
      </w:r>
      <w:r>
        <w:t xml:space="preserve">RAP</w:t>
      </w:r>
      <w:r>
        <w:t xml:space="preserve"> </w:t>
      </w:r>
      <w:r>
        <w:t xml:space="preserve">2.3(b)⁠(1)</w:t>
      </w:r>
      <w:r>
        <w:t xml:space="preserve"> </w:t>
      </w:r>
      <w:r>
        <w:t xml:space="preserve">and</w:t>
      </w:r>
      <w:r>
        <w:t xml:space="preserve"> </w:t>
      </w:r>
      <w:r>
        <w:t xml:space="preserve">(3).</w:t>
      </w:r>
      <w:r>
        <w:t xml:space="preserve">   </w:t>
      </w:r>
      <w:r>
        <w:tab/>
      </w:r>
      <w:r>
        <w:t xml:space="preserve">24</w:t>
      </w:r>
    </w:p>
    <w:p>
      <w:pPr>
        <w:keepLines/>
        <w:tabs>
          <w:tab w:val="right" w:leader="dot" w:pos="7200"/>
        </w:tabs>
        <w:spacing w:before="252" w:after="0" w:line="322" w:lineRule="exact"/>
        <w:ind w:left="1260" w:right="720" w:hanging="420"/>
      </w:pPr>
      <w:r>
        <w:t xml:space="preserve">1.</w:t>
      </w:r>
      <w:r>
        <w:t xml:space="preserve"> </w:t>
      </w:r>
      <w:r>
        <w:t xml:space="preserve">Permitting</w:t>
      </w:r>
      <w:r>
        <w:t xml:space="preserve"> </w:t>
      </w:r>
      <w:r>
        <w:t xml:space="preserve">Plaintiffs</w:t>
      </w:r>
      <w:r>
        <w:t xml:space="preserve"> </w:t>
      </w:r>
      <w:r>
        <w:t xml:space="preserve">to</w:t>
      </w:r>
      <w:r>
        <w:t xml:space="preserve"> </w:t>
      </w:r>
      <w:r>
        <w:t xml:space="preserve">proceed</w:t>
      </w:r>
      <w:r>
        <w:t xml:space="preserve"> </w:t>
      </w:r>
      <w:r>
        <w:t xml:space="preserve">on</w:t>
      </w:r>
      <w:r>
        <w:t xml:space="preserve"> </w:t>
      </w:r>
      <w:r>
        <w:t xml:space="preserve">their</w:t>
      </w:r>
      <w:r>
        <w:t xml:space="preserve"> </w:t>
      </w:r>
      <w:r>
        <w:t xml:space="preserve">warning-based</w:t>
      </w:r>
      <w:r>
        <w:t xml:space="preserve"> </w:t>
      </w:r>
      <w:r>
        <w:t xml:space="preserve">manufacturer-liability</w:t>
      </w:r>
      <w:r>
        <w:t xml:space="preserve"> </w:t>
      </w:r>
      <w:r>
        <w:t xml:space="preserve">claims</w:t>
      </w:r>
      <w:r>
        <w:t xml:space="preserve"> </w:t>
      </w:r>
      <w:r>
        <w:t xml:space="preserve">contradicts</w:t>
      </w:r>
      <w:r>
        <w:t xml:space="preserve"> </w:t>
      </w:r>
      <w:r>
        <w:t xml:space="preserve">the</w:t>
      </w:r>
      <w:r>
        <w:t xml:space="preserve"> </w:t>
      </w:r>
      <w:r>
        <w:t xml:space="preserve">WPLA’s</w:t>
      </w:r>
      <w:r>
        <w:t xml:space="preserve"> </w:t>
      </w:r>
      <w:r>
        <w:t xml:space="preserve">text</w:t>
      </w:r>
      <w:r>
        <w:t xml:space="preserve"> </w:t>
      </w:r>
      <w:r>
        <w:t xml:space="preserve">and</w:t>
      </w:r>
      <w:r>
        <w:t xml:space="preserve"> </w:t>
      </w:r>
      <w:r>
        <w:t xml:space="preserve">controlling</w:t>
      </w:r>
      <w:r>
        <w:t xml:space="preserve"> </w:t>
      </w:r>
      <w:r>
        <w:t xml:space="preserve">precedent.</w:t>
      </w:r>
      <w:r>
        <w:t xml:space="preserve">   </w:t>
      </w:r>
      <w:r>
        <w:tab/>
      </w:r>
      <w:r>
        <w:t xml:space="preserve">25</w:t>
      </w:r>
    </w:p>
    <w:p>
      <w:pPr>
        <w:keepLines/>
        <w:tabs>
          <w:tab w:val="right" w:leader="dot" w:pos="7200"/>
        </w:tabs>
        <w:spacing w:before="252" w:after="0" w:line="322" w:lineRule="exact"/>
        <w:ind w:left="1260" w:right="720" w:hanging="420"/>
      </w:pPr>
      <w:r>
        <w:t xml:space="preserve">2.</w:t>
      </w:r>
      <w:r>
        <w:t xml:space="preserve"> </w:t>
      </w:r>
      <w:r>
        <w:t xml:space="preserve">Permitting</w:t>
      </w:r>
      <w:r>
        <w:t xml:space="preserve"> </w:t>
      </w:r>
      <w:r>
        <w:t xml:space="preserve">Plaintiffs</w:t>
      </w:r>
      <w:r>
        <w:t xml:space="preserve"> </w:t>
      </w:r>
      <w:r>
        <w:t xml:space="preserve">to</w:t>
      </w:r>
      <w:r>
        <w:t xml:space="preserve"> </w:t>
      </w:r>
      <w:r>
        <w:t xml:space="preserve">proceed</w:t>
      </w:r>
      <w:r>
        <w:t xml:space="preserve"> </w:t>
      </w:r>
      <w:r>
        <w:t xml:space="preserve">on</w:t>
      </w:r>
      <w:r>
        <w:t xml:space="preserve"> </w:t>
      </w:r>
      <w:r>
        <w:t xml:space="preserve">warning-based</w:t>
      </w:r>
      <w:r>
        <w:t xml:space="preserve"> </w:t>
      </w:r>
      <w:r>
        <w:t xml:space="preserve">claims</w:t>
      </w:r>
      <w:r>
        <w:t xml:space="preserve"> </w:t>
      </w:r>
      <w:r>
        <w:t xml:space="preserve">regarding</w:t>
      </w:r>
      <w:r>
        <w:t xml:space="preserve"> </w:t>
      </w:r>
      <w:r>
        <w:t xml:space="preserve">the</w:t>
      </w:r>
      <w:r>
        <w:t xml:space="preserve"> </w:t>
      </w:r>
      <w:r>
        <w:t xml:space="preserve">Amazon</w:t>
      </w:r>
      <w:r>
        <w:t xml:space="preserve"> </w:t>
      </w:r>
      <w:r>
        <w:t xml:space="preserve">website</w:t>
      </w:r>
      <w:r>
        <w:t xml:space="preserve"> </w:t>
      </w:r>
      <w:r>
        <w:t xml:space="preserve">was</w:t>
      </w:r>
      <w:r>
        <w:t xml:space="preserve"> </w:t>
      </w:r>
      <w:r>
        <w:t xml:space="preserve">contrary</w:t>
      </w:r>
      <w:r>
        <w:t xml:space="preserve"> </w:t>
      </w:r>
      <w:r>
        <w:t xml:space="preserve">to</w:t>
      </w:r>
      <w:r>
        <w:t xml:space="preserve"> </w:t>
      </w:r>
      <w:r>
        <w:t xml:space="preserve">the</w:t>
      </w:r>
      <w:r>
        <w:t xml:space="preserve"> </w:t>
      </w:r>
      <w:r>
        <w:t xml:space="preserve">WPLA’s</w:t>
      </w:r>
      <w:r>
        <w:t xml:space="preserve"> </w:t>
      </w:r>
      <w:r>
        <w:t xml:space="preserve">text</w:t>
      </w:r>
      <w:r>
        <w:t xml:space="preserve"> </w:t>
      </w:r>
      <w:r>
        <w:t xml:space="preserve">and</w:t>
      </w:r>
      <w:r>
        <w:t xml:space="preserve"> </w:t>
      </w:r>
      <w:r>
        <w:t xml:space="preserve">precedent.</w:t>
      </w:r>
      <w:r>
        <w:t xml:space="preserve">   </w:t>
      </w:r>
      <w:r>
        <w:tab/>
      </w:r>
      <w:r>
        <w:t xml:space="preserve">29</w:t>
      </w:r>
    </w:p>
    <w:p>
      <w:pPr>
        <w:keepLines/>
        <w:tabs>
          <w:tab w:val="right" w:leader="dot" w:pos="7200"/>
        </w:tabs>
        <w:spacing w:before="252" w:after="0" w:line="322" w:lineRule="exact"/>
        <w:ind w:left="420" w:right="720" w:hanging="420"/>
      </w:pPr>
      <w:r>
        <w:t xml:space="preserve">CONCLUSION</w:t>
      </w:r>
      <w:r>
        <w:t xml:space="preserve">   </w:t>
      </w:r>
      <w:r>
        <w:tab/>
      </w:r>
      <w:r>
        <w:t xml:space="preserve">30</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56" w:line="322" w:lineRule="exact"/>
        <w:ind w:left="0" w:firstLine="0"/>
        <w:jc w:val="left"/>
      </w:pPr>
      <w:r>
        <w:rPr>
          <w:b/>
          <w:bCs/>
        </w:rPr>
        <w:t xml:space="preserve">Washington</w:t>
      </w:r>
      <w:r>
        <w:rPr>
          <w:b/>
          <w:bCs/>
        </w:rPr>
        <w:t xml:space="preserve"> </w:t>
      </w:r>
      <w:r>
        <w:rPr>
          <w:b/>
          <w:bCs/>
        </w:rPr>
        <w:t xml:space="preserve">Supreme</w:t>
      </w:r>
      <w:r>
        <w:rPr>
          <w:b/>
          <w:bCs/>
        </w:rPr>
        <w:t xml:space="preserve"> </w:t>
      </w:r>
      <w:r>
        <w:rPr>
          <w:b/>
          <w:bCs/>
        </w:rPr>
        <w:t xml:space="preserve">Court</w:t>
      </w:r>
    </w:p>
    <w:p>
      <w:pPr>
        <w:keepLines/>
        <w:tabs>
          <w:tab w:val="right" w:leader="dot" w:pos="7200"/>
        </w:tabs>
        <w:spacing w:before="252" w:after="0" w:line="322" w:lineRule="exact"/>
        <w:ind w:left="420" w:right="1120" w:hanging="420"/>
      </w:pPr>
      <w:r>
        <w:rPr>
          <w:i/>
          <w:iCs/>
        </w:rPr>
        <w:t xml:space="preserve">Baughn</w:t>
      </w:r>
      <w:r>
        <w:rPr>
          <w:i/>
          <w:iCs/>
        </w:rPr>
        <w:t xml:space="preserve"> </w:t>
      </w:r>
      <w:r>
        <w:rPr>
          <w:i/>
          <w:iCs/>
        </w:rPr>
        <w:t xml:space="preserve">v.</w:t>
      </w:r>
      <w:r>
        <w:rPr>
          <w:i/>
          <w:iCs/>
        </w:rPr>
        <w:t xml:space="preserve"> </w:t>
      </w:r>
      <w:r>
        <w:rPr>
          <w:i/>
          <w:iCs/>
        </w:rPr>
        <w:t xml:space="preserve">Honda</w:t>
      </w:r>
      <w:r>
        <w:rPr>
          <w:i/>
          <w:iCs/>
        </w:rPr>
        <w:t xml:space="preserve"> </w:t>
      </w:r>
      <w:r>
        <w:rPr>
          <w:i/>
          <w:iCs/>
        </w:rPr>
        <w:t xml:space="preserve">Motor</w:t>
      </w:r>
      <w:r>
        <w:rPr>
          <w:i/>
          <w:iCs/>
        </w:rPr>
        <w:t xml:space="preserve"> </w:t>
      </w:r>
      <w:r>
        <w:rPr>
          <w:i/>
          <w:iCs/>
        </w:rPr>
        <w:t xml:space="preserve">Co.</w:t>
      </w:r>
      <w:r>
        <w:t xml:space="preserve">,</w:t>
      </w:r>
      <w:r>
        <w:t xml:space="preserve"> </w:t>
      </w:r>
      <w:r>
        <w:t xml:space="preserve">107</w:t>
      </w:r>
      <w:r>
        <w:t xml:space="preserve"> </w:t>
      </w:r>
      <w:r>
        <w:t xml:space="preserve">Wn.2d</w:t>
      </w:r>
      <w:r>
        <w:t xml:space="preserve"> </w:t>
      </w:r>
      <w:r>
        <w:t xml:space="preserve">127,</w:t>
      </w:r>
      <w:r>
        <w:t xml:space="preserve"> </w:t>
      </w:r>
      <w:r>
        <w:t xml:space="preserve">727</w:t>
      </w:r>
      <w:r>
        <w:t xml:space="preserve"> </w:t>
      </w:r>
      <w:r>
        <w:t xml:space="preserve">P.2d</w:t>
      </w:r>
      <w:r>
        <w:t xml:space="preserve"> </w:t>
      </w:r>
      <w:r>
        <w:t xml:space="preserve">655</w:t>
      </w:r>
      <w:r>
        <w:t xml:space="preserve"> </w:t>
      </w:r>
      <w:r>
        <w:t xml:space="preserve">(1986)</w:t>
      </w:r>
      <w:r>
        <w:t xml:space="preserve">   </w:t>
      </w:r>
      <w:r>
        <w:tab/>
      </w:r>
      <w:r>
        <w:t xml:space="preserve">26, 27</w:t>
      </w:r>
    </w:p>
    <w:p>
      <w:pPr>
        <w:keepLines/>
        <w:tabs>
          <w:tab w:val="right" w:leader="dot" w:pos="7200"/>
        </w:tabs>
        <w:spacing w:before="252" w:after="0" w:line="322" w:lineRule="exact"/>
        <w:ind w:left="420" w:right="1120" w:hanging="420"/>
      </w:pPr>
      <w:r>
        <w:rPr>
          <w:i/>
          <w:iCs/>
        </w:rPr>
        <w:t xml:space="preserve">Brewer</w:t>
      </w:r>
      <w:r>
        <w:rPr>
          <w:i/>
          <w:iCs/>
        </w:rPr>
        <w:t xml:space="preserve"> </w:t>
      </w:r>
      <w:r>
        <w:rPr>
          <w:i/>
          <w:iCs/>
        </w:rPr>
        <w:t xml:space="preserve">v.</w:t>
      </w:r>
      <w:r>
        <w:rPr>
          <w:i/>
          <w:iCs/>
        </w:rPr>
        <w:t xml:space="preserve"> </w:t>
      </w:r>
      <w:r>
        <w:rPr>
          <w:i/>
          <w:iCs/>
        </w:rPr>
        <w:t xml:space="preserve">Fibreboard</w:t>
      </w:r>
      <w:r>
        <w:rPr>
          <w:i/>
          <w:iCs/>
        </w:rPr>
        <w:t xml:space="preserve"> </w:t>
      </w:r>
      <w:r>
        <w:rPr>
          <w:i/>
          <w:iCs/>
        </w:rPr>
        <w:t xml:space="preserve">Corp.</w:t>
      </w:r>
      <w:r>
        <w:t xml:space="preserve">,</w:t>
      </w:r>
      <w:r>
        <w:t xml:space="preserve"> </w:t>
      </w:r>
      <w:r>
        <w:t xml:space="preserve">127</w:t>
      </w:r>
      <w:r>
        <w:t xml:space="preserve"> </w:t>
      </w:r>
      <w:r>
        <w:t xml:space="preserve">Wn.2d</w:t>
      </w:r>
      <w:r>
        <w:t xml:space="preserve"> </w:t>
      </w:r>
      <w:r>
        <w:t xml:space="preserve">512,</w:t>
      </w:r>
      <w:r>
        <w:t xml:space="preserve"> </w:t>
      </w:r>
      <w:r>
        <w:t xml:space="preserve">901</w:t>
      </w:r>
      <w:r>
        <w:t xml:space="preserve"> </w:t>
      </w:r>
      <w:r>
        <w:t xml:space="preserve">P.2d</w:t>
      </w:r>
      <w:r>
        <w:t xml:space="preserve"> </w:t>
      </w:r>
      <w:r>
        <w:t xml:space="preserve">297</w:t>
      </w:r>
      <w:r>
        <w:t xml:space="preserve"> </w:t>
      </w:r>
      <w:r>
        <w:t xml:space="preserve">(1995)</w:t>
      </w:r>
      <w:r>
        <w:t xml:space="preserve">   </w:t>
      </w:r>
      <w:r>
        <w:tab/>
      </w:r>
      <w:r>
        <w:t xml:space="preserve">3</w:t>
      </w:r>
    </w:p>
    <w:p>
      <w:pPr>
        <w:keepLines/>
        <w:tabs>
          <w:tab w:val="right" w:leader="dot" w:pos="7200"/>
        </w:tabs>
        <w:spacing w:before="252" w:after="0" w:line="322" w:lineRule="exact"/>
        <w:ind w:left="420" w:right="1120" w:hanging="420"/>
      </w:pPr>
      <w:r>
        <w:rPr>
          <w:i/>
          <w:iCs/>
        </w:rPr>
        <w:t xml:space="preserve">Dearinger</w:t>
      </w:r>
      <w:r>
        <w:rPr>
          <w:i/>
          <w:iCs/>
        </w:rPr>
        <w:t xml:space="preserve"> </w:t>
      </w:r>
      <w:r>
        <w:rPr>
          <w:i/>
          <w:iCs/>
        </w:rPr>
        <w:t xml:space="preserve">v.</w:t>
      </w:r>
      <w:r>
        <w:rPr>
          <w:i/>
          <w:iCs/>
        </w:rPr>
        <w:t xml:space="preserve"> </w:t>
      </w:r>
      <w:r>
        <w:rPr>
          <w:i/>
          <w:iCs/>
        </w:rPr>
        <w:t xml:space="preserve">Eli</w:t>
      </w:r>
      <w:r>
        <w:rPr>
          <w:i/>
          <w:iCs/>
        </w:rPr>
        <w:t xml:space="preserve"> </w:t>
      </w:r>
      <w:r>
        <w:rPr>
          <w:i/>
          <w:iCs/>
        </w:rPr>
        <w:t xml:space="preserve">Lilly</w:t>
      </w:r>
      <w:r>
        <w:rPr>
          <w:i/>
          <w:iCs/>
        </w:rPr>
        <w:t xml:space="preserve"> </w:t>
      </w:r>
      <w:r>
        <w:rPr>
          <w:i/>
          <w:iCs/>
        </w:rPr>
        <w:t xml:space="preserve">&amp;</w:t>
      </w:r>
      <w:r>
        <w:rPr>
          <w:i/>
          <w:iCs/>
        </w:rPr>
        <w:t xml:space="preserve"> </w:t>
      </w:r>
      <w:r>
        <w:rPr>
          <w:i/>
          <w:iCs/>
        </w:rPr>
        <w:t xml:space="preserve">Co.</w:t>
      </w:r>
      <w:r>
        <w:t xml:space="preserve">,</w:t>
      </w:r>
      <w:r>
        <w:t xml:space="preserve"> </w:t>
      </w:r>
      <w:r>
        <w:t xml:space="preserve">199</w:t>
      </w:r>
      <w:r>
        <w:t xml:space="preserve"> </w:t>
      </w:r>
      <w:r>
        <w:t xml:space="preserve">Wn.2d</w:t>
      </w:r>
      <w:r>
        <w:t xml:space="preserve"> </w:t>
      </w:r>
      <w:r>
        <w:t xml:space="preserve">569,</w:t>
      </w:r>
      <w:r>
        <w:t xml:space="preserve"> </w:t>
      </w:r>
      <w:r>
        <w:t xml:space="preserve">510</w:t>
      </w:r>
      <w:r>
        <w:t xml:space="preserve"> </w:t>
      </w:r>
      <w:r>
        <w:t xml:space="preserve">P.3d</w:t>
      </w:r>
      <w:r>
        <w:t xml:space="preserve"> </w:t>
      </w:r>
      <w:r>
        <w:t xml:space="preserve">326</w:t>
      </w:r>
      <w:r>
        <w:t xml:space="preserve"> </w:t>
      </w:r>
      <w:r>
        <w:t xml:space="preserve">(2022)</w:t>
      </w:r>
      <w:r>
        <w:t xml:space="preserve">   </w:t>
      </w:r>
      <w:r>
        <w:tab/>
      </w:r>
      <w:r>
        <w:t xml:space="preserve">30</w:t>
      </w:r>
    </w:p>
    <w:p>
      <w:pPr>
        <w:keepLines/>
        <w:tabs>
          <w:tab w:val="right" w:leader="dot" w:pos="7200"/>
        </w:tabs>
        <w:spacing w:before="252" w:after="0" w:line="322" w:lineRule="exact"/>
        <w:ind w:left="420" w:right="1120" w:hanging="420"/>
      </w:pPr>
      <w:r>
        <w:rPr>
          <w:i/>
          <w:iCs/>
        </w:rPr>
        <w:t xml:space="preserve">Degel</w:t>
      </w:r>
      <w:r>
        <w:rPr>
          <w:i/>
          <w:iCs/>
        </w:rPr>
        <w:t xml:space="preserve"> </w:t>
      </w:r>
      <w:r>
        <w:rPr>
          <w:i/>
          <w:iCs/>
        </w:rPr>
        <w:t xml:space="preserve">v.</w:t>
      </w:r>
      <w:r>
        <w:rPr>
          <w:i/>
          <w:iCs/>
        </w:rPr>
        <w:t xml:space="preserve"> </w:t>
      </w:r>
      <w:r>
        <w:rPr>
          <w:i/>
          <w:iCs/>
        </w:rPr>
        <w:t xml:space="preserve">Majestic</w:t>
      </w:r>
      <w:r>
        <w:rPr>
          <w:i/>
          <w:iCs/>
        </w:rPr>
        <w:t xml:space="preserve"> </w:t>
      </w:r>
      <w:r>
        <w:rPr>
          <w:i/>
          <w:iCs/>
        </w:rPr>
        <w:t xml:space="preserve">Mobile</w:t>
      </w:r>
      <w:r>
        <w:rPr>
          <w:i/>
          <w:iCs/>
        </w:rPr>
        <w:t xml:space="preserve"> </w:t>
      </w:r>
      <w:r>
        <w:rPr>
          <w:i/>
          <w:iCs/>
        </w:rPr>
        <w:t xml:space="preserve">Manor,</w:t>
      </w:r>
      <w:r>
        <w:rPr>
          <w:i/>
          <w:iCs/>
        </w:rPr>
        <w:t xml:space="preserve"> </w:t>
      </w:r>
      <w:r>
        <w:rPr>
          <w:i/>
          <w:iCs/>
        </w:rPr>
        <w:t xml:space="preserve">Inc.</w:t>
      </w:r>
      <w:r>
        <w:t xml:space="preserve">,</w:t>
      </w:r>
      <w:r>
        <w:t xml:space="preserve"> </w:t>
      </w:r>
      <w:r>
        <w:t xml:space="preserve">129</w:t>
      </w:r>
      <w:r>
        <w:t xml:space="preserve"> </w:t>
      </w:r>
      <w:r>
        <w:t xml:space="preserve">Wn.2d</w:t>
      </w:r>
      <w:r>
        <w:t xml:space="preserve"> </w:t>
      </w:r>
      <w:r>
        <w:t xml:space="preserve">43,</w:t>
      </w:r>
      <w:r>
        <w:t xml:space="preserve"> </w:t>
      </w:r>
      <w:r>
        <w:t xml:space="preserve">914</w:t>
      </w:r>
      <w:r>
        <w:t xml:space="preserve"> </w:t>
      </w:r>
      <w:r>
        <w:t xml:space="preserve">P.2d</w:t>
      </w:r>
      <w:r>
        <w:t xml:space="preserve"> </w:t>
      </w:r>
      <w:r>
        <w:t xml:space="preserve">728</w:t>
      </w:r>
      <w:r>
        <w:t xml:space="preserve"> </w:t>
      </w:r>
      <w:r>
        <w:t xml:space="preserve">(1996)</w:t>
      </w:r>
      <w:r>
        <w:t xml:space="preserve">   </w:t>
      </w:r>
      <w:r>
        <w:tab/>
      </w:r>
      <w:r>
        <w:t xml:space="preserve">16</w:t>
      </w:r>
    </w:p>
    <w:p>
      <w:pPr>
        <w:keepLines/>
        <w:tabs>
          <w:tab w:val="right" w:leader="dot" w:pos="7200"/>
        </w:tabs>
        <w:spacing w:before="252" w:after="0" w:line="322" w:lineRule="exact"/>
        <w:ind w:left="420" w:right="1120" w:hanging="420"/>
      </w:pPr>
      <w:r>
        <w:rPr>
          <w:i/>
          <w:iCs/>
        </w:rPr>
        <w:t xml:space="preserve">Glass</w:t>
      </w:r>
      <w:r>
        <w:rPr>
          <w:i/>
          <w:iCs/>
        </w:rPr>
        <w:t xml:space="preserve"> </w:t>
      </w:r>
      <w:r>
        <w:rPr>
          <w:i/>
          <w:iCs/>
        </w:rPr>
        <w:t xml:space="preserve">v.</w:t>
      </w:r>
      <w:r>
        <w:rPr>
          <w:i/>
          <w:iCs/>
        </w:rPr>
        <w:t xml:space="preserve"> </w:t>
      </w:r>
      <w:r>
        <w:rPr>
          <w:i/>
          <w:iCs/>
        </w:rPr>
        <w:t xml:space="preserve">Stahl</w:t>
      </w:r>
      <w:r>
        <w:rPr>
          <w:i/>
          <w:iCs/>
        </w:rPr>
        <w:t xml:space="preserve"> </w:t>
      </w:r>
      <w:r>
        <w:rPr>
          <w:i/>
          <w:iCs/>
        </w:rPr>
        <w:t xml:space="preserve">Specialty</w:t>
      </w:r>
      <w:r>
        <w:rPr>
          <w:i/>
          <w:iCs/>
        </w:rPr>
        <w:t xml:space="preserve"> </w:t>
      </w:r>
      <w:r>
        <w:rPr>
          <w:i/>
          <w:iCs/>
        </w:rPr>
        <w:t xml:space="preserve">Co.</w:t>
      </w:r>
      <w:r>
        <w:t xml:space="preserve">,</w:t>
      </w:r>
      <w:r>
        <w:t xml:space="preserve"> </w:t>
      </w:r>
      <w:r>
        <w:t xml:space="preserve">97</w:t>
      </w:r>
      <w:r>
        <w:t xml:space="preserve"> </w:t>
      </w:r>
      <w:r>
        <w:t xml:space="preserve">Wn.2d</w:t>
      </w:r>
      <w:r>
        <w:t xml:space="preserve"> </w:t>
      </w:r>
      <w:r>
        <w:t xml:space="preserve">880,</w:t>
      </w:r>
      <w:r>
        <w:t xml:space="preserve"> </w:t>
      </w:r>
      <w:r>
        <w:t xml:space="preserve">652</w:t>
      </w:r>
      <w:r>
        <w:t xml:space="preserve"> </w:t>
      </w:r>
      <w:r>
        <w:t xml:space="preserve">P.2d</w:t>
      </w:r>
      <w:r>
        <w:t xml:space="preserve"> </w:t>
      </w:r>
      <w:r>
        <w:t xml:space="preserve">948</w:t>
      </w:r>
      <w:r>
        <w:t xml:space="preserve"> </w:t>
      </w:r>
      <w:r>
        <w:t xml:space="preserve">(1982)</w:t>
      </w:r>
      <w:r>
        <w:t xml:space="preserve">   </w:t>
      </w:r>
      <w:r>
        <w:tab/>
      </w:r>
      <w:r>
        <w:t xml:space="preserve">17</w:t>
      </w:r>
    </w:p>
    <w:p>
      <w:pPr>
        <w:keepLines/>
        <w:tabs>
          <w:tab w:val="right" w:leader="dot" w:pos="7200"/>
        </w:tabs>
        <w:spacing w:before="252" w:after="0" w:line="322" w:lineRule="exact"/>
        <w:ind w:left="420" w:right="1120" w:hanging="420"/>
      </w:pPr>
      <w:r>
        <w:rPr>
          <w:i/>
          <w:iCs/>
        </w:rPr>
        <w:t xml:space="preserve">Hartley</w:t>
      </w:r>
      <w:r>
        <w:rPr>
          <w:i/>
          <w:iCs/>
        </w:rPr>
        <w:t xml:space="preserve"> </w:t>
      </w:r>
      <w:r>
        <w:rPr>
          <w:i/>
          <w:iCs/>
        </w:rPr>
        <w:t xml:space="preserve">v.</w:t>
      </w:r>
      <w:r>
        <w:rPr>
          <w:i/>
          <w:iCs/>
        </w:rPr>
        <w:t xml:space="preserve"> </w:t>
      </w:r>
      <w:r>
        <w:rPr>
          <w:i/>
          <w:iCs/>
        </w:rPr>
        <w:t xml:space="preserve">State</w:t>
      </w:r>
      <w:r>
        <w:t xml:space="preserve">,</w:t>
      </w:r>
      <w:r>
        <w:t xml:space="preserve"> </w:t>
      </w:r>
      <w:r>
        <w:t xml:space="preserve">103</w:t>
      </w:r>
      <w:r>
        <w:t xml:space="preserve"> </w:t>
      </w:r>
      <w:r>
        <w:t xml:space="preserve">Wn.2d</w:t>
      </w:r>
      <w:r>
        <w:t xml:space="preserve"> </w:t>
      </w:r>
      <w:r>
        <w:t xml:space="preserve">768,</w:t>
      </w:r>
      <w:r>
        <w:t xml:space="preserve"> </w:t>
      </w:r>
      <w:r>
        <w:t xml:space="preserve">698</w:t>
      </w:r>
      <w:r>
        <w:t xml:space="preserve"> </w:t>
      </w:r>
      <w:r>
        <w:t xml:space="preserve">P.2d</w:t>
      </w:r>
      <w:r>
        <w:t xml:space="preserve"> </w:t>
      </w:r>
      <w:r>
        <w:t xml:space="preserve">77</w:t>
      </w:r>
      <w:r>
        <w:t xml:space="preserve"> </w:t>
      </w:r>
      <w:r>
        <w:t xml:space="preserve">(1985)</w:t>
      </w:r>
      <w:r>
        <w:t xml:space="preserve">   </w:t>
      </w:r>
      <w:r>
        <w:tab/>
      </w:r>
      <w:r>
        <w:t xml:space="preserve">16</w:t>
      </w:r>
    </w:p>
    <w:p>
      <w:pPr>
        <w:keepLines/>
        <w:tabs>
          <w:tab w:val="right" w:leader="dot" w:pos="7200"/>
        </w:tabs>
        <w:spacing w:before="252" w:after="0" w:line="322" w:lineRule="exact"/>
        <w:ind w:left="420" w:right="1120" w:hanging="420"/>
      </w:pPr>
      <w:r>
        <w:rPr>
          <w:i/>
          <w:iCs/>
        </w:rPr>
        <w:t xml:space="preserve">Hue</w:t>
      </w:r>
      <w:r>
        <w:rPr>
          <w:i/>
          <w:iCs/>
        </w:rPr>
        <w:t xml:space="preserve"> </w:t>
      </w:r>
      <w:r>
        <w:rPr>
          <w:i/>
          <w:iCs/>
        </w:rPr>
        <w:t xml:space="preserve">v.</w:t>
      </w:r>
      <w:r>
        <w:rPr>
          <w:i/>
          <w:iCs/>
        </w:rPr>
        <w:t xml:space="preserve"> </w:t>
      </w:r>
      <w:r>
        <w:rPr>
          <w:i/>
          <w:iCs/>
        </w:rPr>
        <w:t xml:space="preserve">Farmboy</w:t>
      </w:r>
      <w:r>
        <w:rPr>
          <w:i/>
          <w:iCs/>
        </w:rPr>
        <w:t xml:space="preserve"> </w:t>
      </w:r>
      <w:r>
        <w:rPr>
          <w:i/>
          <w:iCs/>
        </w:rPr>
        <w:t xml:space="preserve">Spray</w:t>
      </w:r>
      <w:r>
        <w:rPr>
          <w:i/>
          <w:iCs/>
        </w:rPr>
        <w:t xml:space="preserve"> </w:t>
      </w:r>
      <w:r>
        <w:rPr>
          <w:i/>
          <w:iCs/>
        </w:rPr>
        <w:t xml:space="preserve">Co.</w:t>
      </w:r>
      <w:r>
        <w:t xml:space="preserve">,</w:t>
      </w:r>
      <w:r>
        <w:t xml:space="preserve"> </w:t>
      </w:r>
      <w:r>
        <w:t xml:space="preserve">127</w:t>
      </w:r>
      <w:r>
        <w:t xml:space="preserve"> </w:t>
      </w:r>
      <w:r>
        <w:t xml:space="preserve">Wn.2d</w:t>
      </w:r>
      <w:r>
        <w:t xml:space="preserve"> </w:t>
      </w:r>
      <w:r>
        <w:t xml:space="preserve">67,</w:t>
      </w:r>
      <w:r>
        <w:t xml:space="preserve"> </w:t>
      </w:r>
      <w:r>
        <w:t xml:space="preserve">896</w:t>
      </w:r>
      <w:r>
        <w:t xml:space="preserve"> </w:t>
      </w:r>
      <w:r>
        <w:t xml:space="preserve">P.2d</w:t>
      </w:r>
      <w:r>
        <w:t xml:space="preserve"> </w:t>
      </w:r>
      <w:r>
        <w:t xml:space="preserve">682</w:t>
      </w:r>
      <w:r>
        <w:t xml:space="preserve"> </w:t>
      </w:r>
      <w:r>
        <w:t xml:space="preserve">(1995)</w:t>
      </w:r>
      <w:r>
        <w:t xml:space="preserve">   </w:t>
      </w:r>
      <w:r>
        <w:tab/>
      </w:r>
      <w:r>
        <w:t xml:space="preserve">20, 23</w:t>
      </w:r>
    </w:p>
    <w:p>
      <w:pPr>
        <w:keepLines/>
        <w:tabs>
          <w:tab w:val="right" w:leader="dot" w:pos="7200"/>
        </w:tabs>
        <w:spacing w:before="252" w:after="0" w:line="322" w:lineRule="exact"/>
        <w:ind w:left="420" w:right="1120" w:hanging="420"/>
      </w:pPr>
      <w:r>
        <w:rPr>
          <w:i/>
          <w:iCs/>
        </w:rPr>
        <w:t xml:space="preserve">Simonetta</w:t>
      </w:r>
      <w:r>
        <w:rPr>
          <w:i/>
          <w:iCs/>
        </w:rPr>
        <w:t xml:space="preserve"> </w:t>
      </w:r>
      <w:r>
        <w:rPr>
          <w:i/>
          <w:iCs/>
        </w:rPr>
        <w:t xml:space="preserve">v.</w:t>
      </w:r>
      <w:r>
        <w:rPr>
          <w:i/>
          <w:iCs/>
        </w:rPr>
        <w:t xml:space="preserve"> </w:t>
      </w:r>
      <w:r>
        <w:rPr>
          <w:i/>
          <w:iCs/>
        </w:rPr>
        <w:t xml:space="preserve">Viad</w:t>
      </w:r>
      <w:r>
        <w:rPr>
          <w:i/>
          <w:iCs/>
        </w:rPr>
        <w:t xml:space="preserve"> </w:t>
      </w:r>
      <w:r>
        <w:rPr>
          <w:i/>
          <w:iCs/>
        </w:rPr>
        <w:t xml:space="preserve">Corp.</w:t>
      </w:r>
      <w:r>
        <w:t xml:space="preserve">,</w:t>
      </w:r>
      <w:r>
        <w:t xml:space="preserve"> </w:t>
      </w:r>
      <w:r>
        <w:t xml:space="preserve">165</w:t>
      </w:r>
      <w:r>
        <w:t xml:space="preserve"> </w:t>
      </w:r>
      <w:r>
        <w:t xml:space="preserve">Wn.2d</w:t>
      </w:r>
      <w:r>
        <w:t xml:space="preserve"> </w:t>
      </w:r>
      <w:r>
        <w:t xml:space="preserve">341,</w:t>
      </w:r>
      <w:r>
        <w:t xml:space="preserve"> </w:t>
      </w:r>
      <w:r>
        <w:t xml:space="preserve">197</w:t>
      </w:r>
      <w:r>
        <w:t xml:space="preserve"> </w:t>
      </w:r>
      <w:r>
        <w:t xml:space="preserve">P.3d</w:t>
      </w:r>
      <w:r>
        <w:t xml:space="preserve"> </w:t>
      </w:r>
      <w:r>
        <w:t xml:space="preserve">127</w:t>
      </w:r>
      <w:r>
        <w:t xml:space="preserve"> </w:t>
      </w:r>
      <w:r>
        <w:t xml:space="preserve">(2008)</w:t>
      </w:r>
      <w:r>
        <w:t xml:space="preserve">   </w:t>
      </w:r>
      <w:r>
        <w:tab/>
      </w:r>
      <w:r>
        <w:t xml:space="preserve">21</w:t>
      </w:r>
    </w:p>
    <w:p>
      <w:pPr>
        <w:keepLines/>
        <w:tabs>
          <w:tab w:val="right" w:leader="dot" w:pos="7200"/>
        </w:tabs>
        <w:spacing w:before="252" w:after="0" w:line="322" w:lineRule="exact"/>
        <w:ind w:left="420" w:right="1400" w:hanging="420"/>
      </w:pPr>
      <w:r>
        <w:rPr>
          <w:i/>
          <w:iCs/>
        </w:rPr>
        <w:t xml:space="preserve">Wash.</w:t>
      </w:r>
      <w:r>
        <w:rPr>
          <w:i/>
          <w:iCs/>
        </w:rPr>
        <w:t xml:space="preserve"> </w:t>
      </w:r>
      <w:r>
        <w:rPr>
          <w:i/>
          <w:iCs/>
        </w:rPr>
        <w:t xml:space="preserve">Water</w:t>
      </w:r>
      <w:r>
        <w:rPr>
          <w:i/>
          <w:iCs/>
        </w:rPr>
        <w:t xml:space="preserve"> </w:t>
      </w:r>
      <w:r>
        <w:rPr>
          <w:i/>
          <w:iCs/>
        </w:rPr>
        <w:t xml:space="preserve">Power</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Graybar</w:t>
      </w:r>
      <w:r>
        <w:rPr>
          <w:i/>
          <w:iCs/>
        </w:rPr>
        <w:t xml:space="preserve"> </w:t>
      </w:r>
      <w:r>
        <w:rPr>
          <w:i/>
          <w:iCs/>
        </w:rPr>
        <w:t xml:space="preserve">Elec.</w:t>
      </w:r>
      <w:r>
        <w:rPr>
          <w:i/>
          <w:iCs/>
        </w:rPr>
        <w:t xml:space="preserve"> </w:t>
      </w:r>
      <w:r>
        <w:rPr>
          <w:i/>
          <w:iCs/>
        </w:rPr>
        <w:t xml:space="preserve">Co.</w:t>
      </w:r>
      <w:r>
        <w:t xml:space="preserve">,</w:t>
      </w:r>
      <w:r>
        <w:t xml:space="preserve"> </w:t>
      </w:r>
      <w:r>
        <w:t xml:space="preserve">112</w:t>
      </w:r>
      <w:r>
        <w:t xml:space="preserve"> </w:t>
      </w:r>
      <w:r>
        <w:t xml:space="preserve">Wn.2d</w:t>
      </w:r>
      <w:r>
        <w:t xml:space="preserve"> </w:t>
      </w:r>
      <w:r>
        <w:t xml:space="preserve">847,</w:t>
      </w:r>
      <w:r>
        <w:t xml:space="preserve"> </w:t>
      </w:r>
      <w:r>
        <w:t xml:space="preserve">774</w:t>
      </w:r>
      <w:r>
        <w:t xml:space="preserve"> </w:t>
      </w:r>
      <w:r>
        <w:t xml:space="preserve">P.2d</w:t>
      </w:r>
      <w:r>
        <w:t xml:space="preserve"> </w:t>
      </w:r>
      <w:r>
        <w:t xml:space="preserve">1199</w:t>
      </w:r>
      <w:r>
        <w:t xml:space="preserve"> </w:t>
      </w:r>
      <w:r>
        <w:t xml:space="preserve">(1989)</w:t>
      </w:r>
      <w:r>
        <w:t xml:space="preserve">   </w:t>
      </w:r>
      <w:r>
        <w:tab/>
      </w:r>
      <w:r>
        <w:t xml:space="preserve">3, 18, 19, 24</w:t>
      </w:r>
    </w:p>
    <w:p>
      <w:pPr>
        <w:keepNext/>
        <w:keepLines/>
        <w:spacing w:before="336" w:after="56" w:line="322" w:lineRule="exact"/>
        <w:ind w:left="0" w:firstLine="0"/>
        <w:jc w:val="left"/>
      </w:pPr>
      <w:r>
        <w:rPr>
          <w:b/>
          <w:bCs/>
        </w:rPr>
        <w:t xml:space="preserve">Washington</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p>
    <w:p>
      <w:pPr>
        <w:keepLines/>
        <w:tabs>
          <w:tab w:val="right" w:leader="dot" w:pos="7200"/>
        </w:tabs>
        <w:spacing w:before="252" w:after="0" w:line="322" w:lineRule="exact"/>
        <w:ind w:left="420" w:right="1540" w:hanging="420"/>
      </w:pPr>
      <w:r>
        <w:rPr>
          <w:i/>
          <w:iCs/>
        </w:rPr>
        <w:t xml:space="preserve">Anderson</w:t>
      </w:r>
      <w:r>
        <w:rPr>
          <w:i/>
          <w:iCs/>
        </w:rPr>
        <w:t xml:space="preserve"> </w:t>
      </w:r>
      <w:r>
        <w:rPr>
          <w:i/>
          <w:iCs/>
        </w:rPr>
        <w:t xml:space="preserve">v.</w:t>
      </w:r>
      <w:r>
        <w:rPr>
          <w:i/>
          <w:iCs/>
        </w:rPr>
        <w:t xml:space="preserve"> </w:t>
      </w:r>
      <w:r>
        <w:rPr>
          <w:i/>
          <w:iCs/>
        </w:rPr>
        <w:t xml:space="preserve">Weslo,</w:t>
      </w:r>
      <w:r>
        <w:rPr>
          <w:i/>
          <w:iCs/>
        </w:rPr>
        <w:t xml:space="preserve"> </w:t>
      </w:r>
      <w:r>
        <w:rPr>
          <w:i/>
          <w:iCs/>
        </w:rPr>
        <w:t xml:space="preserve">Inc.</w:t>
      </w:r>
      <w:r>
        <w:t xml:space="preserve">,</w:t>
      </w:r>
      <w:r>
        <w:t xml:space="preserve"> </w:t>
      </w:r>
      <w:r>
        <w:t xml:space="preserve">79</w:t>
      </w:r>
      <w:r>
        <w:t xml:space="preserve"> </w:t>
      </w:r>
      <w:r>
        <w:t xml:space="preserve">Wn.</w:t>
      </w:r>
      <w:r>
        <w:t xml:space="preserve"> </w:t>
      </w:r>
      <w:r>
        <w:t xml:space="preserve">App.</w:t>
      </w:r>
      <w:r>
        <w:t xml:space="preserve"> </w:t>
      </w:r>
      <w:r>
        <w:t xml:space="preserve">829,</w:t>
      </w:r>
      <w:r>
        <w:t xml:space="preserve"> </w:t>
      </w:r>
      <w:r>
        <w:t xml:space="preserve">906</w:t>
      </w:r>
      <w:r>
        <w:t xml:space="preserve"> </w:t>
      </w:r>
      <w:r>
        <w:t xml:space="preserve">P.2d</w:t>
      </w:r>
      <w:r>
        <w:t xml:space="preserve"> </w:t>
      </w:r>
      <w:r>
        <w:t xml:space="preserve">336</w:t>
      </w:r>
      <w:r>
        <w:t xml:space="preserve"> </w:t>
      </w:r>
      <w:r>
        <w:t xml:space="preserve">(1995)</w:t>
      </w:r>
      <w:r>
        <w:t xml:space="preserve">   </w:t>
      </w:r>
      <w:r>
        <w:tab/>
      </w:r>
      <w:r>
        <w:t xml:space="preserve">26, 27, 29, 30</w:t>
      </w:r>
    </w:p>
    <w:p>
      <w:pPr>
        <w:keepLines/>
        <w:tabs>
          <w:tab w:val="right" w:leader="dot" w:pos="7200"/>
        </w:tabs>
        <w:spacing w:before="252" w:after="0" w:line="322" w:lineRule="exact"/>
        <w:ind w:left="420" w:right="1540" w:hanging="420"/>
      </w:pPr>
      <w:r>
        <w:rPr>
          <w:i/>
          <w:iCs/>
        </w:rPr>
        <w:t xml:space="preserve">Buttelo</w:t>
      </w:r>
      <w:r>
        <w:rPr>
          <w:i/>
          <w:iCs/>
        </w:rPr>
        <w:t xml:space="preserve"> </w:t>
      </w:r>
      <w:r>
        <w:rPr>
          <w:i/>
          <w:iCs/>
        </w:rPr>
        <w:t xml:space="preserve">v.</w:t>
      </w:r>
      <w:r>
        <w:rPr>
          <w:i/>
          <w:iCs/>
        </w:rPr>
        <w:t xml:space="preserve"> </w:t>
      </w:r>
      <w:r>
        <w:rPr>
          <w:i/>
          <w:iCs/>
        </w:rPr>
        <w:t xml:space="preserve">Woods-Yates</w:t>
      </w:r>
      <w:r>
        <w:rPr>
          <w:i/>
          <w:iCs/>
        </w:rPr>
        <w:t xml:space="preserve"> </w:t>
      </w:r>
      <w:r>
        <w:rPr>
          <w:i/>
          <w:iCs/>
        </w:rPr>
        <w:t xml:space="preserve">Am.</w:t>
      </w:r>
      <w:r>
        <w:rPr>
          <w:i/>
          <w:iCs/>
        </w:rPr>
        <w:t xml:space="preserve"> </w:t>
      </w:r>
      <w:r>
        <w:rPr>
          <w:i/>
          <w:iCs/>
        </w:rPr>
        <w:t xml:space="preserve">Mach.</w:t>
      </w:r>
      <w:r>
        <w:rPr>
          <w:i/>
          <w:iCs/>
        </w:rPr>
        <w:t xml:space="preserve"> </w:t>
      </w:r>
      <w:r>
        <w:rPr>
          <w:i/>
          <w:iCs/>
        </w:rPr>
        <w:t xml:space="preserve">Co.</w:t>
      </w:r>
      <w:r>
        <w:t xml:space="preserve">,</w:t>
      </w:r>
      <w:r>
        <w:t xml:space="preserve"> </w:t>
      </w:r>
      <w:r>
        <w:t xml:space="preserve">72</w:t>
      </w:r>
      <w:r>
        <w:t xml:space="preserve"> </w:t>
      </w:r>
      <w:r>
        <w:t xml:space="preserve">Wn.</w:t>
      </w:r>
      <w:r>
        <w:t xml:space="preserve"> </w:t>
      </w:r>
      <w:r>
        <w:t xml:space="preserve">App.</w:t>
      </w:r>
      <w:r>
        <w:t xml:space="preserve"> </w:t>
      </w:r>
      <w:r>
        <w:t xml:space="preserve">397,</w:t>
      </w:r>
      <w:r>
        <w:t xml:space="preserve"> </w:t>
      </w:r>
      <w:r>
        <w:t xml:space="preserve">864</w:t>
      </w:r>
      <w:r>
        <w:t xml:space="preserve"> </w:t>
      </w:r>
      <w:r>
        <w:t xml:space="preserve">P.2d</w:t>
      </w:r>
      <w:r>
        <w:t xml:space="preserve"> </w:t>
      </w:r>
      <w:r>
        <w:t xml:space="preserve">948</w:t>
      </w:r>
      <w:r>
        <w:t xml:space="preserve"> </w:t>
      </w:r>
      <w:r>
        <w:t xml:space="preserve">(1993)</w:t>
      </w:r>
      <w:r>
        <w:t xml:space="preserve">   </w:t>
      </w:r>
      <w:r>
        <w:tab/>
      </w:r>
      <w:r>
        <w:t xml:space="preserve">15, 17, 22, 23</w:t>
      </w:r>
    </w:p>
    <w:p>
      <w:pPr>
        <w:keepLines/>
        <w:tabs>
          <w:tab w:val="right" w:leader="dot" w:pos="7200"/>
        </w:tabs>
        <w:spacing w:before="252" w:after="0" w:line="322" w:lineRule="exact"/>
        <w:ind w:left="420" w:right="1120" w:hanging="420"/>
      </w:pPr>
      <w:r>
        <w:rPr>
          <w:i/>
          <w:iCs/>
        </w:rPr>
        <w:t xml:space="preserve">Folise</w:t>
      </w:r>
      <w:r>
        <w:rPr>
          <w:i/>
          <w:iCs/>
        </w:rPr>
        <w:t xml:space="preserve"> </w:t>
      </w:r>
      <w:r>
        <w:rPr>
          <w:i/>
          <w:iCs/>
        </w:rPr>
        <w:t xml:space="preserve">v.</w:t>
      </w:r>
      <w:r>
        <w:rPr>
          <w:i/>
          <w:iCs/>
        </w:rPr>
        <w:t xml:space="preserve"> </w:t>
      </w:r>
      <w:r>
        <w:rPr>
          <w:i/>
          <w:iCs/>
        </w:rPr>
        <w:t xml:space="preserve">Folise</w:t>
      </w:r>
      <w:r>
        <w:t xml:space="preserve">,</w:t>
      </w:r>
      <w:r>
        <w:t xml:space="preserve"> </w:t>
      </w:r>
      <w:r>
        <w:t xml:space="preserve">113</w:t>
      </w:r>
      <w:r>
        <w:t xml:space="preserve"> </w:t>
      </w:r>
      <w:r>
        <w:t xml:space="preserve">Wn.</w:t>
      </w:r>
      <w:r>
        <w:t xml:space="preserve"> </w:t>
      </w:r>
      <w:r>
        <w:t xml:space="preserve">App.</w:t>
      </w:r>
      <w:r>
        <w:t xml:space="preserve"> </w:t>
      </w:r>
      <w:r>
        <w:t xml:space="preserve">609,</w:t>
      </w:r>
      <w:r>
        <w:t xml:space="preserve"> </w:t>
      </w:r>
      <w:r>
        <w:t xml:space="preserve">54</w:t>
      </w:r>
      <w:r>
        <w:t xml:space="preserve"> </w:t>
      </w:r>
      <w:r>
        <w:t xml:space="preserve">P.3d</w:t>
      </w:r>
      <w:r>
        <w:t xml:space="preserve"> </w:t>
      </w:r>
      <w:r>
        <w:t xml:space="preserve">222</w:t>
      </w:r>
      <w:r>
        <w:t xml:space="preserve"> </w:t>
      </w:r>
      <w:r>
        <w:t xml:space="preserve">(2002)</w:t>
      </w:r>
      <w:r>
        <w:t xml:space="preserve">   </w:t>
      </w:r>
      <w:r>
        <w:tab/>
      </w:r>
      <w:r>
        <w:t xml:space="preserve">23</w:t>
      </w:r>
    </w:p>
    <w:p>
      <w:pPr>
        <w:keepLines/>
        <w:tabs>
          <w:tab w:val="right" w:leader="dot" w:pos="7200"/>
        </w:tabs>
        <w:spacing w:before="252" w:after="0" w:line="322" w:lineRule="exact"/>
        <w:ind w:left="420" w:right="2240" w:hanging="420"/>
      </w:pPr>
      <w:r>
        <w:rPr>
          <w:i/>
          <w:iCs/>
        </w:rPr>
        <w:t xml:space="preserve">Knott</w:t>
      </w:r>
      <w:r>
        <w:rPr>
          <w:i/>
          <w:iCs/>
        </w:rPr>
        <w:t xml:space="preserve"> </w:t>
      </w:r>
      <w:r>
        <w:rPr>
          <w:i/>
          <w:iCs/>
        </w:rPr>
        <w:t xml:space="preserve">v.</w:t>
      </w:r>
      <w:r>
        <w:rPr>
          <w:i/>
          <w:iCs/>
        </w:rPr>
        <w:t xml:space="preserve"> </w:t>
      </w:r>
      <w:r>
        <w:rPr>
          <w:i/>
          <w:iCs/>
        </w:rPr>
        <w:t xml:space="preserve">Liberty</w:t>
      </w:r>
      <w:r>
        <w:rPr>
          <w:i/>
          <w:iCs/>
        </w:rPr>
        <w:t xml:space="preserve"> </w:t>
      </w:r>
      <w:r>
        <w:rPr>
          <w:i/>
          <w:iCs/>
        </w:rPr>
        <w:t xml:space="preserve">Jewelry</w:t>
      </w:r>
      <w:r>
        <w:rPr>
          <w:i/>
          <w:iCs/>
        </w:rPr>
        <w:t xml:space="preserve"> </w:t>
      </w:r>
      <w:r>
        <w:rPr>
          <w:i/>
          <w:iCs/>
        </w:rPr>
        <w:t xml:space="preserve">&amp;</w:t>
      </w:r>
      <w:r>
        <w:rPr>
          <w:i/>
          <w:iCs/>
        </w:rPr>
        <w:t xml:space="preserve"> </w:t>
      </w:r>
      <w:r>
        <w:rPr>
          <w:i/>
          <w:iCs/>
        </w:rPr>
        <w:t xml:space="preserve">Loan,</w:t>
      </w:r>
      <w:r>
        <w:rPr>
          <w:i/>
          <w:iCs/>
        </w:rPr>
        <w:t xml:space="preserve"> </w:t>
      </w:r>
      <w:r>
        <w:rPr>
          <w:i/>
          <w:iCs/>
        </w:rPr>
        <w:t xml:space="preserve">Inc.</w:t>
      </w:r>
      <w:r>
        <w:t xml:space="preserve">,</w:t>
      </w:r>
      <w:r>
        <w:t xml:space="preserve"> </w:t>
      </w:r>
      <w:r>
        <w:t xml:space="preserve">50</w:t>
      </w:r>
      <w:r>
        <w:t xml:space="preserve"> </w:t>
      </w:r>
      <w:r>
        <w:t xml:space="preserve">Wn.</w:t>
      </w:r>
      <w:r>
        <w:t xml:space="preserve"> </w:t>
      </w:r>
      <w:r>
        <w:t xml:space="preserve">App.</w:t>
      </w:r>
      <w:r>
        <w:t xml:space="preserve"> </w:t>
      </w:r>
      <w:r>
        <w:t xml:space="preserve">267,</w:t>
      </w:r>
      <w:r>
        <w:t xml:space="preserve"> </w:t>
      </w:r>
      <w:r>
        <w:t xml:space="preserve">748</w:t>
      </w:r>
      <w:r>
        <w:t xml:space="preserve"> </w:t>
      </w:r>
      <w:r>
        <w:t xml:space="preserve">P.2d</w:t>
      </w:r>
      <w:r>
        <w:t xml:space="preserve"> </w:t>
      </w:r>
      <w:r>
        <w:t xml:space="preserve">661</w:t>
      </w:r>
      <w:r>
        <w:t xml:space="preserve"> </w:t>
      </w:r>
      <w:r>
        <w:t xml:space="preserve">(1988)</w:t>
      </w:r>
      <w:r>
        <w:t xml:space="preserve">   </w:t>
      </w:r>
      <w:r>
        <w:tab/>
      </w:r>
      <w:r>
        <w:t xml:space="preserve">2, 12, 14, 15, 21, 22</w:t>
      </w:r>
    </w:p>
    <w:p>
      <w:pPr>
        <w:keepLines/>
        <w:tabs>
          <w:tab w:val="right" w:leader="dot" w:pos="7200"/>
        </w:tabs>
        <w:spacing w:before="252" w:after="0" w:line="322" w:lineRule="exact"/>
        <w:ind w:left="420" w:right="1120" w:hanging="420"/>
      </w:pPr>
      <w:r>
        <w:rPr>
          <w:i/>
          <w:iCs/>
        </w:rPr>
        <w:t xml:space="preserve">McKenna</w:t>
      </w:r>
      <w:r>
        <w:rPr>
          <w:i/>
          <w:iCs/>
        </w:rPr>
        <w:t xml:space="preserve"> </w:t>
      </w:r>
      <w:r>
        <w:rPr>
          <w:i/>
          <w:iCs/>
        </w:rPr>
        <w:t xml:space="preserve">v.</w:t>
      </w:r>
      <w:r>
        <w:rPr>
          <w:i/>
          <w:iCs/>
        </w:rPr>
        <w:t xml:space="preserve"> </w:t>
      </w:r>
      <w:r>
        <w:rPr>
          <w:i/>
          <w:iCs/>
        </w:rPr>
        <w:t xml:space="preserve">Harrison</w:t>
      </w:r>
      <w:r>
        <w:rPr>
          <w:i/>
          <w:iCs/>
        </w:rPr>
        <w:t xml:space="preserve"> </w:t>
      </w:r>
      <w:r>
        <w:rPr>
          <w:i/>
          <w:iCs/>
        </w:rPr>
        <w:t xml:space="preserve">Mem’l</w:t>
      </w:r>
      <w:r>
        <w:rPr>
          <w:i/>
          <w:iCs/>
        </w:rPr>
        <w:t xml:space="preserve"> </w:t>
      </w:r>
      <w:r>
        <w:rPr>
          <w:i/>
          <w:iCs/>
        </w:rPr>
        <w:t xml:space="preserve">Hosp.</w:t>
      </w:r>
      <w:r>
        <w:t xml:space="preserve">,</w:t>
      </w:r>
      <w:r>
        <w:t xml:space="preserve"> </w:t>
      </w:r>
      <w:r>
        <w:t xml:space="preserve">92</w:t>
      </w:r>
      <w:r>
        <w:t xml:space="preserve"> </w:t>
      </w:r>
      <w:r>
        <w:t xml:space="preserve">Wn.</w:t>
      </w:r>
      <w:r>
        <w:t xml:space="preserve"> </w:t>
      </w:r>
      <w:r>
        <w:t xml:space="preserve">App.</w:t>
      </w:r>
      <w:r>
        <w:t xml:space="preserve"> </w:t>
      </w:r>
      <w:r>
        <w:t xml:space="preserve">119,</w:t>
      </w:r>
      <w:r>
        <w:t xml:space="preserve"> </w:t>
      </w:r>
      <w:r>
        <w:t xml:space="preserve">960</w:t>
      </w:r>
      <w:r>
        <w:t xml:space="preserve"> </w:t>
      </w:r>
      <w:r>
        <w:t xml:space="preserve">P.2d</w:t>
      </w:r>
      <w:r>
        <w:t xml:space="preserve"> </w:t>
      </w:r>
      <w:r>
        <w:t xml:space="preserve">486</w:t>
      </w:r>
      <w:r>
        <w:t xml:space="preserve"> </w:t>
      </w:r>
      <w:r>
        <w:t xml:space="preserve">(1998)</w:t>
      </w:r>
      <w:r>
        <w:t xml:space="preserve">   </w:t>
      </w:r>
      <w:r>
        <w:tab/>
      </w:r>
      <w:r>
        <w:t xml:space="preserve">21</w:t>
      </w:r>
    </w:p>
    <w:p>
      <w:pPr>
        <w:keepLines/>
        <w:tabs>
          <w:tab w:val="right" w:leader="dot" w:pos="7200"/>
        </w:tabs>
        <w:spacing w:before="252" w:after="0" w:line="322" w:lineRule="exact"/>
        <w:ind w:left="420" w:right="1120" w:hanging="420"/>
      </w:pPr>
      <w:r>
        <w:rPr>
          <w:i/>
          <w:iCs/>
        </w:rPr>
        <w:t xml:space="preserve">Reece</w:t>
      </w:r>
      <w:r>
        <w:rPr>
          <w:i/>
          <w:iCs/>
        </w:rPr>
        <w:t xml:space="preserve"> </w:t>
      </w:r>
      <w:r>
        <w:rPr>
          <w:i/>
          <w:iCs/>
        </w:rPr>
        <w:t xml:space="preserve">v.</w:t>
      </w:r>
      <w:r>
        <w:rPr>
          <w:i/>
          <w:iCs/>
        </w:rPr>
        <w:t xml:space="preserve"> </w:t>
      </w:r>
      <w:r>
        <w:rPr>
          <w:i/>
          <w:iCs/>
        </w:rPr>
        <w:t xml:space="preserve">Good</w:t>
      </w:r>
      <w:r>
        <w:rPr>
          <w:i/>
          <w:iCs/>
        </w:rPr>
        <w:t xml:space="preserve"> </w:t>
      </w:r>
      <w:r>
        <w:rPr>
          <w:i/>
          <w:iCs/>
        </w:rPr>
        <w:t xml:space="preserve">Samaritan</w:t>
      </w:r>
      <w:r>
        <w:rPr>
          <w:i/>
          <w:iCs/>
        </w:rPr>
        <w:t xml:space="preserve"> </w:t>
      </w:r>
      <w:r>
        <w:rPr>
          <w:i/>
          <w:iCs/>
        </w:rPr>
        <w:t xml:space="preserve">Hosp.</w:t>
      </w:r>
      <w:r>
        <w:t xml:space="preserve">,</w:t>
      </w:r>
      <w:r>
        <w:t xml:space="preserve"> </w:t>
      </w:r>
      <w:r>
        <w:t xml:space="preserve">90</w:t>
      </w:r>
      <w:r>
        <w:t xml:space="preserve"> </w:t>
      </w:r>
      <w:r>
        <w:t xml:space="preserve">Wn.</w:t>
      </w:r>
      <w:r>
        <w:t xml:space="preserve"> </w:t>
      </w:r>
      <w:r>
        <w:t xml:space="preserve">App.</w:t>
      </w:r>
      <w:r>
        <w:t xml:space="preserve"> </w:t>
      </w:r>
      <w:r>
        <w:t xml:space="preserve">574,</w:t>
      </w:r>
      <w:r>
        <w:t xml:space="preserve"> </w:t>
      </w:r>
      <w:r>
        <w:t xml:space="preserve">953</w:t>
      </w:r>
      <w:r>
        <w:t xml:space="preserve"> </w:t>
      </w:r>
      <w:r>
        <w:t xml:space="preserve">P.2d</w:t>
      </w:r>
      <w:r>
        <w:t xml:space="preserve"> </w:t>
      </w:r>
      <w:r>
        <w:t xml:space="preserve">117</w:t>
      </w:r>
      <w:r>
        <w:t xml:space="preserve"> </w:t>
      </w:r>
      <w:r>
        <w:t xml:space="preserve">(1998)</w:t>
      </w:r>
      <w:r>
        <w:t xml:space="preserve">   </w:t>
      </w:r>
      <w:r>
        <w:tab/>
      </w:r>
      <w:r>
        <w:t xml:space="preserve">25</w:t>
      </w:r>
    </w:p>
    <w:p>
      <w:pPr>
        <w:keepLines/>
        <w:tabs>
          <w:tab w:val="right" w:leader="dot" w:pos="7200"/>
        </w:tabs>
        <w:spacing w:before="252" w:after="0" w:line="322" w:lineRule="exact"/>
        <w:ind w:left="420" w:right="1120" w:hanging="420"/>
      </w:pPr>
      <w:r>
        <w:rPr>
          <w:i/>
          <w:iCs/>
        </w:rPr>
        <w:t xml:space="preserve">Sherman</w:t>
      </w:r>
      <w:r>
        <w:rPr>
          <w:i/>
          <w:iCs/>
        </w:rPr>
        <w:t xml:space="preserve"> </w:t>
      </w:r>
      <w:r>
        <w:rPr>
          <w:i/>
          <w:iCs/>
        </w:rPr>
        <w:t xml:space="preserve">v.</w:t>
      </w:r>
      <w:r>
        <w:rPr>
          <w:i/>
          <w:iCs/>
        </w:rPr>
        <w:t xml:space="preserve"> </w:t>
      </w:r>
      <w:r>
        <w:rPr>
          <w:i/>
          <w:iCs/>
        </w:rPr>
        <w:t xml:space="preserve">Pfizer,</w:t>
      </w:r>
      <w:r>
        <w:rPr>
          <w:i/>
          <w:iCs/>
        </w:rPr>
        <w:t xml:space="preserve"> </w:t>
      </w:r>
      <w:r>
        <w:rPr>
          <w:i/>
          <w:iCs/>
        </w:rPr>
        <w:t xml:space="preserve">Inc.</w:t>
      </w:r>
      <w:r>
        <w:t xml:space="preserve">,</w:t>
      </w:r>
      <w:r>
        <w:t xml:space="preserve"> </w:t>
      </w:r>
      <w:r>
        <w:t xml:space="preserve">8</w:t>
      </w:r>
      <w:r>
        <w:t xml:space="preserve"> </w:t>
      </w:r>
      <w:r>
        <w:t xml:space="preserve">Wn.</w:t>
      </w:r>
      <w:r>
        <w:t xml:space="preserve"> </w:t>
      </w:r>
      <w:r>
        <w:t xml:space="preserve">App.</w:t>
      </w:r>
      <w:r>
        <w:t xml:space="preserve"> </w:t>
      </w:r>
      <w:r>
        <w:t xml:space="preserve">2d</w:t>
      </w:r>
      <w:r>
        <w:t xml:space="preserve"> </w:t>
      </w:r>
      <w:r>
        <w:t xml:space="preserve">686,</w:t>
      </w:r>
      <w:r>
        <w:t xml:space="preserve"> </w:t>
      </w:r>
      <w:r>
        <w:t xml:space="preserve">440</w:t>
      </w:r>
      <w:r>
        <w:t xml:space="preserve"> </w:t>
      </w:r>
      <w:r>
        <w:t xml:space="preserve">P.3d</w:t>
      </w:r>
      <w:r>
        <w:t xml:space="preserve"> </w:t>
      </w:r>
      <w:r>
        <w:t xml:space="preserve">1016</w:t>
      </w:r>
      <w:r>
        <w:t xml:space="preserve"> </w:t>
      </w:r>
      <w:r>
        <w:t xml:space="preserve">(2019)</w:t>
      </w:r>
      <w:r>
        <w:t xml:space="preserve">   </w:t>
      </w:r>
      <w:r>
        <w:tab/>
      </w:r>
      <w:r>
        <w:t xml:space="preserve">29</w:t>
      </w:r>
    </w:p>
    <w:p>
      <w:pPr>
        <w:keepLines/>
        <w:tabs>
          <w:tab w:val="right" w:leader="dot" w:pos="7200"/>
        </w:tabs>
        <w:spacing w:before="252" w:after="0" w:line="322" w:lineRule="exact"/>
        <w:ind w:left="420" w:right="1120" w:hanging="420"/>
      </w:pPr>
      <w:r>
        <w:rPr>
          <w:i/>
          <w:iCs/>
        </w:rPr>
        <w:t xml:space="preserve">Thongchoom</w:t>
      </w:r>
      <w:r>
        <w:rPr>
          <w:i/>
          <w:iCs/>
        </w:rPr>
        <w:t xml:space="preserve"> </w:t>
      </w:r>
      <w:r>
        <w:rPr>
          <w:i/>
          <w:iCs/>
        </w:rPr>
        <w:t xml:space="preserve">v.</w:t>
      </w:r>
      <w:r>
        <w:rPr>
          <w:i/>
          <w:iCs/>
        </w:rPr>
        <w:t xml:space="preserve"> </w:t>
      </w:r>
      <w:r>
        <w:rPr>
          <w:i/>
          <w:iCs/>
        </w:rPr>
        <w:t xml:space="preserve">Graco</w:t>
      </w:r>
      <w:r>
        <w:rPr>
          <w:i/>
          <w:iCs/>
        </w:rPr>
        <w:t xml:space="preserve"> </w:t>
      </w:r>
      <w:r>
        <w:rPr>
          <w:i/>
          <w:iCs/>
        </w:rPr>
        <w:t xml:space="preserve">Children’s</w:t>
      </w:r>
      <w:r>
        <w:rPr>
          <w:i/>
          <w:iCs/>
        </w:rPr>
        <w:t xml:space="preserve"> </w:t>
      </w:r>
      <w:r>
        <w:rPr>
          <w:i/>
          <w:iCs/>
        </w:rPr>
        <w:t xml:space="preserve">Prods.,</w:t>
      </w:r>
      <w:r>
        <w:rPr>
          <w:i/>
          <w:iCs/>
        </w:rPr>
        <w:t xml:space="preserve"> </w:t>
      </w:r>
      <w:r>
        <w:rPr>
          <w:i/>
          <w:iCs/>
        </w:rPr>
        <w:t xml:space="preserve">Inc.</w:t>
      </w:r>
      <w:r>
        <w:t xml:space="preserve">,</w:t>
      </w:r>
      <w:r>
        <w:t xml:space="preserve"> </w:t>
      </w:r>
      <w:r>
        <w:t xml:space="preserve">117</w:t>
      </w:r>
      <w:r>
        <w:t xml:space="preserve"> </w:t>
      </w:r>
      <w:r>
        <w:t xml:space="preserve">Wn.</w:t>
      </w:r>
      <w:r>
        <w:t xml:space="preserve"> </w:t>
      </w:r>
      <w:r>
        <w:t xml:space="preserve">App.</w:t>
      </w:r>
      <w:r>
        <w:t xml:space="preserve"> </w:t>
      </w:r>
      <w:r>
        <w:t xml:space="preserve">299,</w:t>
      </w:r>
      <w:r>
        <w:t xml:space="preserve"> </w:t>
      </w:r>
      <w:r>
        <w:t xml:space="preserve">71</w:t>
      </w:r>
      <w:r>
        <w:t xml:space="preserve"> </w:t>
      </w:r>
      <w:r>
        <w:t xml:space="preserve">P.3d</w:t>
      </w:r>
      <w:r>
        <w:t xml:space="preserve"> </w:t>
      </w:r>
      <w:r>
        <w:t xml:space="preserve">214</w:t>
      </w:r>
      <w:r>
        <w:t xml:space="preserve"> </w:t>
      </w:r>
      <w:r>
        <w:t xml:space="preserve">(2003)</w:t>
      </w:r>
      <w:r>
        <w:t xml:space="preserve">   </w:t>
      </w:r>
      <w:r>
        <w:tab/>
      </w:r>
      <w:r>
        <w:t xml:space="preserve">28</w:t>
      </w:r>
    </w:p>
    <w:p>
      <w:pPr>
        <w:keepLines/>
        <w:tabs>
          <w:tab w:val="right" w:leader="dot" w:pos="7200"/>
        </w:tabs>
        <w:spacing w:before="252" w:after="0" w:line="322" w:lineRule="exact"/>
        <w:ind w:left="420" w:right="1120" w:hanging="420"/>
      </w:pPr>
      <w:r>
        <w:rPr>
          <w:i/>
          <w:iCs/>
        </w:rPr>
        <w:t xml:space="preserve">Washington</w:t>
      </w:r>
      <w:r>
        <w:rPr>
          <w:i/>
          <w:iCs/>
        </w:rPr>
        <w:t xml:space="preserve"> </w:t>
      </w:r>
      <w:r>
        <w:rPr>
          <w:i/>
          <w:iCs/>
        </w:rPr>
        <w:t xml:space="preserve">State</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Labor</w:t>
      </w:r>
      <w:r>
        <w:rPr>
          <w:i/>
          <w:iCs/>
        </w:rPr>
        <w:t xml:space="preserve"> </w:t>
      </w:r>
      <w:r>
        <w:rPr>
          <w:i/>
          <w:iCs/>
        </w:rPr>
        <w:t xml:space="preserve">&amp;</w:t>
      </w:r>
      <w:r>
        <w:rPr>
          <w:i/>
          <w:iCs/>
        </w:rPr>
        <w:t xml:space="preserve"> </w:t>
      </w:r>
      <w:r>
        <w:rPr>
          <w:i/>
          <w:iCs/>
        </w:rPr>
        <w:t xml:space="preserve">Indus.</w:t>
      </w:r>
      <w:r>
        <w:rPr>
          <w:i/>
          <w:iCs/>
        </w:rPr>
        <w:t xml:space="preserve"> </w:t>
      </w:r>
      <w:r>
        <w:rPr>
          <w:i/>
          <w:iCs/>
        </w:rPr>
        <w:t xml:space="preserve">v.</w:t>
      </w:r>
      <w:r>
        <w:rPr>
          <w:i/>
          <w:iCs/>
        </w:rPr>
        <w:t xml:space="preserve"> </w:t>
      </w:r>
      <w:r>
        <w:rPr>
          <w:i/>
          <w:iCs/>
        </w:rPr>
        <w:t xml:space="preserve">Davison</w:t>
      </w:r>
      <w:r>
        <w:t xml:space="preserve">,</w:t>
      </w:r>
      <w:r>
        <w:t xml:space="preserve"> </w:t>
      </w:r>
      <w:r>
        <w:t xml:space="preserve">126</w:t>
      </w:r>
      <w:r>
        <w:t xml:space="preserve"> </w:t>
      </w:r>
      <w:r>
        <w:t xml:space="preserve">Wn.</w:t>
      </w:r>
      <w:r>
        <w:t xml:space="preserve"> </w:t>
      </w:r>
      <w:r>
        <w:t xml:space="preserve">App.</w:t>
      </w:r>
      <w:r>
        <w:t xml:space="preserve"> </w:t>
      </w:r>
      <w:r>
        <w:t xml:space="preserve">730,</w:t>
      </w:r>
      <w:r>
        <w:t xml:space="preserve"> </w:t>
      </w:r>
      <w:r>
        <w:t xml:space="preserve">109</w:t>
      </w:r>
      <w:r>
        <w:t xml:space="preserve"> </w:t>
      </w:r>
      <w:r>
        <w:t xml:space="preserve">P.3d</w:t>
      </w:r>
      <w:r>
        <w:t xml:space="preserve"> </w:t>
      </w:r>
      <w:r>
        <w:t xml:space="preserve">479</w:t>
      </w:r>
      <w:r>
        <w:t xml:space="preserve"> </w:t>
      </w:r>
      <w:r>
        <w:t xml:space="preserve">(2005)</w:t>
      </w:r>
      <w:r>
        <w:t xml:space="preserve">   </w:t>
      </w:r>
      <w:r>
        <w:tab/>
      </w:r>
      <w:r>
        <w:t xml:space="preserve">12</w:t>
      </w:r>
    </w:p>
    <w:p>
      <w:pPr>
        <w:keepLines/>
        <w:tabs>
          <w:tab w:val="right" w:leader="dot" w:pos="7200"/>
        </w:tabs>
        <w:spacing w:before="252" w:after="0" w:line="322" w:lineRule="exact"/>
        <w:ind w:left="420" w:right="1540" w:hanging="420"/>
      </w:pPr>
      <w:r>
        <w:rPr>
          <w:i/>
          <w:iCs/>
        </w:rPr>
        <w:t xml:space="preserve">Webstad</w:t>
      </w:r>
      <w:r>
        <w:rPr>
          <w:i/>
          <w:iCs/>
        </w:rPr>
        <w:t xml:space="preserve"> </w:t>
      </w:r>
      <w:r>
        <w:rPr>
          <w:i/>
          <w:iCs/>
        </w:rPr>
        <w:t xml:space="preserve">v.</w:t>
      </w:r>
      <w:r>
        <w:rPr>
          <w:i/>
          <w:iCs/>
        </w:rPr>
        <w:t xml:space="preserve"> </w:t>
      </w:r>
      <w:r>
        <w:rPr>
          <w:i/>
          <w:iCs/>
        </w:rPr>
        <w:t xml:space="preserve">Stortini</w:t>
      </w:r>
      <w:r>
        <w:t xml:space="preserve">,</w:t>
      </w:r>
      <w:r>
        <w:t xml:space="preserve"> </w:t>
      </w:r>
      <w:r>
        <w:t xml:space="preserve">83</w:t>
      </w:r>
      <w:r>
        <w:t xml:space="preserve"> </w:t>
      </w:r>
      <w:r>
        <w:t xml:space="preserve">Wn.</w:t>
      </w:r>
      <w:r>
        <w:t xml:space="preserve"> </w:t>
      </w:r>
      <w:r>
        <w:t xml:space="preserve">App.</w:t>
      </w:r>
      <w:r>
        <w:t xml:space="preserve"> </w:t>
      </w:r>
      <w:r>
        <w:t xml:space="preserve">857,</w:t>
      </w:r>
      <w:r>
        <w:t xml:space="preserve"> </w:t>
      </w:r>
      <w:r>
        <w:t xml:space="preserve">924</w:t>
      </w:r>
      <w:r>
        <w:t xml:space="preserve"> </w:t>
      </w:r>
      <w:r>
        <w:t xml:space="preserve">P.2d</w:t>
      </w:r>
      <w:r>
        <w:t xml:space="preserve"> </w:t>
      </w:r>
      <w:r>
        <w:t xml:space="preserve">940</w:t>
      </w:r>
      <w:r>
        <w:t xml:space="preserve"> </w:t>
      </w:r>
      <w:r>
        <w:t xml:space="preserve">(1996)</w:t>
      </w:r>
      <w:r>
        <w:t xml:space="preserve">   </w:t>
      </w:r>
      <w:r>
        <w:tab/>
      </w:r>
      <w:r>
        <w:t xml:space="preserve">12, 13, 14, 15</w:t>
      </w:r>
    </w:p>
    <w:p>
      <w:pPr>
        <w:keepNext/>
        <w:keepLines/>
        <w:spacing w:before="336" w:after="56" w:line="322" w:lineRule="exact"/>
        <w:ind w:left="0" w:firstLine="0"/>
        <w:jc w:val="left"/>
      </w:pPr>
      <w:r>
        <w:rPr>
          <w:b/>
          <w:bCs/>
        </w:rPr>
        <w:t xml:space="preserve">Statutes</w:t>
      </w:r>
    </w:p>
    <w:p>
      <w:pPr>
        <w:keepLines/>
        <w:tabs>
          <w:tab w:val="right" w:leader="dot" w:pos="7200"/>
        </w:tabs>
        <w:spacing w:before="252" w:after="0" w:line="322" w:lineRule="exact"/>
        <w:ind w:left="420" w:right="1120" w:hanging="420"/>
      </w:pPr>
      <w:r>
        <w:t xml:space="preserve">Laws</w:t>
      </w:r>
      <w:r>
        <w:t xml:space="preserve"> </w:t>
      </w:r>
      <w:r>
        <w:t xml:space="preserve">of</w:t>
      </w:r>
      <w:r>
        <w:t xml:space="preserve"> </w:t>
      </w:r>
      <w:r>
        <w:t xml:space="preserve">1981,</w:t>
      </w:r>
      <w:r>
        <w:t xml:space="preserve"> </w:t>
      </w:r>
      <w:r>
        <w:t xml:space="preserve">ch.</w:t>
      </w:r>
      <w:r>
        <w:t xml:space="preserve"> </w:t>
      </w:r>
      <w:r>
        <w:t xml:space="preserve">27,</w:t>
      </w:r>
      <w:r>
        <w:t xml:space="preserve"> </w:t>
      </w:r>
      <w:r>
        <w:t xml:space="preserve">§</w:t>
      </w:r>
      <w:r>
        <w:t xml:space="preserve"> </w:t>
      </w:r>
      <w:r>
        <w:t xml:space="preserve">1</w:t>
      </w:r>
      <w:r>
        <w:t xml:space="preserve">   </w:t>
      </w:r>
      <w:r>
        <w:tab/>
      </w:r>
      <w:r>
        <w:t xml:space="preserve">17, 22</w:t>
      </w:r>
    </w:p>
    <w:p>
      <w:pPr>
        <w:keepLines/>
        <w:tabs>
          <w:tab w:val="right" w:leader="dot" w:pos="7200"/>
        </w:tabs>
        <w:spacing w:before="252" w:after="0" w:line="322" w:lineRule="exact"/>
        <w:ind w:left="420" w:right="1120" w:hanging="420"/>
      </w:pPr>
      <w:r>
        <w:t xml:space="preserve">RCW</w:t>
      </w:r>
      <w:r>
        <w:t xml:space="preserve"> </w:t>
      </w:r>
      <w:r>
        <w:t xml:space="preserve">7.72.010(4)</w:t>
      </w:r>
      <w:r>
        <w:t xml:space="preserve">   </w:t>
      </w:r>
      <w:r>
        <w:tab/>
      </w:r>
      <w:r>
        <w:t xml:space="preserve">18, 19</w:t>
      </w:r>
    </w:p>
    <w:p>
      <w:pPr>
        <w:keepLines/>
        <w:tabs>
          <w:tab w:val="right" w:leader="dot" w:pos="7200"/>
        </w:tabs>
        <w:spacing w:before="252" w:after="0" w:line="322" w:lineRule="exact"/>
        <w:ind w:left="420" w:right="1120" w:hanging="420"/>
      </w:pPr>
      <w:r>
        <w:t xml:space="preserve">RCW</w:t>
      </w:r>
      <w:r>
        <w:t xml:space="preserve"> </w:t>
      </w:r>
      <w:r>
        <w:t xml:space="preserve">7.72.030</w:t>
      </w:r>
      <w:r>
        <w:t xml:space="preserve">   </w:t>
      </w:r>
      <w:r>
        <w:tab/>
      </w:r>
      <w:r>
        <w:t xml:space="preserve">25, 28, 29</w:t>
      </w:r>
    </w:p>
    <w:p>
      <w:pPr>
        <w:keepLines/>
        <w:tabs>
          <w:tab w:val="right" w:leader="dot" w:pos="7200"/>
        </w:tabs>
        <w:spacing w:before="252" w:after="0" w:line="322" w:lineRule="exact"/>
        <w:ind w:left="420" w:right="1120" w:hanging="420"/>
      </w:pPr>
      <w:r>
        <w:t xml:space="preserve">RCW</w:t>
      </w:r>
      <w:r>
        <w:t xml:space="preserve"> </w:t>
      </w:r>
      <w:r>
        <w:t xml:space="preserve">7.72.040</w:t>
      </w:r>
      <w:r>
        <w:t xml:space="preserve">   </w:t>
      </w:r>
      <w:r>
        <w:tab/>
      </w:r>
      <w:r>
        <w:t xml:space="preserve">20, 21, 28</w:t>
      </w:r>
    </w:p>
    <w:p>
      <w:pPr>
        <w:keepLines/>
        <w:tabs>
          <w:tab w:val="right" w:leader="dot" w:pos="7200"/>
        </w:tabs>
        <w:spacing w:before="252" w:after="0" w:line="322" w:lineRule="exact"/>
        <w:ind w:left="420" w:right="1120" w:hanging="420"/>
      </w:pPr>
      <w:r>
        <w:t xml:space="preserve">RCW</w:t>
      </w:r>
      <w:r>
        <w:t xml:space="preserve"> </w:t>
      </w:r>
      <w:r>
        <w:t xml:space="preserve">9A.36.060</w:t>
      </w:r>
      <w:r>
        <w:t xml:space="preserve">   </w:t>
      </w:r>
      <w:r>
        <w:tab/>
      </w:r>
      <w:r>
        <w:t xml:space="preserve">14</w:t>
      </w:r>
    </w:p>
    <w:p>
      <w:pPr>
        <w:keepNext/>
        <w:keepLines/>
        <w:spacing w:before="336" w:after="56" w:line="322" w:lineRule="exact"/>
        <w:ind w:left="0" w:firstLine="0"/>
        <w:jc w:val="left"/>
      </w:pPr>
      <w:r>
        <w:rPr>
          <w:b/>
          <w:bCs/>
        </w:rPr>
        <w:t xml:space="preserve">Court</w:t>
      </w:r>
      <w:r>
        <w:rPr>
          <w:b/>
          <w:bCs/>
        </w:rPr>
        <w:t xml:space="preserve"> </w:t>
      </w:r>
      <w:r>
        <w:rPr>
          <w:b/>
          <w:bCs/>
        </w:rPr>
        <w:t xml:space="preserve">Rules</w:t>
      </w:r>
    </w:p>
    <w:p>
      <w:pPr>
        <w:keepLines/>
        <w:tabs>
          <w:tab w:val="right" w:leader="dot" w:pos="7200"/>
        </w:tabs>
        <w:spacing w:before="252" w:after="0" w:line="322" w:lineRule="exact"/>
        <w:ind w:left="420" w:right="3920" w:hanging="420"/>
      </w:pPr>
      <w:r>
        <w:t xml:space="preserve">RAP</w:t>
      </w:r>
      <w:r>
        <w:t xml:space="preserve"> </w:t>
      </w:r>
      <w:r>
        <w:t xml:space="preserve">2.3(b)</w:t>
      </w:r>
      <w:r>
        <w:t xml:space="preserve">   </w:t>
      </w:r>
      <w:r>
        <w:tab/>
      </w:r>
      <w:r>
        <w:t xml:space="preserve">1, 3, 4, 9, 11, 12, 16, 17, 23, 24, 30</w:t>
      </w:r>
    </w:p>
    <w:p>
      <w:pPr>
        <w:keepNext/>
        <w:keepLines/>
        <w:spacing w:before="336" w:after="56" w:line="322" w:lineRule="exact"/>
        <w:ind w:left="0" w:firstLine="0"/>
        <w:jc w:val="left"/>
      </w:pPr>
      <w:r>
        <w:rPr>
          <w:b/>
          <w:bCs/>
        </w:rPr>
        <w:t xml:space="preserve">Other</w:t>
      </w:r>
      <w:r>
        <w:rPr>
          <w:b/>
          <w:bCs/>
        </w:rPr>
        <w:t xml:space="preserve"> </w:t>
      </w:r>
      <w:r>
        <w:rPr>
          <w:b/>
          <w:bCs/>
        </w:rPr>
        <w:t xml:space="preserve">Authorities</w:t>
      </w:r>
    </w:p>
    <w:p>
      <w:pPr>
        <w:keepLines/>
        <w:tabs>
          <w:tab w:val="right" w:leader="dot" w:pos="7200"/>
        </w:tabs>
        <w:spacing w:before="252" w:after="0" w:line="322" w:lineRule="exact"/>
        <w:ind w:left="420" w:right="1120" w:hanging="420"/>
      </w:pPr>
      <w:r>
        <w:t xml:space="preserve">Black’s</w:t>
      </w:r>
      <w:r>
        <w:t xml:space="preserve"> </w:t>
      </w:r>
      <w:r>
        <w:t xml:space="preserve">Law</w:t>
      </w:r>
      <w:r>
        <w:t xml:space="preserve"> </w:t>
      </w:r>
      <w:r>
        <w:t xml:space="preserve">Dictionary</w:t>
      </w:r>
      <w:r>
        <w:t xml:space="preserve"> </w:t>
      </w:r>
      <w:r>
        <w:t xml:space="preserve">1161</w:t>
      </w:r>
      <w:r>
        <w:t xml:space="preserve"> </w:t>
      </w:r>
      <w:r>
        <w:t xml:space="preserve">(11th</w:t>
      </w:r>
      <w:r>
        <w:t xml:space="preserve"> </w:t>
      </w:r>
      <w:r>
        <w:t xml:space="preserve">ed.</w:t>
      </w:r>
      <w:r>
        <w:t xml:space="preserve"> </w:t>
      </w:r>
      <w:r>
        <w:t xml:space="preserve">2019)</w:t>
      </w:r>
      <w:r>
        <w:t xml:space="preserve">   </w:t>
      </w:r>
      <w:r>
        <w:tab/>
      </w:r>
      <w:r>
        <w:t xml:space="preserve">19</w:t>
      </w:r>
    </w:p>
    <w:p>
      <w:pPr>
        <w:spacing w:before="0" w:after="0" w:line="1" w:lineRule="exact"/>
        <w:sectPr>
          <w:footerReference w:type="default" r:id="rIdXdPage"/>
          <w:pgSz w:w="12240" w:h="15840"/>
          <w:pgMar w:top="2160" w:right="2160" w:bottom="2160" w:left="2880" w:header="720" w:footer="1190" w:gutter="0"/>
          <w:pgNumType w:fmt="lowerRoman" w:start="1"/>
        </w:sectPr>
      </w:pPr>
    </w:p>
    <w:p>
      <w:pPr>
        <w:keepNext/>
        <w:keepLines/>
        <w:spacing w:before="0" w:after="336" w:line="322" w:lineRule="exact"/>
        <w:ind w:left="0" w:firstLine="0"/>
        <w:jc w:val="center"/>
      </w:pPr>
      <w:r>
        <w:rPr>
          <w:b/>
          <w:bCs/>
        </w:rPr>
        <w:t xml:space="preserve">IDENTITY</w:t>
      </w:r>
      <w:r>
        <w:rPr>
          <w:b/>
          <w:bCs/>
        </w:rPr>
        <w:t xml:space="preserve"> </w:t>
      </w:r>
      <w:r>
        <w:rPr>
          <w:b/>
          <w:bCs/>
        </w:rPr>
        <w:t xml:space="preserve">OF</w:t>
      </w:r>
      <w:r>
        <w:rPr>
          <w:b/>
          <w:bCs/>
        </w:rPr>
        <w:t xml:space="preserve"> </w:t>
      </w:r>
      <w:r>
        <w:rPr>
          <w:b/>
          <w:bCs/>
        </w:rPr>
        <w:t xml:space="preserve">PETITIONER</w:t>
      </w:r>
    </w:p>
    <w:p>
      <w:pPr>
        <w:pStyle w:val="BodyText"/>
      </w:pPr>
      <w:r>
        <w:t xml:space="preserve">The moving party is defendant Amazon.com, Inc.</w:t>
      </w:r>
    </w:p>
    <w:p>
      <w:pPr>
        <w:keepNext/>
        <w:keepLines/>
        <w:spacing w:before="448" w:after="336" w:line="322" w:lineRule="exact"/>
        <w:ind w:left="0" w:firstLine="0"/>
        <w:jc w:val="center"/>
      </w:pPr>
      <w:r>
        <w:rPr>
          <w:b/>
          <w:bCs/>
        </w:rPr>
        <w:t xml:space="preserve">INTRODUCTION</w:t>
      </w:r>
      <w:r>
        <w:rPr>
          <w:b/>
          <w:bCs/>
        </w:rPr>
        <w:t xml:space="preserve"> </w:t>
      </w:r>
      <w:r>
        <w:rPr>
          <w:b/>
          <w:bCs/>
        </w:rPr>
        <w:t xml:space="preserve">AND</w:t>
      </w:r>
      <w:r>
        <w:rPr>
          <w:b/>
          <w:bCs/>
        </w:rPr>
        <w:t xml:space="preserve"> </w:t>
      </w:r>
      <w:r>
        <w:rPr>
          <w:b/>
          <w:bCs/>
        </w:rPr>
        <w:t xml:space="preserve">DECISION</w:t>
      </w:r>
      <w:r>
        <w:rPr>
          <w:b/>
          <w:bCs/>
        </w:rPr>
        <w:t xml:space="preserve"> </w:t>
      </w:r>
      <w:r>
        <w:rPr>
          <w:b/>
          <w:bCs/>
        </w:rPr>
        <w:t xml:space="preserve">BELOW</w:t>
      </w:r>
    </w:p>
    <w:p>
      <w:pPr>
        <w:pStyle w:val="BodyText"/>
      </w:pPr>
      <w:r>
        <w:t xml:space="preserve">Plaintiffs claim that Amazon is liable for the deaths of their sons, who committed suicide using sodium nitrite—a product that was (and still is) perfectly legal to sell in the United States—that they purchased on Amazon’s online store. Amazon seeks discretionary review of the trial court’s Order Denying Defendant’s CR12(b)⁠(6) Motion to Dismiss, dated December 30, 2022 (“Order”).</w:t>
      </w:r>
    </w:p>
    <w:p>
      <w:pPr>
        <w:pStyle w:val="BodyText"/>
      </w:pPr>
      <w:r>
        <w:t xml:space="preserve">The trial court denied Amazon’s motion to dismiss in its entirety and without explanation. In a hearing on Amazon’s motion to certify under RAP 2.3(b)⁠(4),</w:t>
      </w:r>
      <w:r>
        <w:t xml:space="preserve"> </w:t>
      </w:r>
      <w:r>
        <w:t xml:space="preserve">the court acknowledged that this is a quintessential case for discretionary review, and that nearly all of Plaintiffs’ claims are barred by Washington law. But the court denied the motion to certify because it did not agree with the specific questions in Amazon’s motion, which Amazon necessarily had to frame without the benefit of any reasoning behind the denial. The trial court was right in one respect: its order denying Amazon’s motion to dismiss is precisely the type of order that should be reviewed immediately by this Court.</w:t>
      </w:r>
    </w:p>
    <w:p>
      <w:pPr>
        <w:pStyle w:val="BodyText"/>
      </w:pPr>
      <w:r>
        <w:t xml:space="preserve">Washington law does not impose liability for selling a legal product that the purchaser intentionally misuses to commit suicide. As this Court has held, Washington law “requires a showing that the injury-causing product was defective before liability can be imposed” on a seller.</w:t>
      </w:r>
      <w:r>
        <w:t xml:space="preserve"> </w:t>
      </w:r>
      <w:r>
        <w:rPr>
          <w:i/>
          <w:iCs/>
        </w:rPr>
        <w:t xml:space="preserve">Knott</w:t>
      </w:r>
      <w:r>
        <w:rPr>
          <w:i/>
          <w:iCs/>
        </w:rPr>
        <w:t xml:space="preserve"> </w:t>
      </w:r>
      <w:r>
        <w:rPr>
          <w:i/>
          <w:iCs/>
        </w:rPr>
        <w:t xml:space="preserve">v. Liberty Jewelry &amp; Loan, Inc.</w:t>
      </w:r>
      <w:r>
        <w:t xml:space="preserve">, 50 Wn. App. 267, 276, 748 P.2d 661 (1988). And the product here was not defective. The label adequately warned purchasers against the risk of ingesting sodium nitrite, and the risks of ingestion were so obvious that that there was not even a duty to warn users against it.</w:t>
      </w:r>
    </w:p>
    <w:p>
      <w:pPr>
        <w:pStyle w:val="BodyText"/>
      </w:pPr>
      <w:r>
        <w:t xml:space="preserve">That principle should have disposed of this case. Yet the trial court denied Amazon’s motion to dismiss entirely, permitting Plaintiffs to proceed on a host of negligence and strict-liability claims under the common law and the Washington Product Liability Act (“WPLA”). In doing so, the trial court committed errors of law that warrant discretionary review under RAP 2.3(b)⁠(1)</w:t>
      </w:r>
      <w:r>
        <w:t xml:space="preserve"> </w:t>
      </w:r>
      <w:r>
        <w:t xml:space="preserve">and (3). Immediate review would be especially appropriate given that the WPLA’s primary purposes are “delimiting the substantive liabilities of manufacturers and product sellers” and reducing “uncertainty in tort litigation.”</w:t>
      </w:r>
      <w:r>
        <w:t xml:space="preserve"> </w:t>
      </w:r>
      <w:r>
        <w:rPr>
          <w:i/>
          <w:iCs/>
        </w:rPr>
        <w:t xml:space="preserve">Wash. Water Power Co. v. Graybar</w:t>
      </w:r>
      <w:r>
        <w:rPr>
          <w:i/>
          <w:iCs/>
        </w:rPr>
        <w:t xml:space="preserve"> </w:t>
      </w:r>
      <w:r>
        <w:rPr>
          <w:i/>
          <w:iCs/>
        </w:rPr>
        <w:t xml:space="preserve">Elec. Co.</w:t>
      </w:r>
      <w:r>
        <w:t xml:space="preserve">, 112 Wn.2d 847, 851, 774 P.2d 1199 (1989). Discovery has not yet begun. So review would prevent the needless expense and effort of pretrial litigation on meritless claims. Doing so would be consistent with “the intent of the legislature” in passing the WPLA, which was to reduce “unwarranted exposure to product liability litigation” and the “costs” that result.</w:t>
      </w:r>
      <w:r>
        <w:t xml:space="preserve"> </w:t>
      </w:r>
      <w:r>
        <w:rPr>
          <w:i/>
          <w:iCs/>
        </w:rPr>
        <w:t xml:space="preserve">Brewer</w:t>
      </w:r>
      <w:r>
        <w:rPr>
          <w:i/>
          <w:iCs/>
        </w:rPr>
        <w:t xml:space="preserve"> </w:t>
      </w:r>
      <w:r>
        <w:rPr>
          <w:i/>
          <w:iCs/>
        </w:rPr>
        <w:t xml:space="preserve">v. Fibreboard Corp.</w:t>
      </w:r>
      <w:r>
        <w:t xml:space="preserve">, 127 Wn.2d 512, 521, 901 P.2d 297 (1995).</w:t>
      </w:r>
    </w:p>
    <w:p>
      <w:pPr>
        <w:keepNext/>
        <w:keepLines/>
        <w:spacing w:before="448" w:after="336" w:line="322" w:lineRule="exact"/>
        <w:ind w:left="0" w:firstLine="0"/>
        <w:jc w:val="center"/>
      </w:pPr>
      <w:r>
        <w:rPr>
          <w:b/>
          <w:bCs/>
        </w:rPr>
        <w:t xml:space="preserve">ISSUES</w:t>
      </w:r>
      <w:r>
        <w:rPr>
          <w:b/>
          <w:bCs/>
        </w:rPr>
        <w:t xml:space="preserve"> </w:t>
      </w:r>
      <w:r>
        <w:rPr>
          <w:b/>
          <w:bCs/>
        </w:rPr>
        <w:t xml:space="preserve">PRESENTED</w:t>
      </w:r>
      <w:r>
        <w:rPr>
          <w:b/>
          <w:bCs/>
        </w:rPr>
        <w:t xml:space="preserve"> </w:t>
      </w:r>
      <w:r>
        <w:rPr>
          <w:b/>
          <w:bCs/>
        </w:rPr>
        <w:t xml:space="preserve">FOR</w:t>
      </w:r>
      <w:r>
        <w:rPr>
          <w:b/>
          <w:bCs/>
        </w:rPr>
        <w:t xml:space="preserve"> </w:t>
      </w:r>
      <w:r>
        <w:rPr>
          <w:b/>
          <w:bCs/>
        </w:rPr>
        <w:t xml:space="preserve">REVIEW</w:t>
      </w:r>
    </w:p>
    <w:p>
      <w:pPr>
        <w:pStyle w:val="BodyText"/>
      </w:pPr>
      <w:r>
        <w:t xml:space="preserve">1. Whether Washington law imposes a duty on manufacturers and sellers to account for purchasers using their products as a means to commit suicide.</w:t>
      </w:r>
      <w:r>
        <w:t xml:space="preserve"> </w:t>
      </w:r>
      <w:r>
        <w:rPr>
          <w:i/>
          <w:iCs/>
        </w:rPr>
        <w:t xml:space="preserve">See</w:t>
      </w:r>
      <w:r>
        <w:t xml:space="preserve"> </w:t>
      </w:r>
      <w:r>
        <w:t xml:space="preserve">RAP 2.3(b)⁠(1)</w:t>
      </w:r>
      <w:r>
        <w:t xml:space="preserve"> </w:t>
      </w:r>
      <w:r>
        <w:t xml:space="preserve">and (3).</w:t>
      </w:r>
    </w:p>
    <w:p>
      <w:pPr>
        <w:pStyle w:val="BodyText"/>
      </w:pPr>
      <w:r>
        <w:t xml:space="preserve">2. Whether the WPLA’s provisions on manufacturer and seller liability support a claim for relief where the product user intentionally ingested an industrial-grade chemical in disregard of the warnings on its label.</w:t>
      </w:r>
      <w:r>
        <w:t xml:space="preserve"> </w:t>
      </w:r>
      <w:r>
        <w:rPr>
          <w:i/>
          <w:iCs/>
        </w:rPr>
        <w:t xml:space="preserve">See</w:t>
      </w:r>
      <w:r>
        <w:t xml:space="preserve"> </w:t>
      </w:r>
      <w:r>
        <w:t xml:space="preserve">RAP 2.3(b)⁠(1)</w:t>
      </w:r>
      <w:r>
        <w:t xml:space="preserve"> </w:t>
      </w:r>
      <w:r>
        <w:t xml:space="preserve">and (3).</w:t>
      </w:r>
    </w:p>
    <w:p>
      <w:pPr>
        <w:keepNext/>
        <w:keepLines/>
        <w:spacing w:before="448"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keepNext/>
        <w:keepLines/>
        <w:spacing w:before="336" w:after="224" w:line="322" w:lineRule="exact"/>
        <w:ind w:left="720" w:hanging="720"/>
        <w:jc w:val="left"/>
      </w:pPr>
      <w:r>
        <w:rPr>
          <w:b/>
          <w:bCs/>
        </w:rPr>
        <w:t xml:space="preserve">A.</w:t>
      </w:r>
      <w:r>
        <w:rPr>
          <w:b/>
          <w:bCs/>
        </w:rPr>
        <w:t xml:space="preserve"> </w:t>
      </w:r>
      <w:r>
        <w:rPr>
          <w:b/>
          <w:bCs/>
        </w:rPr>
        <w:t xml:space="preserve">Background</w:t>
      </w:r>
    </w:p>
    <w:p>
      <w:pPr>
        <w:pStyle w:val="BodyText"/>
      </w:pPr>
      <w:r>
        <w:t xml:space="preserve">This case arises from the purchases of two bottles of sodium nitrite manufactured by HiMedia Laboratories and sold by Amazon. App.102, 113, 119. The bottles’ label contains clear and unambiguous warnings about the danger of swallowing sodium nitrite.</w:t>
      </w:r>
      <w:r>
        <w:t xml:space="preserve"> </w:t>
      </w:r>
      <w:r>
        <w:rPr>
          <w:i/>
          <w:iCs/>
        </w:rPr>
        <w:t xml:space="preserve">See</w:t>
      </w:r>
      <w:r>
        <w:t xml:space="preserve"> </w:t>
      </w:r>
      <w:r>
        <w:t xml:space="preserve">App.104, 121. That label, which is pictured in the First Amended Complaint, contains: a skull-and-crossbones symbol, a bolded “Danger” heading, and the warnings “Toxic if swallowed” and “IF SWALLOWED: Immediately call a POISON CENTER or doctor/​physician.” App.104. The label also says, “For use of institutional or industrial consumers. Not for drug, household or other use.” App.040.</w:t>
      </w:r>
    </w:p>
    <w:p>
      <w:pPr>
        <w:pStyle w:val="BodyText"/>
      </w:pPr>
      <w:r>
        <w:t xml:space="preserve">Mikael purchased a bottle of HiMedia sodium nitrite in December 2020 after researching suicide methods on a website called Sanctioned Suicide. App.110</w:t>
      </w:r>
      <w:r>
        <w:noBreakHyphen/>
      </w:r>
      <w:r>
        <w:t xml:space="preserve">117. He also bought a digital scale from a third-party seller on Amazon. App.096. The two items were delivered separately, as the Complaint shows in a picture of “the receipt Ruth found on Mikael’s phone.” App.114. Several days after receiving the sodium nitrite, Mikael mixed the sodium nitrite with water and swallowed a large dose. App.113</w:t>
      </w:r>
      <w:r>
        <w:noBreakHyphen/>
      </w:r>
      <w:r>
        <w:t xml:space="preserve">117. Mikael did not call a poison control center or a doctor.</w:t>
      </w:r>
      <w:r>
        <w:t xml:space="preserve"> </w:t>
      </w:r>
      <w:r>
        <w:rPr>
          <w:i/>
          <w:iCs/>
        </w:rPr>
        <w:t xml:space="preserve">Id.</w:t>
      </w:r>
      <w:r>
        <w:t xml:space="preserve"> </w:t>
      </w:r>
      <w:r>
        <w:t xml:space="preserve">He did text his mother, saying he felt ill and was vomiting, but told her she didn’t need to come home. App.114</w:t>
      </w:r>
      <w:r>
        <w:noBreakHyphen/>
      </w:r>
      <w:r>
        <w:t xml:space="preserve">115. Ruth found his body the next morning. App.115.</w:t>
      </w:r>
    </w:p>
    <w:p>
      <w:pPr>
        <w:pStyle w:val="BodyText"/>
      </w:pPr>
      <w:r>
        <w:t xml:space="preserve">Tyler bought a bottle of sodium nitrite in May 2021, along with a package of Tagamet Acid Reducer. App.119. The sodium nitrite and acid reducer were shipped separately.</w:t>
      </w:r>
      <w:r>
        <w:t xml:space="preserve"> </w:t>
      </w:r>
      <w:r>
        <w:rPr>
          <w:i/>
          <w:iCs/>
        </w:rPr>
        <w:t xml:space="preserve">See</w:t>
      </w:r>
      <w:r>
        <w:t xml:space="preserve"> </w:t>
      </w:r>
      <w:r>
        <w:t xml:space="preserve">App.120. Tyler ingested a fatal dose of sodium nitrite the next day.</w:t>
      </w:r>
      <w:r>
        <w:t xml:space="preserve"> </w:t>
      </w:r>
      <w:r>
        <w:rPr>
          <w:i/>
          <w:iCs/>
        </w:rPr>
        <w:t xml:space="preserve">Id.</w:t>
      </w:r>
      <w:r>
        <w:t xml:space="preserve"> </w:t>
      </w:r>
      <w:r>
        <w:t xml:space="preserve">Like Mikael, he did not call a poison center or a doctor. Although County officials “ruled Tyler’s death a suicide by Sodium Nitrite,” App.121, Plaintiffs allege he may have been “experimenting” with sodium nitrite with “no true intent to die,” App.125.</w:t>
      </w:r>
    </w:p>
    <w:p>
      <w:pPr>
        <w:keepNext/>
        <w:keepLines/>
        <w:spacing w:before="336" w:after="224" w:line="322" w:lineRule="exact"/>
        <w:ind w:left="720" w:hanging="720"/>
        <w:jc w:val="left"/>
      </w:pPr>
      <w:r>
        <w:rPr>
          <w:b/>
          <w:bCs/>
        </w:rPr>
        <w:t xml:space="preserve">B.</w:t>
      </w:r>
      <w:r>
        <w:rPr>
          <w:b/>
          <w:bCs/>
        </w:rPr>
        <w:t xml:space="preserve"> </w:t>
      </w:r>
      <w:r>
        <w:rPr>
          <w:b/>
          <w:bCs/>
        </w:rPr>
        <w:t xml:space="preserve">Procedural</w:t>
      </w:r>
      <w:r>
        <w:rPr>
          <w:b/>
          <w:bCs/>
        </w:rPr>
        <w:t xml:space="preserve"> </w:t>
      </w:r>
      <w:r>
        <w:rPr>
          <w:b/>
          <w:bCs/>
        </w:rPr>
        <w:t xml:space="preserve">history</w:t>
      </w:r>
    </w:p>
    <w:p>
      <w:pPr>
        <w:pStyle w:val="BodyText"/>
      </w:pPr>
      <w:r>
        <w:t xml:space="preserve">Ruth Scott filed the Original Complaint in February 2022 on behalf of her herself and Mikael’s estate.</w:t>
      </w:r>
      <w:r>
        <w:t xml:space="preserve"> </w:t>
      </w:r>
      <w:r>
        <w:rPr>
          <w:i/>
          <w:iCs/>
        </w:rPr>
        <w:t xml:space="preserve">See</w:t>
      </w:r>
      <w:r>
        <w:t xml:space="preserve"> </w:t>
      </w:r>
      <w:r>
        <w:t xml:space="preserve">App.001</w:t>
      </w:r>
      <w:r>
        <w:noBreakHyphen/>
      </w:r>
      <w:r>
        <w:t xml:space="preserve">28. She brought claims against Amazon under the WPLA and for negligent infliction of emotional distress.</w:t>
      </w:r>
      <w:r>
        <w:t xml:space="preserve"> </w:t>
      </w:r>
      <w:r>
        <w:rPr>
          <w:i/>
          <w:iCs/>
        </w:rPr>
        <w:t xml:space="preserve">See</w:t>
      </w:r>
      <w:r>
        <w:t xml:space="preserve"> </w:t>
      </w:r>
      <w:r>
        <w:t xml:space="preserve">App.025</w:t>
      </w:r>
      <w:r>
        <w:noBreakHyphen/>
      </w:r>
      <w:r>
        <w:t xml:space="preserve">26. After Amazon moved to dismiss, the trial court granted leave to amend to not only add a common-law negligence claim, and but also join Tyler’s parents and estate as additional plaintiffs. App.029</w:t>
      </w:r>
      <w:r>
        <w:noBreakHyphen/>
      </w:r>
      <w:r>
        <w:t xml:space="preserve">57; 092</w:t>
      </w:r>
      <w:r>
        <w:noBreakHyphen/>
      </w:r>
      <w:r>
        <w:t xml:space="preserve">93.</w:t>
      </w:r>
    </w:p>
    <w:p>
      <w:pPr>
        <w:pStyle w:val="BodyText"/>
      </w:pPr>
      <w:r>
        <w:t xml:space="preserve">The First Amended Complaint brings three claims against Amazon. Count I alleges negligence and strict-liability under the WPLA, Count II alleges common-law negligence, and Count III alleges negligent infliction of distress. App.126</w:t>
      </w:r>
      <w:r>
        <w:noBreakHyphen/>
      </w:r>
      <w:r>
        <w:t xml:space="preserve">128. The Complaint accuses Amazon of—among other things—“bundling” “HiMedia Sodium Nitrite” with other “items recommended by Sanctioned Suicide’s website to be used in conjunction with Sodium Nitrite” for suicide. App.109. Those items recommended by Sanctioned Suicide include “scales” to measure dosage and “acid-reducers” (such as Tagamet) to prevent vomiting. App.095, 122. The Complaint also accuses Amazon of “recommending” that customers purchase those items. App.109. The screen images included in the Complaint show that the “bundling” and “recommending” to which Plaintiffs are referring are the automated “Customers who viewed this item also viewed’ and “Frequently bought together” widgets, which simply reflect browsing patterns of other users rather than recommendations by Amazon. App.105.</w:t>
      </w:r>
    </w:p>
    <w:p>
      <w:pPr>
        <w:pStyle w:val="BodyText"/>
      </w:pPr>
      <w:r>
        <w:t xml:space="preserve">The Complaint also frequently references “the Peaceful Pill Handbook,” a book on assisted suicide and voluntary euthanasia written by two Australians.</w:t>
      </w:r>
      <w:r>
        <w:t xml:space="preserve"> </w:t>
      </w:r>
      <w:r>
        <w:rPr>
          <w:i/>
          <w:iCs/>
        </w:rPr>
        <w:t xml:space="preserve">See</w:t>
      </w:r>
      <w:r>
        <w:t xml:space="preserve"> </w:t>
      </w:r>
      <w:r>
        <w:t xml:space="preserve">App.095, 105</w:t>
      </w:r>
      <w:r>
        <w:noBreakHyphen/>
      </w:r>
      <w:r>
        <w:t xml:space="preserve">106. Plaintiffs do not and cannot allege that either Mikael or Tyler purchased this book.</w:t>
      </w:r>
      <w:r>
        <w:t xml:space="preserve"> </w:t>
      </w:r>
      <w:r>
        <w:rPr>
          <w:i/>
          <w:iCs/>
        </w:rPr>
        <w:t xml:space="preserve">See generally</w:t>
      </w:r>
      <w:r>
        <w:t xml:space="preserve"> </w:t>
      </w:r>
      <w:r>
        <w:t xml:space="preserve">App.094</w:t>
      </w:r>
      <w:r>
        <w:noBreakHyphen/>
      </w:r>
      <w:r>
        <w:t xml:space="preserve">130. To the contrary, Plaintiffs allege that Mikael got the inspiration to use sodium nitrite to commit suicide from the Sanctioned Suicide website—which has nothing to do with Amazon—not a book sold on Amazon. App.035.</w:t>
      </w:r>
    </w:p>
    <w:p>
      <w:pPr>
        <w:pStyle w:val="BodyText"/>
      </w:pPr>
      <w:r>
        <w:t xml:space="preserve">Amazon again moved to dismiss Plaintiffs’ claims. App.131</w:t>
      </w:r>
      <w:r>
        <w:noBreakHyphen/>
      </w:r>
      <w:r>
        <w:t xml:space="preserve">156. After deliberating for six months, the trial court denied Amazon’s motion entirely. App.186</w:t>
      </w:r>
      <w:r>
        <w:noBreakHyphen/>
      </w:r>
      <w:r>
        <w:t xml:space="preserve">187. It did so in a two-page order without an accompanying opinion.</w:t>
      </w:r>
      <w:r>
        <w:t xml:space="preserve"> </w:t>
      </w:r>
      <w:r>
        <w:rPr>
          <w:i/>
          <w:iCs/>
        </w:rPr>
        <w:t xml:space="preserve">Id.</w:t>
      </w:r>
      <w:r>
        <w:t xml:space="preserve"> </w:t>
      </w:r>
      <w:r>
        <w:t xml:space="preserve">Amazon filed a notice of discretionary review and a motion for RAP 2.3(b)⁠(4)</w:t>
      </w:r>
      <w:r>
        <w:t xml:space="preserve"> </w:t>
      </w:r>
      <w:r>
        <w:t xml:space="preserve">certification with the trial court. App.189</w:t>
      </w:r>
      <w:r>
        <w:noBreakHyphen/>
      </w:r>
      <w:r>
        <w:t xml:space="preserve">199. The trial court held a hearing on Amazon’s motion on February 3, 2023, and explained, for the first time, the reasons for denying the motion.</w:t>
      </w:r>
      <w:r>
        <w:t xml:space="preserve"> </w:t>
      </w:r>
      <w:r>
        <w:rPr>
          <w:i/>
          <w:iCs/>
        </w:rPr>
        <w:t xml:space="preserve">See</w:t>
      </w:r>
      <w:r>
        <w:t xml:space="preserve"> </w:t>
      </w:r>
      <w:r>
        <w:t xml:space="preserve">App.226</w:t>
      </w:r>
      <w:r>
        <w:noBreakHyphen/>
      </w:r>
      <w:r>
        <w:t xml:space="preserve">272. It explained that “85” or “90 percent” of the Complaint—particularly the claims based on the “label warning and whether you can sell a product”—are not legally viable and subject to dismissal. App.233, 242. But it denied Amazon’s motion in its entirety because Amazon requested dismissal of “the whole complaint” without requesting seriatim dismissal of particular claims in the alternative. App.231. The court explained “that there’s a narrow part of th[e] complaint that survives a motion to dismiss.” App.234. That “thread,” which the court estimated was about “five percent” of the Complaint, involved the alleged “bundling” of additional products with sodium nitrite and the “promotion of the suicide books.” App.232, 234, 242. The court explained that, while this is “an appropriate case for … discretionary review,” and it was “willing to certify something,” the “two questions” articulated in Amazon’s motion for certification were “not my questions.” App.232, 236, 262, 264. The trial court therefore denied Amazon’s motion, without certifying its own questions. App.263, 273.</w:t>
      </w:r>
    </w:p>
    <w:p>
      <w:pPr>
        <w:pStyle w:val="BodyText"/>
      </w:pPr>
      <w:r>
        <w:t xml:space="preserve">This case is currently set for trial in April 2024. App.276. Amazon answered the Amended Complaint on January 31, 2023. App.278</w:t>
      </w:r>
      <w:r>
        <w:noBreakHyphen/>
      </w:r>
      <w:r>
        <w:t xml:space="preserve">298. The parties have not engaged in any discovery or pretrial litigation beyond the motions described above, and the trial court indicated it would view favorably a motion to stay proceedings pending this Court’s decision on discretionary review. App.269</w:t>
      </w:r>
      <w:r>
        <w:noBreakHyphen/>
      </w:r>
      <w:r>
        <w:t xml:space="preserve">270.</w:t>
      </w:r>
    </w:p>
    <w:p>
      <w:pPr>
        <w:keepNext/>
        <w:keepLines/>
        <w:spacing w:before="448" w:after="336" w:line="322" w:lineRule="exact"/>
        <w:ind w:left="0" w:firstLine="0"/>
        <w:jc w:val="center"/>
      </w:pPr>
      <w:r>
        <w:rPr>
          <w:b/>
          <w:bCs/>
        </w:rPr>
        <w:t xml:space="preserve">ARGUMENT</w:t>
      </w:r>
    </w:p>
    <w:p>
      <w:pPr>
        <w:pStyle w:val="BodyText"/>
      </w:pPr>
      <w:r>
        <w:t xml:space="preserve">Discretionary review of the trial court’s order is warranted. The trial court itself acknowledged that its order allows Plaintiffs to proceed on legally meritless claims. App.242, 254. What’s more, the trial court acknowledged that its sole basis for denying the motion involves a question of law that it would be “appropriate” to resolve through discretionary review. App.264. This Court should do so, as review is necessary under RAP 2.3(b)⁠(1)</w:t>
      </w:r>
      <w:r>
        <w:t xml:space="preserve"> </w:t>
      </w:r>
      <w:r>
        <w:t xml:space="preserve">and (3).</w:t>
      </w:r>
    </w:p>
    <w:p>
      <w:pPr>
        <w:keepNext/>
        <w:keepLines/>
        <w:spacing w:before="336" w:after="224" w:line="322" w:lineRule="exact"/>
        <w:ind w:left="720" w:hanging="720"/>
        <w:jc w:val="left"/>
      </w:pPr>
      <w:r>
        <w:rPr>
          <w:b/>
          <w:bCs/>
        </w:rPr>
        <w:t xml:space="preserve">A.</w:t>
      </w:r>
      <w:r>
        <w:rPr>
          <w:b/>
          <w:bCs/>
        </w:rPr>
        <w:t xml:space="preserve"> </w:t>
      </w:r>
      <w:r>
        <w:rPr>
          <w:b/>
          <w:bCs/>
        </w:rPr>
        <w:t xml:space="preserve">Permitting</w:t>
      </w:r>
      <w:r>
        <w:rPr>
          <w:b/>
          <w:bCs/>
        </w:rPr>
        <w:t xml:space="preserve"> </w:t>
      </w:r>
      <w:r>
        <w:rPr>
          <w:b/>
          <w:bCs/>
        </w:rPr>
        <w:t xml:space="preserve">Plaintiffs</w:t>
      </w:r>
      <w:r>
        <w:rPr>
          <w:b/>
          <w:bCs/>
        </w:rPr>
        <w:t xml:space="preserve"> </w:t>
      </w:r>
      <w:r>
        <w:rPr>
          <w:b/>
          <w:bCs/>
        </w:rPr>
        <w:t xml:space="preserve">to</w:t>
      </w:r>
      <w:r>
        <w:rPr>
          <w:b/>
          <w:bCs/>
        </w:rPr>
        <w:t xml:space="preserve"> </w:t>
      </w:r>
      <w:r>
        <w:rPr>
          <w:b/>
          <w:bCs/>
        </w:rPr>
        <w:t xml:space="preserve">proceed</w:t>
      </w:r>
      <w:r>
        <w:rPr>
          <w:b/>
          <w:bCs/>
        </w:rPr>
        <w:t xml:space="preserve"> </w:t>
      </w:r>
      <w:r>
        <w:rPr>
          <w:b/>
          <w:bCs/>
        </w:rPr>
        <w:t xml:space="preserve">on</w:t>
      </w:r>
      <w:r>
        <w:rPr>
          <w:b/>
          <w:bCs/>
        </w:rPr>
        <w:t xml:space="preserve"> </w:t>
      </w:r>
      <w:r>
        <w:rPr>
          <w:b/>
          <w:bCs/>
        </w:rPr>
        <w:t xml:space="preserve">their</w:t>
      </w:r>
      <w:r>
        <w:rPr>
          <w:b/>
          <w:bCs/>
        </w:rPr>
        <w:t xml:space="preserve"> </w:t>
      </w:r>
      <w:r>
        <w:rPr>
          <w:b/>
          <w:bCs/>
        </w:rPr>
        <w:t xml:space="preserve">negligence-based</w:t>
      </w:r>
      <w:r>
        <w:rPr>
          <w:b/>
          <w:bCs/>
        </w:rPr>
        <w:t xml:space="preserve"> </w:t>
      </w:r>
      <w:r>
        <w:rPr>
          <w:b/>
          <w:bCs/>
        </w:rPr>
        <w:t xml:space="preserve">claims</w:t>
      </w:r>
      <w:r>
        <w:rPr>
          <w:b/>
          <w:bCs/>
        </w:rPr>
        <w:t xml:space="preserve"> </w:t>
      </w:r>
      <w:r>
        <w:rPr>
          <w:b/>
          <w:bCs/>
        </w:rPr>
        <w:t xml:space="preserve">contradicts</w:t>
      </w:r>
      <w:r>
        <w:rPr>
          <w:b/>
          <w:bCs/>
        </w:rPr>
        <w:t xml:space="preserve"> </w:t>
      </w:r>
      <w:r>
        <w:rPr>
          <w:b/>
          <w:bCs/>
        </w:rPr>
        <w:t xml:space="preserve">binding</w:t>
      </w:r>
      <w:r>
        <w:rPr>
          <w:b/>
          <w:bCs/>
        </w:rPr>
        <w:t xml:space="preserve"> </w:t>
      </w:r>
      <w:r>
        <w:rPr>
          <w:b/>
          <w:bCs/>
        </w:rPr>
        <w:t xml:space="preserve">precedent</w:t>
      </w:r>
      <w:r>
        <w:rPr>
          <w:b/>
          <w:bCs/>
        </w:rPr>
        <w:t xml:space="preserve"> </w:t>
      </w:r>
      <w:r>
        <w:rPr>
          <w:b/>
          <w:bCs/>
        </w:rPr>
        <w:t xml:space="preserve">and</w:t>
      </w:r>
      <w:r>
        <w:rPr>
          <w:b/>
          <w:bCs/>
        </w:rPr>
        <w:t xml:space="preserve"> </w:t>
      </w:r>
      <w:r>
        <w:rPr>
          <w:b/>
          <w:bCs/>
        </w:rPr>
        <w:t xml:space="preserve">contravenes</w:t>
      </w:r>
      <w:r>
        <w:rPr>
          <w:b/>
          <w:bCs/>
        </w:rPr>
        <w:t xml:space="preserve"> </w:t>
      </w:r>
      <w:r>
        <w:rPr>
          <w:b/>
          <w:bCs/>
        </w:rPr>
        <w:t xml:space="preserve">the</w:t>
      </w:r>
      <w:r>
        <w:rPr>
          <w:b/>
          <w:bCs/>
        </w:rPr>
        <w:t xml:space="preserve"> </w:t>
      </w:r>
      <w:r>
        <w:rPr>
          <w:b/>
          <w:bCs/>
        </w:rPr>
        <w:t xml:space="preserve">WPLA.</w:t>
      </w:r>
    </w:p>
    <w:p>
      <w:pPr>
        <w:pStyle w:val="BodyText"/>
      </w:pPr>
      <w:r>
        <w:t xml:space="preserve">The Order permits Plaintiffs to proceed on their negligence-based claims against Amazon: Count I’s WPLA seller-negligence claim,</w:t>
      </w:r>
      <w:r>
        <w:t xml:space="preserve"> </w:t>
      </w:r>
      <w:r>
        <w:rPr>
          <w:i/>
          <w:iCs/>
        </w:rPr>
        <w:t xml:space="preserve">see</w:t>
      </w:r>
      <w:r>
        <w:t xml:space="preserve"> </w:t>
      </w:r>
      <w:r>
        <w:t xml:space="preserve">App.127</w:t>
      </w:r>
      <w:r>
        <w:noBreakHyphen/>
      </w:r>
      <w:r>
        <w:t xml:space="preserve">128 ¶ 175; Count II’s common-law negligence claim, App.128 ¶¶ 177-⁠79; and Count III’s negligent-infliction-of-emotional-distress claim,</w:t>
      </w:r>
      <w:r>
        <w:t xml:space="preserve"> </w:t>
      </w:r>
      <w:r>
        <w:rPr>
          <w:i/>
          <w:iCs/>
        </w:rPr>
        <w:t xml:space="preserve">id.</w:t>
      </w:r>
      <w:r>
        <w:t xml:space="preserve"> </w:t>
      </w:r>
      <w:r>
        <w:t xml:space="preserve">¶¶ 180-⁠82. All of these claims are premised on the notion that Amazon had a duty of care to account for purchasers using products bought on Amazon to commit suicide. That theory is foreclosed by precedent and the WPLA.</w:t>
      </w:r>
    </w:p>
    <w:p>
      <w:pPr>
        <w:keepNext/>
        <w:keepLines/>
        <w:spacing w:before="280" w:after="224" w:line="322" w:lineRule="exact"/>
        <w:ind w:left="1080" w:hanging="720"/>
        <w:jc w:val="left"/>
      </w:pPr>
      <w:r>
        <w:rPr>
          <w:b/>
          <w:bCs/>
        </w:rPr>
        <w:t xml:space="preserve">1.</w:t>
      </w:r>
      <w:r>
        <w:rPr>
          <w:b/>
          <w:bCs/>
        </w:rPr>
        <w:t xml:space="preserve"> </w:t>
      </w:r>
      <w:r>
        <w:rPr>
          <w:b/>
          <w:bCs/>
        </w:rPr>
        <w:t xml:space="preserve">Plaintiffs’</w:t>
      </w:r>
      <w:r>
        <w:rPr>
          <w:b/>
          <w:bCs/>
        </w:rPr>
        <w:t xml:space="preserve"> </w:t>
      </w:r>
      <w:r>
        <w:rPr>
          <w:b/>
          <w:bCs/>
        </w:rPr>
        <w:t xml:space="preserve">negligence-based</w:t>
      </w:r>
      <w:r>
        <w:rPr>
          <w:b/>
          <w:bCs/>
        </w:rPr>
        <w:t xml:space="preserve"> </w:t>
      </w:r>
      <w:r>
        <w:rPr>
          <w:b/>
          <w:bCs/>
        </w:rPr>
        <w:t xml:space="preserve">claims</w:t>
      </w:r>
      <w:r>
        <w:rPr>
          <w:b/>
          <w:bCs/>
        </w:rPr>
        <w:t xml:space="preserve"> </w:t>
      </w:r>
      <w:r>
        <w:rPr>
          <w:b/>
          <w:bCs/>
        </w:rPr>
        <w:t xml:space="preserve">are</w:t>
      </w:r>
      <w:r>
        <w:rPr>
          <w:b/>
          <w:bCs/>
        </w:rPr>
        <w:t xml:space="preserve"> </w:t>
      </w:r>
      <w:r>
        <w:rPr>
          <w:b/>
          <w:bCs/>
        </w:rPr>
        <w:t xml:space="preserve">foreclosed</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decisions</w:t>
      </w:r>
      <w:r>
        <w:rPr>
          <w:b/>
          <w:bCs/>
        </w:rPr>
        <w:t xml:space="preserve"> </w:t>
      </w:r>
      <w:r>
        <w:rPr>
          <w:b/>
          <w:bCs/>
        </w:rPr>
        <w:t xml:space="preserve">in</w:t>
      </w:r>
      <w:r>
        <w:rPr>
          <w:b/>
          <w:bCs/>
        </w:rPr>
        <w:t xml:space="preserve"> </w:t>
      </w:r>
      <w:r>
        <w:rPr>
          <w:b/>
          <w:bCs/>
          <w:i/>
          <w:iCs/>
        </w:rPr>
        <w:t xml:space="preserve">Knott</w:t>
      </w:r>
      <w:r>
        <w:rPr>
          <w:b/>
          <w:bCs/>
        </w:rPr>
        <w:t xml:space="preserve"> </w:t>
      </w:r>
      <w:r>
        <w:rPr>
          <w:b/>
          <w:bCs/>
        </w:rPr>
        <w:t xml:space="preserve">and</w:t>
      </w:r>
      <w:r>
        <w:rPr>
          <w:b/>
          <w:bCs/>
        </w:rPr>
        <w:t xml:space="preserve"> </w:t>
      </w:r>
      <w:r>
        <w:rPr>
          <w:b/>
          <w:bCs/>
          <w:i/>
          <w:iCs/>
        </w:rPr>
        <w:t xml:space="preserve">Webstad</w:t>
      </w:r>
      <w:r>
        <w:rPr>
          <w:b/>
          <w:bCs/>
        </w:rPr>
        <w:t xml:space="preserve">.</w:t>
      </w:r>
    </w:p>
    <w:p>
      <w:pPr>
        <w:pStyle w:val="BodyText"/>
      </w:pPr>
      <w:r>
        <w:t xml:space="preserve">Review under RAP 2.3(b)</w:t>
      </w:r>
      <w:r>
        <w:t xml:space="preserve"> </w:t>
      </w:r>
      <w:r>
        <w:t xml:space="preserve">is proper where the trial court’s ruling on a question of law is contrary to binding appellate precedent.</w:t>
      </w:r>
      <w:r>
        <w:t xml:space="preserve"> </w:t>
      </w:r>
      <w:r>
        <w:rPr>
          <w:i/>
          <w:iCs/>
        </w:rPr>
        <w:t xml:space="preserve">See, e.g.</w:t>
      </w:r>
      <w:r>
        <w:t xml:space="preserve">,</w:t>
      </w:r>
      <w:r>
        <w:t xml:space="preserve"> </w:t>
      </w:r>
      <w:r>
        <w:rPr>
          <w:i/>
          <w:iCs/>
        </w:rPr>
        <w:t xml:space="preserve">Washington State Dep’t of Labor &amp; Indus. v. Davison</w:t>
      </w:r>
      <w:r>
        <w:t xml:space="preserve">, 126 Wn. App. 730, 736, 109 P.3d 479 (2005). Here, the trial court necessarily concluded that Plaintiffs had alleged a legally viable theory of duty. But any such theory is squarely foreclosed by two binding appellate decisions.</w:t>
      </w:r>
    </w:p>
    <w:p>
      <w:pPr>
        <w:pStyle w:val="BodyText"/>
      </w:pPr>
      <w:r>
        <w:t xml:space="preserve">The first decision is this Court’s opinion in</w:t>
      </w:r>
      <w:r>
        <w:t xml:space="preserve"> </w:t>
      </w:r>
      <w:r>
        <w:rPr>
          <w:i/>
          <w:iCs/>
        </w:rPr>
        <w:t xml:space="preserve">Knott</w:t>
      </w:r>
      <w:r>
        <w:t xml:space="preserve">, 50 Wn. App. 267. There, the plaintiff brought various “product liability and tort claims against the vendor, distributor, … and manufacturer” of a “Saturday night special” handgun used in a murder.</w:t>
      </w:r>
      <w:r>
        <w:t xml:space="preserve"> </w:t>
      </w:r>
      <w:r>
        <w:rPr>
          <w:i/>
          <w:iCs/>
        </w:rPr>
        <w:t xml:space="preserve">Id.</w:t>
      </w:r>
      <w:r>
        <w:t xml:space="preserve"> </w:t>
      </w:r>
      <w:r>
        <w:t xml:space="preserve">at 269. The plaintiff alleged “the distributor and seller” of the “handgun were negligent in the marketing and sale of Saturday night specials.”</w:t>
      </w:r>
      <w:r>
        <w:t xml:space="preserve"> </w:t>
      </w:r>
      <w:r>
        <w:rPr>
          <w:i/>
          <w:iCs/>
        </w:rPr>
        <w:t xml:space="preserve">Id.</w:t>
      </w:r>
      <w:r>
        <w:t xml:space="preserve"> </w:t>
      </w:r>
      <w:r>
        <w:t xml:space="preserve">at 273. This Court rejected that claim, concluding that “no common law duty exists … to control the distribution of” an otherwise nondefective “product to the general public.”</w:t>
      </w:r>
      <w:r>
        <w:t xml:space="preserve"> </w:t>
      </w:r>
      <w:r>
        <w:rPr>
          <w:i/>
          <w:iCs/>
        </w:rPr>
        <w:t xml:space="preserve">Id.</w:t>
      </w:r>
      <w:r>
        <w:t xml:space="preserve"> </w:t>
      </w:r>
      <w:r>
        <w:t xml:space="preserve">at 274. And this Court refused to recognize “a new common law cause of action for injuries sustained from the criminal use of certain handguns.”</w:t>
      </w:r>
      <w:r>
        <w:t xml:space="preserve"> </w:t>
      </w:r>
      <w:r>
        <w:rPr>
          <w:i/>
          <w:iCs/>
        </w:rPr>
        <w:t xml:space="preserve">Id.</w:t>
      </w:r>
      <w:r>
        <w:t xml:space="preserve"> </w:t>
      </w:r>
      <w:r>
        <w:t xml:space="preserve">at 275. It reasoned that binding Washington Supreme Court precedent, as well as decisions from other jurisdictions, “requires a showing that the injury-causing product was defective before liability can be imposed” on a manufacturer or seller of the injury-causing product.</w:t>
      </w:r>
      <w:r>
        <w:t xml:space="preserve"> </w:t>
      </w:r>
      <w:r>
        <w:rPr>
          <w:i/>
          <w:iCs/>
        </w:rPr>
        <w:t xml:space="preserve">Id.</w:t>
      </w:r>
      <w:r>
        <w:t xml:space="preserve"> </w:t>
      </w:r>
      <w:r>
        <w:t xml:space="preserve">at 276.</w:t>
      </w:r>
    </w:p>
    <w:p>
      <w:pPr>
        <w:pStyle w:val="BodyText"/>
      </w:pPr>
      <w:r>
        <w:t xml:space="preserve">The second decision is</w:t>
      </w:r>
      <w:r>
        <w:t xml:space="preserve"> </w:t>
      </w:r>
      <w:r>
        <w:rPr>
          <w:i/>
          <w:iCs/>
        </w:rPr>
        <w:t xml:space="preserve">Webstad</w:t>
      </w:r>
      <w:r>
        <w:rPr>
          <w:i/>
          <w:iCs/>
        </w:rPr>
        <w:t xml:space="preserve"> </w:t>
      </w:r>
      <w:r>
        <w:rPr>
          <w:i/>
          <w:iCs/>
        </w:rPr>
        <w:t xml:space="preserve">v. Stortini</w:t>
      </w:r>
      <w:r>
        <w:t xml:space="preserve">, 83 Wn. App. 857, 866, 868, 924 P.2d 940 (1996). The</w:t>
      </w:r>
      <w:r>
        <w:t xml:space="preserve"> </w:t>
      </w:r>
      <w:r>
        <w:rPr>
          <w:i/>
          <w:iCs/>
        </w:rPr>
        <w:t xml:space="preserve">Webstad</w:t>
      </w:r>
      <w:r>
        <w:t xml:space="preserve"> </w:t>
      </w:r>
      <w:r>
        <w:t xml:space="preserve">court held that, under Washington’s common law, “no duty exists to avoid acts or omissions that lead another person to commit suicide unless those acts or omissions directly or indirectly deprive that person of the command of his or her faculties or the control of his or her conduct.”</w:t>
      </w:r>
      <w:r>
        <w:t xml:space="preserve"> </w:t>
      </w:r>
      <w:r>
        <w:rPr>
          <w:i/>
          <w:iCs/>
        </w:rPr>
        <w:t xml:space="preserve">Id.</w:t>
      </w:r>
      <w:r>
        <w:t xml:space="preserve"> </w:t>
      </w:r>
      <w:r>
        <w:t xml:space="preserve">at 866. The court applied that rule to reject a common-law claim premised on the theory that the defendant’s “negligent conduct on the night of the suicide caused [the decedent’s] death.”</w:t>
      </w:r>
      <w:r>
        <w:t xml:space="preserve"> </w:t>
      </w:r>
      <w:r>
        <w:rPr>
          <w:i/>
          <w:iCs/>
        </w:rPr>
        <w:t xml:space="preserve">Id.</w:t>
      </w:r>
      <w:r>
        <w:t xml:space="preserve"> </w:t>
      </w:r>
      <w:r>
        <w:t xml:space="preserve">at 864;</w:t>
      </w:r>
      <w:r>
        <w:t xml:space="preserve"> </w:t>
      </w:r>
      <w:r>
        <w:rPr>
          <w:i/>
          <w:iCs/>
        </w:rPr>
        <w:t xml:space="preserve">see also id.</w:t>
      </w:r>
      <w:r>
        <w:t xml:space="preserve"> </w:t>
      </w:r>
      <w:r>
        <w:t xml:space="preserve">at 868 (noting that the plaintiff alleged the defendant’s “behavior caused or increased the risk of harm to” the decedent). What’s more, the</w:t>
      </w:r>
      <w:r>
        <w:t xml:space="preserve"> </w:t>
      </w:r>
      <w:r>
        <w:rPr>
          <w:i/>
          <w:iCs/>
        </w:rPr>
        <w:t xml:space="preserve">Webstad</w:t>
      </w:r>
      <w:r>
        <w:t xml:space="preserve"> </w:t>
      </w:r>
      <w:r>
        <w:t xml:space="preserve">court specifically considered the criminal statute that Plaintiffs below leaned on as the primary support for their novel duty theory, yet concluded that there was no duty of care.</w:t>
      </w:r>
      <w:r>
        <w:t xml:space="preserve"> </w:t>
      </w:r>
      <w:r>
        <w:rPr>
          <w:i/>
          <w:iCs/>
        </w:rPr>
        <w:t xml:space="preserve">See id.</w:t>
      </w:r>
      <w:r>
        <w:t xml:space="preserve"> </w:t>
      </w:r>
      <w:r>
        <w:t xml:space="preserve">at 866 (noting that “our Legislature has spoken on the issue of suicide in RCW 9A.36.060,”</w:t>
      </w:r>
      <w:r>
        <w:t xml:space="preserve"> </w:t>
      </w:r>
      <w:r>
        <w:t xml:space="preserve">yet refusing to impose a duty of care).</w:t>
      </w:r>
    </w:p>
    <w:p>
      <w:pPr>
        <w:pStyle w:val="BodyText"/>
      </w:pPr>
      <w:r>
        <w:t xml:space="preserve">These decisions foreclose Plaintiffs’ negligence-based claims.</w:t>
      </w:r>
      <w:r>
        <w:t xml:space="preserve"> </w:t>
      </w:r>
      <w:r>
        <w:rPr>
          <w:i/>
          <w:iCs/>
        </w:rPr>
        <w:t xml:space="preserve">Knott</w:t>
      </w:r>
      <w:r>
        <w:t xml:space="preserve"> </w:t>
      </w:r>
      <w:r>
        <w:t xml:space="preserve">holds that “there must be something wrong with the product,” in either its design or warnings, to hold a seller liable under Washington law. 50 Wn. App. at 276 (cleaned up).</w:t>
      </w:r>
    </w:p>
    <w:p>
      <w:pPr>
        <w:pStyle w:val="BodyText"/>
      </w:pPr>
      <w:r>
        <w:t xml:space="preserve">The trial court acknowledged,</w:t>
      </w:r>
      <w:r>
        <w:t xml:space="preserve"> </w:t>
      </w:r>
      <w:r>
        <w:rPr>
          <w:i/>
          <w:iCs/>
        </w:rPr>
        <w:t xml:space="preserve">see</w:t>
      </w:r>
      <w:r>
        <w:t xml:space="preserve"> </w:t>
      </w:r>
      <w:r>
        <w:t xml:space="preserve">App.249, and Part B of this Motion confirms,</w:t>
      </w:r>
      <w:r>
        <w:t xml:space="preserve"> </w:t>
      </w:r>
      <w:r>
        <w:rPr>
          <w:i/>
          <w:iCs/>
        </w:rPr>
        <w:t xml:space="preserve">see infra</w:t>
      </w:r>
      <w:r>
        <w:t xml:space="preserve">, that there is no legally viable theory for deeming the sodium nitrite at issue here—or the other items that plaintiffs’ decedents bought along with it—to be “defective” products. The trial court obviously erred in concluding that this case is not “analogous” to</w:t>
      </w:r>
      <w:r>
        <w:t xml:space="preserve"> </w:t>
      </w:r>
      <w:r>
        <w:rPr>
          <w:i/>
          <w:iCs/>
        </w:rPr>
        <w:t xml:space="preserve">Knott</w:t>
      </w:r>
      <w:r>
        <w:t xml:space="preserve"> </w:t>
      </w:r>
      <w:r>
        <w:t xml:space="preserve">because there is a Washington statute “that says you can’t promote suicide.” App.240, 243. Washington has a strong policy against the “criminal activity” allegedly facilitated by the sale of “Saturday night specials,” yet this Court concluded it was “bound” to reject the plaintiffs’ novel theory of duty.</w:t>
      </w:r>
      <w:r>
        <w:t xml:space="preserve"> </w:t>
      </w:r>
      <w:r>
        <w:rPr>
          <w:i/>
          <w:iCs/>
        </w:rPr>
        <w:t xml:space="preserve">Knott</w:t>
      </w:r>
      <w:r>
        <w:t xml:space="preserve">, 50 Wn. App. at 275</w:t>
      </w:r>
      <w:r>
        <w:noBreakHyphen/>
      </w:r>
      <w:r>
        <w:t xml:space="preserve">76.</w:t>
      </w:r>
    </w:p>
    <w:p>
      <w:pPr>
        <w:pStyle w:val="BodyText"/>
      </w:pPr>
      <w:r>
        <w:t xml:space="preserve">What’s more,</w:t>
      </w:r>
      <w:r>
        <w:t xml:space="preserve"> </w:t>
      </w:r>
      <w:r>
        <w:rPr>
          <w:i/>
          <w:iCs/>
        </w:rPr>
        <w:t xml:space="preserve">Webstad</w:t>
      </w:r>
      <w:r>
        <w:t xml:space="preserve">—which considered the very statute the trial court referenced—precludes the notion that there is a duty here because the product at issue was misused for suicide. If “no duty exists” under Washington’s common law “to avoid acts or omissions that lead another person to commit suicide,” 83 Wn. App. At 866, then there cannot be a duty under the WPLA, which was “inten[ded] to limit, rather than to expand, liability” for manufacturers and sellers.</w:t>
      </w:r>
      <w:r>
        <w:t xml:space="preserve"> </w:t>
      </w:r>
      <w:r>
        <w:rPr>
          <w:i/>
          <w:iCs/>
        </w:rPr>
        <w:t xml:space="preserve">Buttelo</w:t>
      </w:r>
      <w:r>
        <w:rPr>
          <w:i/>
          <w:iCs/>
        </w:rPr>
        <w:t xml:space="preserve"> </w:t>
      </w:r>
      <w:r>
        <w:rPr>
          <w:i/>
          <w:iCs/>
        </w:rPr>
        <w:t xml:space="preserve">v. Woods-Yates Am. Mach. Co.</w:t>
      </w:r>
      <w:r>
        <w:t xml:space="preserve">, 72 Wn. App. 397, 405, 864 P.2d 948, 952 (1993).</w:t>
      </w:r>
    </w:p>
    <w:p>
      <w:pPr>
        <w:pStyle w:val="BodyText"/>
      </w:pPr>
      <w:r>
        <w:t xml:space="preserve">* * *</w:t>
      </w:r>
    </w:p>
    <w:p>
      <w:pPr>
        <w:pStyle w:val="BodyText"/>
      </w:pPr>
      <w:r>
        <w:t xml:space="preserve">Discretionary review of the court’s order, to assess its determination that Plaintiffs have a legally viable theory of duty, is warranted. In Washington, whether a duty exists is a question of law” and a “threshold determination.”</w:t>
      </w:r>
      <w:r>
        <w:t xml:space="preserve"> </w:t>
      </w:r>
      <w:r>
        <w:rPr>
          <w:i/>
          <w:iCs/>
        </w:rPr>
        <w:t xml:space="preserve">Degel</w:t>
      </w:r>
      <w:r>
        <w:rPr>
          <w:i/>
          <w:iCs/>
        </w:rPr>
        <w:t xml:space="preserve"> </w:t>
      </w:r>
      <w:r>
        <w:rPr>
          <w:i/>
          <w:iCs/>
        </w:rPr>
        <w:t xml:space="preserve">v. Majestic Mobile Manor, Inc.</w:t>
      </w:r>
      <w:r>
        <w:t xml:space="preserve">, 129 Wn.2d 43, 48, 914 P.2d 728, 731 (1996). The trial court’s ruling is therefore “appropriate for discretionary review under RAP 2.3(b)”</w:t>
      </w:r>
      <w:r>
        <w:t xml:space="preserve"> </w:t>
      </w:r>
      <w:r>
        <w:t xml:space="preserve">because “[a] useless lawsuit would be prevented by a decision” from this Court “in favor of dismissing the” claims against Amazon.</w:t>
      </w:r>
      <w:r>
        <w:t xml:space="preserve"> </w:t>
      </w:r>
      <w:r>
        <w:rPr>
          <w:i/>
          <w:iCs/>
        </w:rPr>
        <w:t xml:space="preserve">Hartley</w:t>
      </w:r>
      <w:r>
        <w:rPr>
          <w:i/>
          <w:iCs/>
        </w:rPr>
        <w:t xml:space="preserve"> </w:t>
      </w:r>
      <w:r>
        <w:rPr>
          <w:i/>
          <w:iCs/>
        </w:rPr>
        <w:t xml:space="preserve">v. State</w:t>
      </w:r>
      <w:r>
        <w:t xml:space="preserve">, 103 Wn.2d 768, 774, 698 P.2d 77 (1985). Indeed, the trial court agreed that some 95% of Plaintiffs’ claims are not legally viable yet permitted 100% of them to proceed. Discretionary review would also be appropriate under the supervisory jurisdiction afforded by RAP 2.3(b)⁠(3).</w:t>
      </w:r>
      <w:r>
        <w:t xml:space="preserve"> </w:t>
      </w:r>
      <w:r>
        <w:t xml:space="preserve">By subjecting Amazon to further litigation, when on-point precedent required dismissal, the trial court “departed from the accepted and usual course of judicial proceedings” in a manner that “call[s] for review by the appellate court.” RAP 2.3(b)⁠(3).</w:t>
      </w:r>
    </w:p>
    <w:p>
      <w:pPr>
        <w:pStyle w:val="BodyText"/>
      </w:pPr>
      <w:r>
        <w:t xml:space="preserve">Review is especially appropriate here, given that the error at issue concerns the scope of WPLA liability. A primary purpose in passing the WPLA was protecting sellers from “unwarranted exposure to product liability litigation” and its attendant “costs.”</w:t>
      </w:r>
      <w:r>
        <w:t xml:space="preserve"> </w:t>
      </w:r>
      <w:r>
        <w:rPr>
          <w:i/>
          <w:iCs/>
        </w:rPr>
        <w:t xml:space="preserve">Buttelo</w:t>
      </w:r>
      <w:r>
        <w:t xml:space="preserve">, 72 Wn. App. at 405 (quoting Laws of 1981,</w:t>
      </w:r>
      <w:r>
        <w:t xml:space="preserve"> </w:t>
      </w:r>
      <w:r>
        <w:t xml:space="preserve">ch. 27, § 1). So eliminating—or at least reducing—the burden of discovery and trial is an especially important consideration.</w:t>
      </w:r>
      <w:r>
        <w:t xml:space="preserve"> </w:t>
      </w:r>
      <w:r>
        <w:rPr>
          <w:i/>
          <w:iCs/>
        </w:rPr>
        <w:t xml:space="preserve">Cf. Glass v.</w:t>
      </w:r>
      <w:r>
        <w:rPr>
          <w:i/>
          <w:iCs/>
        </w:rPr>
        <w:t xml:space="preserve"> </w:t>
      </w:r>
      <w:r>
        <w:rPr>
          <w:i/>
          <w:iCs/>
        </w:rPr>
        <w:t xml:space="preserve">Stahl Specialty Co.</w:t>
      </w:r>
      <w:r>
        <w:t xml:space="preserve">, 97 Wn.2d 880, 883, 652 P.2d 948, 950 (1982) (noting that “substantial hardship would result” from “having to participate in the litigation” based on a misinterpretation of the statute). Also, resolving the duty issue now would serve a primary purpose of the WPLA: reducing “uncertainty in tort litigation.”</w:t>
      </w:r>
      <w:r>
        <w:t xml:space="preserve"> </w:t>
      </w:r>
      <w:r>
        <w:rPr>
          <w:i/>
          <w:iCs/>
        </w:rPr>
        <w:t xml:space="preserve">Graybar</w:t>
      </w:r>
      <w:r>
        <w:t xml:space="preserve">, 112 Wn.2d at 863.</w:t>
      </w:r>
    </w:p>
    <w:p>
      <w:pPr>
        <w:keepNext/>
        <w:keepLines/>
        <w:spacing w:before="280" w:after="224" w:line="322" w:lineRule="exact"/>
        <w:ind w:left="1080" w:hanging="720"/>
        <w:jc w:val="left"/>
      </w:pPr>
      <w:r>
        <w:rPr>
          <w:b/>
          <w:bCs/>
        </w:rPr>
        <w:t xml:space="preserve">2.</w:t>
      </w:r>
      <w:r>
        <w:rPr>
          <w:b/>
          <w:bCs/>
        </w:rPr>
        <w:t xml:space="preserve"> </w:t>
      </w:r>
      <w:r>
        <w:rPr>
          <w:b/>
          <w:bCs/>
        </w:rPr>
        <w:t xml:space="preserve">Plaintiffs’</w:t>
      </w:r>
      <w:r>
        <w:rPr>
          <w:b/>
          <w:bCs/>
        </w:rPr>
        <w:t xml:space="preserve"> </w:t>
      </w:r>
      <w:r>
        <w:rPr>
          <w:b/>
          <w:bCs/>
        </w:rPr>
        <w:t xml:space="preserve">negligence-based</w:t>
      </w:r>
      <w:r>
        <w:rPr>
          <w:b/>
          <w:bCs/>
        </w:rPr>
        <w:t xml:space="preserve"> </w:t>
      </w:r>
      <w:r>
        <w:rPr>
          <w:b/>
          <w:bCs/>
        </w:rPr>
        <w:t xml:space="preserve">claims</w:t>
      </w:r>
      <w:r>
        <w:rPr>
          <w:b/>
          <w:bCs/>
        </w:rPr>
        <w:t xml:space="preserve"> </w:t>
      </w:r>
      <w:r>
        <w:rPr>
          <w:b/>
          <w:bCs/>
        </w:rPr>
        <w:t xml:space="preserve">are</w:t>
      </w:r>
      <w:r>
        <w:rPr>
          <w:b/>
          <w:bCs/>
        </w:rPr>
        <w:t xml:space="preserve"> </w:t>
      </w:r>
      <w:r>
        <w:rPr>
          <w:b/>
          <w:bCs/>
        </w:rPr>
        <w:t xml:space="preserve">preempted</w:t>
      </w:r>
      <w:r>
        <w:rPr>
          <w:b/>
          <w:bCs/>
        </w:rPr>
        <w:t xml:space="preserve"> </w:t>
      </w:r>
      <w:r>
        <w:rPr>
          <w:b/>
          <w:bCs/>
        </w:rPr>
        <w:t xml:space="preserve">and</w:t>
      </w:r>
      <w:r>
        <w:rPr>
          <w:b/>
          <w:bCs/>
        </w:rPr>
        <w:t xml:space="preserve"> </w:t>
      </w:r>
      <w:r>
        <w:rPr>
          <w:b/>
          <w:bCs/>
        </w:rPr>
        <w:t xml:space="preserve">precluded</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WPLA.</w:t>
      </w:r>
    </w:p>
    <w:p>
      <w:pPr>
        <w:pStyle w:val="BodyText"/>
      </w:pPr>
      <w:r>
        <w:t xml:space="preserve">Permitting Plaintiffs to proceed with their negligence-based claims was improper for another reason: They are all preempted by the WPLA.</w:t>
      </w:r>
    </w:p>
    <w:p>
      <w:pPr>
        <w:pStyle w:val="BodyText"/>
      </w:pPr>
      <w:r>
        <w:rPr>
          <w:i/>
          <w:iCs/>
        </w:rPr>
        <w:t xml:space="preserve">Common-Law Negligence.</w:t>
      </w:r>
      <w:r>
        <w:t xml:space="preserve"> </w:t>
      </w:r>
      <w:r>
        <w:t xml:space="preserve">For starters, the WPLA, by its own terms, preempts the common-law claims in Counts II and III. The WPLA’s definition of “product liability claim” has a “preemptive effect” on common-law claims falling within its scope.</w:t>
      </w:r>
      <w:r>
        <w:t xml:space="preserve"> </w:t>
      </w:r>
      <w:r>
        <w:rPr>
          <w:i/>
          <w:iCs/>
        </w:rPr>
        <w:t xml:space="preserve">Graybar</w:t>
      </w:r>
      <w:r>
        <w:t xml:space="preserve">, 112 Wn.2d at 854. The definition “includes any claim or action brought for harm caused by the … warnings, instructions, marketing, … or labeling of the relevant product.” RCW 7.72.010(4)</w:t>
      </w:r>
      <w:r>
        <w:t xml:space="preserve"> </w:t>
      </w:r>
      <w:r>
        <w:t xml:space="preserve">(emphasis added). The definition includes “any claim or action previously based on … negligence … or … any other substantive legal theory except fraud, intentionally caused harm or a claim or action under the consumer protection act.”</w:t>
      </w:r>
      <w:r>
        <w:t xml:space="preserve"> </w:t>
      </w:r>
      <w:r>
        <w:rPr>
          <w:i/>
          <w:iCs/>
        </w:rPr>
        <w:t xml:space="preserve">Id.</w:t>
      </w:r>
      <w:r>
        <w:t xml:space="preserve"> </w:t>
      </w:r>
      <w:r>
        <w:t xml:space="preserve">(emphasis added). As the Washington Supreme Court has noted, the “scope of the statute could not have been stated more broadly.”</w:t>
      </w:r>
      <w:r>
        <w:t xml:space="preserve"> </w:t>
      </w:r>
      <w:r>
        <w:rPr>
          <w:i/>
          <w:iCs/>
        </w:rPr>
        <w:t xml:space="preserve">Graybar</w:t>
      </w:r>
      <w:r>
        <w:t xml:space="preserve">, 112 Wn.2d at 854.</w:t>
      </w:r>
    </w:p>
    <w:p>
      <w:pPr>
        <w:pStyle w:val="BodyText"/>
      </w:pPr>
      <w:r>
        <w:t xml:space="preserve">The plain language of the WPLA clearly encompasses Count II’s common-law negligence claim. Plaintiffs’ claim arises from the physical “harm” that Mikael and Tyler suffered after ingesting the “product” at issue. RCW 7.72.010(4);</w:t>
      </w:r>
      <w:r>
        <w:t xml:space="preserve"> </w:t>
      </w:r>
      <w:r>
        <w:rPr>
          <w:i/>
          <w:iCs/>
        </w:rPr>
        <w:t xml:space="preserve">see also</w:t>
      </w:r>
      <w:r>
        <w:t xml:space="preserve"> </w:t>
      </w:r>
      <w:r>
        <w:t xml:space="preserve">App.128. Amazon was the “seller” of the sodium nitrite.</w:t>
      </w:r>
      <w:r>
        <w:t xml:space="preserve"> </w:t>
      </w:r>
      <w:r>
        <w:rPr>
          <w:i/>
          <w:iCs/>
        </w:rPr>
        <w:t xml:space="preserve">See</w:t>
      </w:r>
      <w:r>
        <w:t xml:space="preserve"> </w:t>
      </w:r>
      <w:r>
        <w:t xml:space="preserve">App.127 (citing RCW 7.72). And the conduct for which they seek to hold Amazon liable—and the only connection to Plaintiffs’ harms—is Amazon’s alleged advertising and selling of sodium nitrite and other products on its website.</w:t>
      </w:r>
      <w:r>
        <w:t xml:space="preserve"> </w:t>
      </w:r>
      <w:r>
        <w:rPr>
          <w:i/>
          <w:iCs/>
        </w:rPr>
        <w:t xml:space="preserve">See</w:t>
      </w:r>
      <w:r>
        <w:t xml:space="preserve"> </w:t>
      </w:r>
      <w:r>
        <w:t xml:space="preserve">App.102</w:t>
      </w:r>
      <w:r>
        <w:noBreakHyphen/>
      </w:r>
      <w:r>
        <w:t xml:space="preserve">110. That constitutes “marketing” under RCW 7.72.010(4),</w:t>
      </w:r>
      <w:r>
        <w:t xml:space="preserve"> </w:t>
      </w:r>
      <w:r>
        <w:t xml:space="preserve">because the plain meaning of “marketing” is “[t]he act or process of promoting and selling, leasing, or licensing products.” Black’s Law Dictionary</w:t>
      </w:r>
      <w:r>
        <w:t xml:space="preserve"> </w:t>
      </w:r>
      <w:r>
        <w:t xml:space="preserve">1161 (11th ed. 2019). So Count II’s “negligence claim is product-based” and therefore “subsumed under” the WPLA.</w:t>
      </w:r>
      <w:r>
        <w:t xml:space="preserve"> </w:t>
      </w:r>
      <w:r>
        <w:rPr>
          <w:i/>
          <w:iCs/>
        </w:rPr>
        <w:t xml:space="preserve">Hue</w:t>
      </w:r>
      <w:r>
        <w:rPr>
          <w:i/>
          <w:iCs/>
        </w:rPr>
        <w:t xml:space="preserve"> </w:t>
      </w:r>
      <w:r>
        <w:rPr>
          <w:i/>
          <w:iCs/>
        </w:rPr>
        <w:t xml:space="preserve">v. Farmboy Spray Co.</w:t>
      </w:r>
      <w:r>
        <w:t xml:space="preserve">, 127 Wn.2d 67, 87, 896 P.2d 682, 693 (1995).</w:t>
      </w:r>
    </w:p>
    <w:p>
      <w:pPr>
        <w:pStyle w:val="BodyText"/>
      </w:pPr>
      <w:r>
        <w:t xml:space="preserve">The trial court effectively acknowledged that Count II was preempted, explaining that the “thread” it identified was for “negligence underneath the requisite statute,” not the common law. App.239. Yet it permitted Plaintiffs to simultaneously proceed on Count I’s WPLA seller-negligence claim, as well as Counts II and III’s common-law claims for negligence and negligent infliction of emotional distress.</w:t>
      </w:r>
      <w:r>
        <w:t xml:space="preserve"> </w:t>
      </w:r>
      <w:r>
        <w:rPr>
          <w:i/>
          <w:iCs/>
        </w:rPr>
        <w:t xml:space="preserve">See</w:t>
      </w:r>
      <w:r>
        <w:t xml:space="preserve"> </w:t>
      </w:r>
      <w:r>
        <w:t xml:space="preserve">App.186</w:t>
      </w:r>
      <w:r>
        <w:noBreakHyphen/>
      </w:r>
      <w:r>
        <w:t xml:space="preserve">187. That is contrary to the basic scheme of the WPLA, which “creates a single cause of action for product-related harm.”</w:t>
      </w:r>
      <w:r>
        <w:t xml:space="preserve"> </w:t>
      </w:r>
      <w:r>
        <w:rPr>
          <w:i/>
          <w:iCs/>
        </w:rPr>
        <w:t xml:space="preserve">Hue</w:t>
      </w:r>
      <w:r>
        <w:t xml:space="preserve">, 127 Wn.2d at 75, n.10 (emphasis added).</w:t>
      </w:r>
    </w:p>
    <w:p>
      <w:pPr>
        <w:pStyle w:val="BodyText"/>
      </w:pPr>
      <w:r>
        <w:rPr>
          <w:i/>
          <w:iCs/>
        </w:rPr>
        <w:t xml:space="preserve">WPLA Seller-Negligence.</w:t>
      </w:r>
      <w:r>
        <w:t xml:space="preserve"> </w:t>
      </w:r>
      <w:r>
        <w:t xml:space="preserve">While Count I’s seller-negligence claim is brought under the statute, it is not legally viable given the limited meaning of “negligence” under RCW 7.72.040.</w:t>
      </w:r>
      <w:r>
        <w:t xml:space="preserve"> </w:t>
      </w:r>
      <w:r>
        <w:t xml:space="preserve">That conclusion is compelled by the text, history, and purpose of the WPLA, as well as the binding precedent construing it.</w:t>
      </w:r>
    </w:p>
    <w:p>
      <w:pPr>
        <w:pStyle w:val="BodyText"/>
      </w:pPr>
      <w:r>
        <w:t xml:space="preserve">Starting with the text, the WPLA does create—as an “[e]xception” to manufacturer liability—a claim for “harm” that “was proximately caused by [t]he negligence of such product seller.” RCW 7.72.040(1)⁠(a).</w:t>
      </w:r>
      <w:r>
        <w:t xml:space="preserve"> </w:t>
      </w:r>
      <w:r>
        <w:t xml:space="preserve">That phrase must be given the same meaning it had “at common law” when the WPLA was enacted.</w:t>
      </w:r>
      <w:r>
        <w:t xml:space="preserve"> </w:t>
      </w:r>
      <w:r>
        <w:rPr>
          <w:i/>
          <w:iCs/>
        </w:rPr>
        <w:t xml:space="preserve">McKenna</w:t>
      </w:r>
      <w:r>
        <w:rPr>
          <w:i/>
          <w:iCs/>
        </w:rPr>
        <w:t xml:space="preserve"> </w:t>
      </w:r>
      <w:r>
        <w:rPr>
          <w:i/>
          <w:iCs/>
        </w:rPr>
        <w:t xml:space="preserve">v. Harrison Mem’l Hosp.</w:t>
      </w:r>
      <w:r>
        <w:t xml:space="preserve">, 92 Wn. App. 119, 122, 960 P.2d 486 (1998). Indeed, the Washington Supreme Court has held that courts should “align the WPLA with the common law limitations” on seller negligence.</w:t>
      </w:r>
      <w:r>
        <w:t xml:space="preserve"> </w:t>
      </w:r>
      <w:r>
        <w:rPr>
          <w:i/>
          <w:iCs/>
        </w:rPr>
        <w:t xml:space="preserve">Simonetta</w:t>
      </w:r>
      <w:r>
        <w:rPr>
          <w:i/>
          <w:iCs/>
        </w:rPr>
        <w:t xml:space="preserve"> </w:t>
      </w:r>
      <w:r>
        <w:rPr>
          <w:i/>
          <w:iCs/>
        </w:rPr>
        <w:t xml:space="preserve">v. Viad Corp.</w:t>
      </w:r>
      <w:r>
        <w:t xml:space="preserve">, 165 Wn.2d 341, 352</w:t>
      </w:r>
      <w:r>
        <w:noBreakHyphen/>
      </w:r>
      <w:r>
        <w:t xml:space="preserve">53, 197 P.3d 127 (2008) (addressing negligence claim against a component seller). And, when the WPLA was passed in 1981, Washington’s common law “require[d] a showing that the injury-causing product was defective” due to its design or warnings.</w:t>
      </w:r>
      <w:r>
        <w:t xml:space="preserve"> </w:t>
      </w:r>
      <w:r>
        <w:rPr>
          <w:i/>
          <w:iCs/>
        </w:rPr>
        <w:t xml:space="preserve">Knott</w:t>
      </w:r>
      <w:r>
        <w:t xml:space="preserve">, 50 Wn. App. at 276.</w:t>
      </w:r>
    </w:p>
    <w:p>
      <w:pPr>
        <w:pStyle w:val="BodyText"/>
      </w:pPr>
      <w:r>
        <w:t xml:space="preserve">Count I’s claim for seller negligence does not meet that requirement. Most of its allegations are not based on any defect in the sodium nitrite.</w:t>
      </w:r>
      <w:r>
        <w:t xml:space="preserve"> </w:t>
      </w:r>
      <w:r>
        <w:rPr>
          <w:i/>
          <w:iCs/>
        </w:rPr>
        <w:t xml:space="preserve">See</w:t>
      </w:r>
      <w:r>
        <w:t xml:space="preserve"> </w:t>
      </w:r>
      <w:r>
        <w:t xml:space="preserve">App.127 ¶¶ 174.a-⁠d, f, l. And the allegations that do sound in failure-to-warn,</w:t>
      </w:r>
      <w:r>
        <w:t xml:space="preserve"> </w:t>
      </w:r>
      <w:r>
        <w:rPr>
          <w:i/>
          <w:iCs/>
        </w:rPr>
        <w:t xml:space="preserve">see id.</w:t>
      </w:r>
      <w:r>
        <w:t xml:space="preserve"> </w:t>
      </w:r>
      <w:r>
        <w:t xml:space="preserve">¶¶ 174.e, g-k, are foreclosed by the text of the WPLA and the case law applying it,</w:t>
      </w:r>
      <w:r>
        <w:t xml:space="preserve"> </w:t>
      </w:r>
      <w:r>
        <w:rPr>
          <w:i/>
          <w:iCs/>
        </w:rPr>
        <w:t xml:space="preserve">see infra</w:t>
      </w:r>
      <w:r>
        <w:t xml:space="preserve"> </w:t>
      </w:r>
      <w:r>
        <w:t xml:space="preserve">Part B.</w:t>
      </w:r>
    </w:p>
    <w:p>
      <w:pPr>
        <w:pStyle w:val="BodyText"/>
      </w:pPr>
      <w:r>
        <w:t xml:space="preserve">The conclusion that WPLA seller-negligence claims must be grounded on a product defect is bolstered by the WPLA’s express purpose. The stated “intent of the legislature,” laid out in the WPLA’s preamble, was to ensure “that the right of the consumer to recover for injuries sustained as a result of an unsafe product not be unduly impaired.’”</w:t>
      </w:r>
      <w:r>
        <w:t xml:space="preserve"> </w:t>
      </w:r>
      <w:r>
        <w:rPr>
          <w:i/>
          <w:iCs/>
        </w:rPr>
        <w:t xml:space="preserve">Buttelo</w:t>
      </w:r>
      <w:r>
        <w:t xml:space="preserve">, 72 Wn. App. at 404 (emphasis added) (quoting Laws of 1981,</w:t>
      </w:r>
      <w:r>
        <w:t xml:space="preserve"> </w:t>
      </w:r>
      <w:r>
        <w:t xml:space="preserve">ch. 27, § 1). The Legislature’s intent thus aligns with this Court’s holding in</w:t>
      </w:r>
      <w:r>
        <w:t xml:space="preserve"> </w:t>
      </w:r>
      <w:r>
        <w:rPr>
          <w:i/>
          <w:iCs/>
        </w:rPr>
        <w:t xml:space="preserve">Knott</w:t>
      </w:r>
      <w:r>
        <w:t xml:space="preserve"> </w:t>
      </w:r>
      <w:r>
        <w:t xml:space="preserve">that “there must be something wrong with the product” itself or “there will be no liability” for the product’s seller or manufacturer. 50 Wn. App. at 276 (cleaned up).</w:t>
      </w:r>
    </w:p>
    <w:p>
      <w:pPr>
        <w:pStyle w:val="BodyText"/>
      </w:pPr>
      <w:r>
        <w:t xml:space="preserve">These well-established principles foreclose the trial court’s conclusion that Plaintiffs’ “novel theory” of WPLA seller liability—drawn from a “constellation” of considerations—falls within the scope of the statute. App.240, 242. Claims based on allegedly “improper … marketing” of a product are “subsumed under” the WPLA.</w:t>
      </w:r>
      <w:r>
        <w:t xml:space="preserve"> </w:t>
      </w:r>
      <w:r>
        <w:rPr>
          <w:i/>
          <w:iCs/>
        </w:rPr>
        <w:t xml:space="preserve">Hue</w:t>
      </w:r>
      <w:r>
        <w:t xml:space="preserve">, 127 Wn.2d at 86</w:t>
      </w:r>
      <w:r>
        <w:noBreakHyphen/>
      </w:r>
      <w:r>
        <w:t xml:space="preserve">87. “And its purpose is “to limit, rather than to expand, liability” for sellers.</w:t>
      </w:r>
      <w:r>
        <w:t xml:space="preserve"> </w:t>
      </w:r>
      <w:r>
        <w:rPr>
          <w:i/>
          <w:iCs/>
        </w:rPr>
        <w:t xml:space="preserve">Buttelo</w:t>
      </w:r>
      <w:r>
        <w:t xml:space="preserve">, 72 Wn. App. at 405.</w:t>
      </w:r>
    </w:p>
    <w:p>
      <w:pPr>
        <w:pStyle w:val="BodyText"/>
      </w:pPr>
      <w:r>
        <w:t xml:space="preserve">* * *</w:t>
      </w:r>
    </w:p>
    <w:p>
      <w:pPr>
        <w:pStyle w:val="BodyText"/>
      </w:pPr>
      <w:r>
        <w:t xml:space="preserve">The Order permits Plaintiffs to proceed with negligence-based claims that violate the clear structure and limits of the WPLA. Discretionary review under RAP 2.3(b)⁠(1)</w:t>
      </w:r>
      <w:r>
        <w:t xml:space="preserve"> </w:t>
      </w:r>
      <w:r>
        <w:t xml:space="preserve">and (3) is warranted for the same basic reasons outlined in Part A.1,</w:t>
      </w:r>
      <w:r>
        <w:t xml:space="preserve"> </w:t>
      </w:r>
      <w:r>
        <w:rPr>
          <w:i/>
          <w:iCs/>
        </w:rPr>
        <w:t xml:space="preserve">supra</w:t>
      </w:r>
      <w:r>
        <w:t xml:space="preserve">. The trial court not only committed an obvious error on a question of law, but also contradicted “unambiguous language in the statutory scheme and case law on the subject.”</w:t>
      </w:r>
      <w:r>
        <w:t xml:space="preserve"> </w:t>
      </w:r>
      <w:r>
        <w:rPr>
          <w:i/>
          <w:iCs/>
        </w:rPr>
        <w:t xml:space="preserve">Folise</w:t>
      </w:r>
      <w:r>
        <w:rPr>
          <w:i/>
          <w:iCs/>
        </w:rPr>
        <w:t xml:space="preserve"> </w:t>
      </w:r>
      <w:r>
        <w:rPr>
          <w:i/>
          <w:iCs/>
        </w:rPr>
        <w:t xml:space="preserve">v. Folise</w:t>
      </w:r>
      <w:r>
        <w:t xml:space="preserve">, 113 Wn. App. 609, 613, 54 P.3d 222 (2002) (reviewing under RAP 2.3(b)⁠(3)).</w:t>
      </w:r>
      <w:r>
        <w:t xml:space="preserve"> </w:t>
      </w:r>
      <w:r>
        <w:t xml:space="preserve">What’s more, the trial court acknowledged its order permits Plaintiffs to pursue a “novel theory” of WPLA liability. App.242. Misconstruing a liability-restricting statute in a manner that permits “novel theor[ies]” of liability,</w:t>
      </w:r>
      <w:r>
        <w:t xml:space="preserve"> </w:t>
      </w:r>
      <w:r>
        <w:rPr>
          <w:i/>
          <w:iCs/>
        </w:rPr>
        <w:t xml:space="preserve">id.</w:t>
      </w:r>
      <w:r>
        <w:t xml:space="preserve">, subjects Amazon to the very “uncertainties” and “costs” of discovery and litigation that the WPLA sought to eliminate.</w:t>
      </w:r>
      <w:r>
        <w:t xml:space="preserve"> </w:t>
      </w:r>
      <w:r>
        <w:rPr>
          <w:i/>
          <w:iCs/>
        </w:rPr>
        <w:t xml:space="preserve">Graybar</w:t>
      </w:r>
      <w:r>
        <w:t xml:space="preserve">, 112 Wn.2d at 863 (cleaned up). Discretionary review is therefore warranted.</w:t>
      </w:r>
    </w:p>
    <w:p>
      <w:pPr>
        <w:keepNext/>
        <w:keepLines/>
        <w:spacing w:before="336" w:after="224" w:line="322" w:lineRule="exact"/>
        <w:ind w:left="720" w:hanging="720"/>
        <w:jc w:val="left"/>
      </w:pPr>
      <w:r>
        <w:rPr>
          <w:b/>
          <w:bCs/>
        </w:rPr>
        <w:t xml:space="preserve">B.</w:t>
      </w:r>
      <w:r>
        <w:rPr>
          <w:b/>
          <w:bCs/>
        </w:rPr>
        <w:t xml:space="preserve"> </w:t>
      </w:r>
      <w:r>
        <w:rPr>
          <w:b/>
          <w:bCs/>
        </w:rPr>
        <w:t xml:space="preserve">Permitting</w:t>
      </w:r>
      <w:r>
        <w:rPr>
          <w:b/>
          <w:bCs/>
        </w:rPr>
        <w:t xml:space="preserve"> </w:t>
      </w:r>
      <w:r>
        <w:rPr>
          <w:b/>
          <w:bCs/>
        </w:rPr>
        <w:t xml:space="preserve">Plaintiffs</w:t>
      </w:r>
      <w:r>
        <w:rPr>
          <w:b/>
          <w:bCs/>
        </w:rPr>
        <w:t xml:space="preserve"> </w:t>
      </w:r>
      <w:r>
        <w:rPr>
          <w:b/>
          <w:bCs/>
        </w:rPr>
        <w:t xml:space="preserve">to</w:t>
      </w:r>
      <w:r>
        <w:rPr>
          <w:b/>
          <w:bCs/>
        </w:rPr>
        <w:t xml:space="preserve"> </w:t>
      </w:r>
      <w:r>
        <w:rPr>
          <w:b/>
          <w:bCs/>
        </w:rPr>
        <w:t xml:space="preserve">proceed</w:t>
      </w:r>
      <w:r>
        <w:rPr>
          <w:b/>
          <w:bCs/>
        </w:rPr>
        <w:t xml:space="preserve"> </w:t>
      </w:r>
      <w:r>
        <w:rPr>
          <w:b/>
          <w:bCs/>
        </w:rPr>
        <w:t xml:space="preserve">on</w:t>
      </w:r>
      <w:r>
        <w:rPr>
          <w:b/>
          <w:bCs/>
        </w:rPr>
        <w:t xml:space="preserve"> </w:t>
      </w:r>
      <w:r>
        <w:rPr>
          <w:b/>
          <w:bCs/>
        </w:rPr>
        <w:t xml:space="preserve">their</w:t>
      </w:r>
      <w:r>
        <w:rPr>
          <w:b/>
          <w:bCs/>
        </w:rPr>
        <w:t xml:space="preserve"> </w:t>
      </w:r>
      <w:r>
        <w:rPr>
          <w:b/>
          <w:bCs/>
        </w:rPr>
        <w:t xml:space="preserve">warning-based</w:t>
      </w:r>
      <w:r>
        <w:rPr>
          <w:b/>
          <w:bCs/>
        </w:rPr>
        <w:t xml:space="preserve"> </w:t>
      </w:r>
      <w:r>
        <w:rPr>
          <w:b/>
          <w:bCs/>
        </w:rPr>
        <w:t xml:space="preserve">WPLA</w:t>
      </w:r>
      <w:r>
        <w:rPr>
          <w:b/>
          <w:bCs/>
        </w:rPr>
        <w:t xml:space="preserve"> </w:t>
      </w:r>
      <w:r>
        <w:rPr>
          <w:b/>
          <w:bCs/>
        </w:rPr>
        <w:t xml:space="preserve">claims,</w:t>
      </w:r>
      <w:r>
        <w:rPr>
          <w:b/>
          <w:bCs/>
        </w:rPr>
        <w:t xml:space="preserve"> </w:t>
      </w:r>
      <w:r>
        <w:rPr>
          <w:b/>
          <w:bCs/>
        </w:rPr>
        <w:t xml:space="preserve">when</w:t>
      </w:r>
      <w:r>
        <w:rPr>
          <w:b/>
          <w:bCs/>
        </w:rPr>
        <w:t xml:space="preserve"> </w:t>
      </w:r>
      <w:r>
        <w:rPr>
          <w:b/>
          <w:bCs/>
        </w:rPr>
        <w:t xml:space="preserve">the</w:t>
      </w:r>
      <w:r>
        <w:rPr>
          <w:b/>
          <w:bCs/>
        </w:rPr>
        <w:t xml:space="preserve"> </w:t>
      </w:r>
      <w:r>
        <w:rPr>
          <w:b/>
          <w:bCs/>
        </w:rPr>
        <w:t xml:space="preserve">injuries</w:t>
      </w:r>
      <w:r>
        <w:rPr>
          <w:b/>
          <w:bCs/>
        </w:rPr>
        <w:t xml:space="preserve"> </w:t>
      </w:r>
      <w:r>
        <w:rPr>
          <w:b/>
          <w:bCs/>
        </w:rPr>
        <w:t xml:space="preserve">arise</w:t>
      </w:r>
      <w:r>
        <w:rPr>
          <w:b/>
          <w:bCs/>
        </w:rPr>
        <w:t xml:space="preserve"> </w:t>
      </w:r>
      <w:r>
        <w:rPr>
          <w:b/>
          <w:bCs/>
        </w:rPr>
        <w:t xml:space="preserve">from</w:t>
      </w:r>
      <w:r>
        <w:rPr>
          <w:b/>
          <w:bCs/>
        </w:rPr>
        <w:t xml:space="preserve"> </w:t>
      </w:r>
      <w:r>
        <w:rPr>
          <w:b/>
          <w:bCs/>
        </w:rPr>
        <w:t xml:space="preserve">intentional</w:t>
      </w:r>
      <w:r>
        <w:rPr>
          <w:b/>
          <w:bCs/>
        </w:rPr>
        <w:t xml:space="preserve"> </w:t>
      </w:r>
      <w:r>
        <w:rPr>
          <w:b/>
          <w:bCs/>
        </w:rPr>
        <w:t xml:space="preserve">self-harm,</w:t>
      </w:r>
      <w:r>
        <w:rPr>
          <w:b/>
          <w:bCs/>
        </w:rPr>
        <w:t xml:space="preserve"> </w:t>
      </w:r>
      <w:r>
        <w:rPr>
          <w:b/>
          <w:bCs/>
        </w:rPr>
        <w:t xml:space="preserve">requires</w:t>
      </w:r>
      <w:r>
        <w:rPr>
          <w:b/>
          <w:bCs/>
        </w:rPr>
        <w:t xml:space="preserve"> </w:t>
      </w:r>
      <w:r>
        <w:rPr>
          <w:b/>
          <w:bCs/>
        </w:rPr>
        <w:t xml:space="preserve">review</w:t>
      </w:r>
      <w:r>
        <w:rPr>
          <w:b/>
          <w:bCs/>
        </w:rPr>
        <w:t xml:space="preserve"> </w:t>
      </w:r>
      <w:r>
        <w:rPr>
          <w:b/>
          <w:bCs/>
        </w:rPr>
        <w:t xml:space="preserve">under</w:t>
      </w:r>
      <w:r>
        <w:rPr>
          <w:b/>
          <w:bCs/>
        </w:rPr>
        <w:t xml:space="preserve"> </w:t>
      </w:r>
      <w:r>
        <w:rPr>
          <w:b/>
          <w:bCs/>
        </w:rPr>
        <w:t xml:space="preserve">RAP</w:t>
      </w:r>
      <w:r>
        <w:rPr>
          <w:b/>
          <w:bCs/>
        </w:rPr>
        <w:t xml:space="preserve"> </w:t>
      </w:r>
      <w:r>
        <w:rPr>
          <w:b/>
          <w:bCs/>
        </w:rPr>
        <w:t xml:space="preserve">2.3(b)⁠(1)</w:t>
      </w:r>
      <w:r>
        <w:rPr>
          <w:b/>
          <w:bCs/>
        </w:rPr>
        <w:t xml:space="preserve"> </w:t>
      </w:r>
      <w:r>
        <w:rPr>
          <w:b/>
          <w:bCs/>
        </w:rPr>
        <w:t xml:space="preserve">and</w:t>
      </w:r>
      <w:r>
        <w:rPr>
          <w:b/>
          <w:bCs/>
        </w:rPr>
        <w:t xml:space="preserve"> </w:t>
      </w:r>
      <w:r>
        <w:rPr>
          <w:b/>
          <w:bCs/>
        </w:rPr>
        <w:t xml:space="preserve">(3).</w:t>
      </w:r>
    </w:p>
    <w:p>
      <w:pPr>
        <w:pStyle w:val="BodyText"/>
      </w:pPr>
      <w:r>
        <w:t xml:space="preserve">The Order also let Plaintiffs proceed on their warning-based claims.</w:t>
      </w:r>
      <w:r>
        <w:t xml:space="preserve"> </w:t>
      </w:r>
      <w:r>
        <w:rPr>
          <w:i/>
          <w:iCs/>
        </w:rPr>
        <w:t xml:space="preserve">See</w:t>
      </w:r>
      <w:r>
        <w:t xml:space="preserve"> </w:t>
      </w:r>
      <w:r>
        <w:t xml:space="preserve">App.127</w:t>
      </w:r>
      <w:r>
        <w:noBreakHyphen/>
      </w:r>
      <w:r>
        <w:t xml:space="preserve">128 ¶¶ 174.e, g-k, 175.m-o. It did so despite the fact that Plaintiffs themselves allege that both decedents died from intentionally ingesting an industrial-grade chemical that came in a bottle with warnings indicating it was toxic and should not be swallowed.</w:t>
      </w:r>
      <w:r>
        <w:t xml:space="preserve"> </w:t>
      </w:r>
      <w:r>
        <w:rPr>
          <w:i/>
          <w:iCs/>
        </w:rPr>
        <w:t xml:space="preserve">See</w:t>
      </w:r>
      <w:r>
        <w:t xml:space="preserve"> </w:t>
      </w:r>
      <w:r>
        <w:t xml:space="preserve">App.113</w:t>
      </w:r>
      <w:r>
        <w:noBreakHyphen/>
      </w:r>
      <w:r>
        <w:t xml:space="preserve">122. In doing so, the trial court contradicted the plain text of the WPLA and well-established precedent applying it.</w:t>
      </w:r>
    </w:p>
    <w:p>
      <w:pPr>
        <w:keepNext/>
        <w:keepLines/>
        <w:spacing w:before="280" w:after="224" w:line="322" w:lineRule="exact"/>
        <w:ind w:left="1080" w:hanging="720"/>
        <w:jc w:val="left"/>
      </w:pPr>
      <w:r>
        <w:rPr>
          <w:b/>
          <w:bCs/>
        </w:rPr>
        <w:t xml:space="preserve">1.</w:t>
      </w:r>
      <w:r>
        <w:rPr>
          <w:b/>
          <w:bCs/>
        </w:rPr>
        <w:t xml:space="preserve"> </w:t>
      </w:r>
      <w:r>
        <w:rPr>
          <w:b/>
          <w:bCs/>
        </w:rPr>
        <w:t xml:space="preserve">Permitting</w:t>
      </w:r>
      <w:r>
        <w:rPr>
          <w:b/>
          <w:bCs/>
        </w:rPr>
        <w:t xml:space="preserve"> </w:t>
      </w:r>
      <w:r>
        <w:rPr>
          <w:b/>
          <w:bCs/>
        </w:rPr>
        <w:t xml:space="preserve">Plaintiffs</w:t>
      </w:r>
      <w:r>
        <w:rPr>
          <w:b/>
          <w:bCs/>
        </w:rPr>
        <w:t xml:space="preserve"> </w:t>
      </w:r>
      <w:r>
        <w:rPr>
          <w:b/>
          <w:bCs/>
        </w:rPr>
        <w:t xml:space="preserve">to</w:t>
      </w:r>
      <w:r>
        <w:rPr>
          <w:b/>
          <w:bCs/>
        </w:rPr>
        <w:t xml:space="preserve"> </w:t>
      </w:r>
      <w:r>
        <w:rPr>
          <w:b/>
          <w:bCs/>
        </w:rPr>
        <w:t xml:space="preserve">proceed</w:t>
      </w:r>
      <w:r>
        <w:rPr>
          <w:b/>
          <w:bCs/>
        </w:rPr>
        <w:t xml:space="preserve"> </w:t>
      </w:r>
      <w:r>
        <w:rPr>
          <w:b/>
          <w:bCs/>
        </w:rPr>
        <w:t xml:space="preserve">on</w:t>
      </w:r>
      <w:r>
        <w:rPr>
          <w:b/>
          <w:bCs/>
        </w:rPr>
        <w:t xml:space="preserve"> </w:t>
      </w:r>
      <w:r>
        <w:rPr>
          <w:b/>
          <w:bCs/>
        </w:rPr>
        <w:t xml:space="preserve">their</w:t>
      </w:r>
      <w:r>
        <w:rPr>
          <w:b/>
          <w:bCs/>
        </w:rPr>
        <w:t xml:space="preserve"> </w:t>
      </w:r>
      <w:r>
        <w:rPr>
          <w:b/>
          <w:bCs/>
        </w:rPr>
        <w:t xml:space="preserve">warning-based</w:t>
      </w:r>
      <w:r>
        <w:rPr>
          <w:b/>
          <w:bCs/>
        </w:rPr>
        <w:t xml:space="preserve"> </w:t>
      </w:r>
      <w:r>
        <w:rPr>
          <w:b/>
          <w:bCs/>
        </w:rPr>
        <w:t xml:space="preserve">manufacturer-liability</w:t>
      </w:r>
      <w:r>
        <w:rPr>
          <w:b/>
          <w:bCs/>
        </w:rPr>
        <w:t xml:space="preserve"> </w:t>
      </w:r>
      <w:r>
        <w:rPr>
          <w:b/>
          <w:bCs/>
        </w:rPr>
        <w:t xml:space="preserve">claims</w:t>
      </w:r>
      <w:r>
        <w:rPr>
          <w:b/>
          <w:bCs/>
        </w:rPr>
        <w:t xml:space="preserve"> </w:t>
      </w:r>
      <w:r>
        <w:rPr>
          <w:b/>
          <w:bCs/>
        </w:rPr>
        <w:t xml:space="preserve">contradicts</w:t>
      </w:r>
      <w:r>
        <w:rPr>
          <w:b/>
          <w:bCs/>
        </w:rPr>
        <w:t xml:space="preserve"> </w:t>
      </w:r>
      <w:r>
        <w:rPr>
          <w:b/>
          <w:bCs/>
        </w:rPr>
        <w:t xml:space="preserve">the</w:t>
      </w:r>
      <w:r>
        <w:rPr>
          <w:b/>
          <w:bCs/>
        </w:rPr>
        <w:t xml:space="preserve"> </w:t>
      </w:r>
      <w:r>
        <w:rPr>
          <w:b/>
          <w:bCs/>
        </w:rPr>
        <w:t xml:space="preserve">WPLA’s</w:t>
      </w:r>
      <w:r>
        <w:rPr>
          <w:b/>
          <w:bCs/>
        </w:rPr>
        <w:t xml:space="preserve"> </w:t>
      </w:r>
      <w:r>
        <w:rPr>
          <w:b/>
          <w:bCs/>
        </w:rPr>
        <w:t xml:space="preserve">text</w:t>
      </w:r>
      <w:r>
        <w:rPr>
          <w:b/>
          <w:bCs/>
        </w:rPr>
        <w:t xml:space="preserve"> </w:t>
      </w:r>
      <w:r>
        <w:rPr>
          <w:b/>
          <w:bCs/>
        </w:rPr>
        <w:t xml:space="preserve">and</w:t>
      </w:r>
      <w:r>
        <w:rPr>
          <w:b/>
          <w:bCs/>
        </w:rPr>
        <w:t xml:space="preserve"> </w:t>
      </w:r>
      <w:r>
        <w:rPr>
          <w:b/>
          <w:bCs/>
        </w:rPr>
        <w:t xml:space="preserve">controlling</w:t>
      </w:r>
      <w:r>
        <w:rPr>
          <w:b/>
          <w:bCs/>
        </w:rPr>
        <w:t xml:space="preserve"> </w:t>
      </w:r>
      <w:r>
        <w:rPr>
          <w:b/>
          <w:bCs/>
        </w:rPr>
        <w:t xml:space="preserve">precedent.</w:t>
      </w:r>
    </w:p>
    <w:p>
      <w:pPr>
        <w:pStyle w:val="BodyTextNote"/>
      </w:pPr>
      <w:r>
        <w:t xml:space="preserve">Plaintiffs bring a cluster of claims seeking to impose manufacturer liability on Amazon under RCW 7.72.030.</w:t>
      </w:r>
      <w:r>
        <w:t xml:space="preserve"> </w:t>
      </w:r>
      <w:r>
        <w:t xml:space="preserve">Specifically, they assert that Amazon failed to provide “adequate warnings or instructions,”</w:t>
      </w:r>
      <w:r>
        <w:t xml:space="preserve"> </w:t>
      </w:r>
      <w:r>
        <w:rPr>
          <w:i/>
          <w:iCs/>
        </w:rPr>
        <w:t xml:space="preserve">see</w:t>
      </w:r>
      <w:r>
        <w:t xml:space="preserve"> </w:t>
      </w:r>
      <w:r>
        <w:t xml:space="preserve">RCW 7.72.030(1)⁠(b)-(c);</w:t>
      </w:r>
      <w:r>
        <w:t xml:space="preserve"> </w:t>
      </w:r>
      <w:r>
        <w:t xml:space="preserve">App.127</w:t>
      </w:r>
      <w:r>
        <w:noBreakHyphen/>
      </w:r>
      <w:r>
        <w:t xml:space="preserve">128 ¶¶ 175.n-⁠o, and sold a product that “was unsafe to an extent beyond that which would be contemplated by the ordinary consumer,”</w:t>
      </w:r>
      <w:r>
        <w:t xml:space="preserve"> </w:t>
      </w:r>
      <w:r>
        <w:rPr>
          <w:i/>
          <w:iCs/>
        </w:rPr>
        <w:t xml:space="preserve">see</w:t>
      </w:r>
      <w:r>
        <w:t xml:space="preserve"> </w:t>
      </w:r>
      <w:r>
        <w:t xml:space="preserve">RCW 7.72.030(3);</w:t>
      </w:r>
      <w:r>
        <w:t xml:space="preserve"> </w:t>
      </w:r>
      <w:r>
        <w:t xml:space="preserve">App.128 ¶ 175.m. These three theories all reduce to failure-to-warn claims.</w:t>
      </w:r>
      <w:r>
        <w:rPr>
          <w:rStyle w:val="FootnoteReference"/>
        </w:rPr>
        <w:footnoteReference w:id="9"/>
      </w:r>
      <w:r>
        <w:t xml:space="preserve"> </w:t>
      </w:r>
      <w:r>
        <w:t xml:space="preserve">And they are squarely foreclosed for three reasons.</w:t>
      </w:r>
    </w:p>
    <w:p>
      <w:pPr>
        <w:pStyle w:val="BodyText"/>
      </w:pPr>
      <w:r>
        <w:t xml:space="preserve">First, the warnings provided with the sodium nitrite were clearly adequate. A product’s warning is adequate under the WPLA if it “warn[s] of the general risk of injury and of the serious risk of injury.”</w:t>
      </w:r>
      <w:r>
        <w:t xml:space="preserve"> </w:t>
      </w:r>
      <w:r>
        <w:rPr>
          <w:i/>
          <w:iCs/>
        </w:rPr>
        <w:t xml:space="preserve">Anderson</w:t>
      </w:r>
      <w:r>
        <w:rPr>
          <w:i/>
          <w:iCs/>
        </w:rPr>
        <w:t xml:space="preserve"> </w:t>
      </w:r>
      <w:r>
        <w:rPr>
          <w:i/>
          <w:iCs/>
        </w:rPr>
        <w:t xml:space="preserve">v. Weslo, Inc.</w:t>
      </w:r>
      <w:r>
        <w:t xml:space="preserve">, 79 Wn. App. 829, 840, 906 P.2d 336 (1995). This “standard” requires that the product’s warning “apprise” users “of its dangers and … advise them of the measures to take to avoid those dangers.”</w:t>
      </w:r>
      <w:r>
        <w:t xml:space="preserve"> </w:t>
      </w:r>
      <w:r>
        <w:rPr>
          <w:i/>
          <w:iCs/>
        </w:rPr>
        <w:t xml:space="preserve">Baughn</w:t>
      </w:r>
      <w:r>
        <w:rPr>
          <w:i/>
          <w:iCs/>
        </w:rPr>
        <w:t xml:space="preserve"> </w:t>
      </w:r>
      <w:r>
        <w:rPr>
          <w:i/>
          <w:iCs/>
        </w:rPr>
        <w:t xml:space="preserve">v. Honda Motor Co.</w:t>
      </w:r>
      <w:r>
        <w:t xml:space="preserve">, 107 Wn.2d 127, 139</w:t>
      </w:r>
      <w:r>
        <w:noBreakHyphen/>
      </w:r>
      <w:r>
        <w:t xml:space="preserve">40, 727 P.2d 655 (1986) (cleaned up). Here, the label (pictured above and in the First Amended Complaint) has a picture of a skull and crossbones. It says “Danger” “Toxic if swallowed.”</w:t>
      </w:r>
      <w:r>
        <w:t xml:space="preserve"> </w:t>
      </w:r>
      <w:r>
        <w:rPr>
          <w:i/>
          <w:iCs/>
        </w:rPr>
        <w:t xml:space="preserve">See supra</w:t>
      </w:r>
      <w:r>
        <w:t xml:space="preserve"> </w:t>
      </w:r>
      <w:r>
        <w:t xml:space="preserve">at 4</w:t>
      </w:r>
      <w:r>
        <w:noBreakHyphen/>
      </w:r>
      <w:r>
        <w:t xml:space="preserve">5. And it says, with capitalized emphasis, “IF SWALLOWED, immediately call a POISON CENTER or doctor/​physician.”</w:t>
      </w:r>
      <w:r>
        <w:t xml:space="preserve"> </w:t>
      </w:r>
      <w:r>
        <w:rPr>
          <w:i/>
          <w:iCs/>
        </w:rPr>
        <w:t xml:space="preserve">Id.</w:t>
      </w:r>
    </w:p>
    <w:p>
      <w:pPr>
        <w:pStyle w:val="BodyText"/>
      </w:pPr>
      <w:r>
        <w:t xml:space="preserve">The product warnings here clearly alerted users to “its dangers” (toxicity) and “the measures to take to avoid those dangers” (do not ingest it, and call a poison center if ingested).</w:t>
      </w:r>
      <w:r>
        <w:t xml:space="preserve"> </w:t>
      </w:r>
      <w:r>
        <w:rPr>
          <w:i/>
          <w:iCs/>
        </w:rPr>
        <w:t xml:space="preserve">Baughn</w:t>
      </w:r>
      <w:r>
        <w:t xml:space="preserve">, 107 Wn.2d at 139</w:t>
      </w:r>
      <w:r>
        <w:noBreakHyphen/>
      </w:r>
      <w:r>
        <w:t xml:space="preserve">40 (citation omitted).</w:t>
      </w:r>
    </w:p>
    <w:p>
      <w:pPr>
        <w:pStyle w:val="BodyText"/>
      </w:pPr>
      <w:r>
        <w:t xml:space="preserve">Second, even if there were a question about the warnings’ adequacy, there was no duty to warn here. It is well-established that there is no duty to warn “at all in instances where a danger is obvious or known.”</w:t>
      </w:r>
      <w:r>
        <w:t xml:space="preserve"> </w:t>
      </w:r>
      <w:r>
        <w:rPr>
          <w:i/>
          <w:iCs/>
        </w:rPr>
        <w:t xml:space="preserve">Baughn</w:t>
      </w:r>
      <w:r>
        <w:t xml:space="preserve">, 107 Wn.2d at 139. The decedents here were not unwitting users of a dangerous product; they sought it out, mixed it with water, and swallowed it. App.113</w:t>
      </w:r>
      <w:r>
        <w:noBreakHyphen/>
      </w:r>
      <w:r>
        <w:t xml:space="preserve">117, 119</w:t>
      </w:r>
      <w:r>
        <w:noBreakHyphen/>
      </w:r>
      <w:r>
        <w:t xml:space="preserve">121. And Mikael, who indisputably had a premeditated plan to commit suicide, knew that imbibing it would cause death. App.115</w:t>
      </w:r>
      <w:r>
        <w:noBreakHyphen/>
      </w:r>
      <w:r>
        <w:t xml:space="preserve">117. Washington courts have held, in cases involving far more benign activities with far younger product-users, that there was an obvious danger. That includes: a 16-year-old performing somersaults on a trampoline,</w:t>
      </w:r>
      <w:r>
        <w:t xml:space="preserve"> </w:t>
      </w:r>
      <w:r>
        <w:rPr>
          <w:i/>
          <w:iCs/>
        </w:rPr>
        <w:t xml:space="preserve">see Anderson</w:t>
      </w:r>
      <w:r>
        <w:t xml:space="preserve">, 79 Wn. App. at 832; two 8-year-olds riding a mini-trail bike on public roads without helmets,</w:t>
      </w:r>
      <w:r>
        <w:t xml:space="preserve"> </w:t>
      </w:r>
      <w:r>
        <w:rPr>
          <w:i/>
          <w:iCs/>
        </w:rPr>
        <w:t xml:space="preserve">see Baughn</w:t>
      </w:r>
      <w:r>
        <w:t xml:space="preserve">, 107 Wn.2d at 130</w:t>
      </w:r>
      <w:r>
        <w:noBreakHyphen/>
      </w:r>
      <w:r>
        <w:t xml:space="preserve">31, 139</w:t>
      </w:r>
      <w:r>
        <w:noBreakHyphen/>
      </w:r>
      <w:r>
        <w:t xml:space="preserve">41; and an infant using “a baby walker” that “allow[ed] the baby some mobility,”</w:t>
      </w:r>
      <w:r>
        <w:t xml:space="preserve"> </w:t>
      </w:r>
      <w:r>
        <w:rPr>
          <w:i/>
          <w:iCs/>
        </w:rPr>
        <w:t xml:space="preserve">Thongchoom</w:t>
      </w:r>
      <w:r>
        <w:rPr>
          <w:i/>
          <w:iCs/>
        </w:rPr>
        <w:t xml:space="preserve"> </w:t>
      </w:r>
      <w:r>
        <w:rPr>
          <w:i/>
          <w:iCs/>
        </w:rPr>
        <w:t xml:space="preserve">v. Graco Children’s Prods., Inc.</w:t>
      </w:r>
      <w:r>
        <w:t xml:space="preserve">, 117 Wn. App. 299, 305, 71 P.3d 214 (2003). Under that precedent, ingesting large doses of an industrial-grade chemical—especially one in a bottle with a skull-and-crossbones picture on its label that was imbibed because of its known fatal properties—was an obvious danger.</w:t>
      </w:r>
    </w:p>
    <w:p>
      <w:pPr>
        <w:pStyle w:val="BodyText"/>
      </w:pPr>
      <w:r>
        <w:t xml:space="preserve">Third, the decedents’ deaths were not “proximately caused” by Amazon’s allegedly inadequate warnings or misrepresentations. RCW 7.72.030(1),</w:t>
      </w:r>
      <w:r>
        <w:t xml:space="preserve"> </w:t>
      </w:r>
      <w:r>
        <w:t xml:space="preserve">(3);</w:t>
      </w:r>
      <w:r>
        <w:t xml:space="preserve"> </w:t>
      </w:r>
      <w:r>
        <w:rPr>
          <w:i/>
          <w:iCs/>
        </w:rPr>
        <w:t xml:space="preserve">id.</w:t>
      </w:r>
      <w:r>
        <w:t xml:space="preserve"> </w:t>
      </w:r>
      <w:r>
        <w:t xml:space="preserve">7.72.040(1).</w:t>
      </w:r>
      <w:r>
        <w:t xml:space="preserve"> </w:t>
      </w:r>
      <w:r>
        <w:t xml:space="preserve">Washington courts have been clear that alleged inadequacies in the warnings or representations provided with a product cannot be a proximate cause when the product-user “chooses to act without regard to” the risks the product-user is warned about. 107 Wn.2d at 143 (cleaned up). Given that the sodium nitrite’s “warnings adequately informed users of the risk,” and the decedents intentionally ingested it anyway, “proximate cause has not been established as a matter of law.”</w:t>
      </w:r>
      <w:r>
        <w:t xml:space="preserve"> </w:t>
      </w:r>
      <w:r>
        <w:rPr>
          <w:i/>
          <w:iCs/>
        </w:rPr>
        <w:t xml:space="preserve">Anderson</w:t>
      </w:r>
      <w:r>
        <w:t xml:space="preserve">, 79 Wn. App. at 840.</w:t>
      </w:r>
    </w:p>
    <w:p>
      <w:pPr>
        <w:keepNext/>
        <w:keepLines/>
        <w:spacing w:before="280" w:after="224" w:line="322" w:lineRule="exact"/>
        <w:ind w:left="1080" w:hanging="720"/>
        <w:jc w:val="left"/>
      </w:pPr>
      <w:r>
        <w:rPr>
          <w:b/>
          <w:bCs/>
        </w:rPr>
        <w:t xml:space="preserve">2.</w:t>
      </w:r>
      <w:r>
        <w:rPr>
          <w:b/>
          <w:bCs/>
        </w:rPr>
        <w:t xml:space="preserve"> </w:t>
      </w:r>
      <w:r>
        <w:rPr>
          <w:b/>
          <w:bCs/>
        </w:rPr>
        <w:t xml:space="preserve">Permitting</w:t>
      </w:r>
      <w:r>
        <w:rPr>
          <w:b/>
          <w:bCs/>
        </w:rPr>
        <w:t xml:space="preserve"> </w:t>
      </w:r>
      <w:r>
        <w:rPr>
          <w:b/>
          <w:bCs/>
        </w:rPr>
        <w:t xml:space="preserve">Plaintiffs</w:t>
      </w:r>
      <w:r>
        <w:rPr>
          <w:b/>
          <w:bCs/>
        </w:rPr>
        <w:t xml:space="preserve"> </w:t>
      </w:r>
      <w:r>
        <w:rPr>
          <w:b/>
          <w:bCs/>
        </w:rPr>
        <w:t xml:space="preserve">to</w:t>
      </w:r>
      <w:r>
        <w:rPr>
          <w:b/>
          <w:bCs/>
        </w:rPr>
        <w:t xml:space="preserve"> </w:t>
      </w:r>
      <w:r>
        <w:rPr>
          <w:b/>
          <w:bCs/>
        </w:rPr>
        <w:t xml:space="preserve">proceed</w:t>
      </w:r>
      <w:r>
        <w:rPr>
          <w:b/>
          <w:bCs/>
        </w:rPr>
        <w:t xml:space="preserve"> </w:t>
      </w:r>
      <w:r>
        <w:rPr>
          <w:b/>
          <w:bCs/>
        </w:rPr>
        <w:t xml:space="preserve">on</w:t>
      </w:r>
      <w:r>
        <w:rPr>
          <w:b/>
          <w:bCs/>
        </w:rPr>
        <w:t xml:space="preserve"> </w:t>
      </w:r>
      <w:r>
        <w:rPr>
          <w:b/>
          <w:bCs/>
        </w:rPr>
        <w:t xml:space="preserve">warning-based</w:t>
      </w:r>
      <w:r>
        <w:rPr>
          <w:b/>
          <w:bCs/>
        </w:rPr>
        <w:t xml:space="preserve"> </w:t>
      </w:r>
      <w:r>
        <w:rPr>
          <w:b/>
          <w:bCs/>
        </w:rPr>
        <w:t xml:space="preserve">claims</w:t>
      </w:r>
      <w:r>
        <w:rPr>
          <w:b/>
          <w:bCs/>
        </w:rPr>
        <w:t xml:space="preserve"> </w:t>
      </w:r>
      <w:r>
        <w:rPr>
          <w:b/>
          <w:bCs/>
        </w:rPr>
        <w:t xml:space="preserve">regarding</w:t>
      </w:r>
      <w:r>
        <w:rPr>
          <w:b/>
          <w:bCs/>
        </w:rPr>
        <w:t xml:space="preserve"> </w:t>
      </w:r>
      <w:r>
        <w:rPr>
          <w:b/>
          <w:bCs/>
        </w:rPr>
        <w:t xml:space="preserve">the</w:t>
      </w:r>
      <w:r>
        <w:rPr>
          <w:b/>
          <w:bCs/>
        </w:rPr>
        <w:t xml:space="preserve"> </w:t>
      </w:r>
      <w:r>
        <w:rPr>
          <w:b/>
          <w:bCs/>
        </w:rPr>
        <w:t xml:space="preserve">Amazon</w:t>
      </w:r>
      <w:r>
        <w:rPr>
          <w:b/>
          <w:bCs/>
        </w:rPr>
        <w:t xml:space="preserve"> </w:t>
      </w:r>
      <w:r>
        <w:rPr>
          <w:b/>
          <w:bCs/>
        </w:rPr>
        <w:t xml:space="preserve">website</w:t>
      </w:r>
      <w:r>
        <w:rPr>
          <w:b/>
          <w:bCs/>
        </w:rPr>
        <w:t xml:space="preserve"> </w:t>
      </w:r>
      <w:r>
        <w:rPr>
          <w:b/>
          <w:bCs/>
        </w:rPr>
        <w:t xml:space="preserve">was</w:t>
      </w:r>
      <w:r>
        <w:rPr>
          <w:b/>
          <w:bCs/>
        </w:rPr>
        <w:t xml:space="preserve"> </w:t>
      </w:r>
      <w:r>
        <w:rPr>
          <w:b/>
          <w:bCs/>
        </w:rPr>
        <w:t xml:space="preserve">contrary</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WPLA’s</w:t>
      </w:r>
      <w:r>
        <w:rPr>
          <w:b/>
          <w:bCs/>
        </w:rPr>
        <w:t xml:space="preserve"> </w:t>
      </w:r>
      <w:r>
        <w:rPr>
          <w:b/>
          <w:bCs/>
        </w:rPr>
        <w:t xml:space="preserve">text</w:t>
      </w:r>
      <w:r>
        <w:rPr>
          <w:b/>
          <w:bCs/>
        </w:rPr>
        <w:t xml:space="preserve"> </w:t>
      </w:r>
      <w:r>
        <w:rPr>
          <w:b/>
          <w:bCs/>
        </w:rPr>
        <w:t xml:space="preserve">and</w:t>
      </w:r>
      <w:r>
        <w:rPr>
          <w:b/>
          <w:bCs/>
        </w:rPr>
        <w:t xml:space="preserve"> </w:t>
      </w:r>
      <w:r>
        <w:rPr>
          <w:b/>
          <w:bCs/>
        </w:rPr>
        <w:t xml:space="preserve">precedent.</w:t>
      </w:r>
    </w:p>
    <w:p>
      <w:pPr>
        <w:pStyle w:val="BodyText"/>
      </w:pPr>
      <w:r>
        <w:t xml:space="preserve">The Order also permitted Plaintiffs to proceed on Count I’s various allegations that seek to hold Amazon liable “as a product seller” for supposed shortcomings in the warnings that Plaintiffs believe should have been on the Amazon webpage for the sodium nitrite.</w:t>
      </w:r>
      <w:r>
        <w:t xml:space="preserve"> </w:t>
      </w:r>
      <w:r>
        <w:rPr>
          <w:i/>
          <w:iCs/>
        </w:rPr>
        <w:t xml:space="preserve">See</w:t>
      </w:r>
      <w:r>
        <w:t xml:space="preserve"> </w:t>
      </w:r>
      <w:r>
        <w:t xml:space="preserve">App.127 ¶ 174.e, g-k. But those claims are contrary to the plain text of the WPLA and binding precedent applying it. The WPLA imposes a duty on the manufacturer—not the seller—to provide warnings “with the product.” RCW 7.72.030(1)⁠(b).</w:t>
      </w:r>
      <w:r>
        <w:t xml:space="preserve"> </w:t>
      </w:r>
      <w:r>
        <w:t xml:space="preserve">It does not require separate warnings on a website. Hence, Washington courts have held that there is no duty to provide “additional warnings beyond those that are provided with the product.”</w:t>
      </w:r>
      <w:r>
        <w:t xml:space="preserve"> </w:t>
      </w:r>
      <w:r>
        <w:rPr>
          <w:i/>
          <w:iCs/>
        </w:rPr>
        <w:t xml:space="preserve">Sherman</w:t>
      </w:r>
      <w:r>
        <w:rPr>
          <w:i/>
          <w:iCs/>
        </w:rPr>
        <w:t xml:space="preserve"> </w:t>
      </w:r>
      <w:r>
        <w:rPr>
          <w:i/>
          <w:iCs/>
        </w:rPr>
        <w:t xml:space="preserve">v. Pfizer, Inc.</w:t>
      </w:r>
      <w:r>
        <w:t xml:space="preserve">, 8 Wn. App. 2d 686, 701, 440 P.3d 1016 (2019);</w:t>
      </w:r>
      <w:r>
        <w:t xml:space="preserve"> </w:t>
      </w:r>
      <w:r>
        <w:rPr>
          <w:i/>
          <w:iCs/>
        </w:rPr>
        <w:t xml:space="preserve">accord Dearinger</w:t>
      </w:r>
      <w:r>
        <w:rPr>
          <w:i/>
          <w:iCs/>
        </w:rPr>
        <w:t xml:space="preserve"> </w:t>
      </w:r>
      <w:r>
        <w:rPr>
          <w:i/>
          <w:iCs/>
        </w:rPr>
        <w:t xml:space="preserve">v. Eli Lilly &amp; Co.</w:t>
      </w:r>
      <w:r>
        <w:t xml:space="preserve">, 199 Wn.2d 569, 576, 510 P.3d 326 (2022). And, in any event, there can be no “proximate cause … as a matter of law” given that the decedents acted in disregard of the product’s warning.</w:t>
      </w:r>
      <w:r>
        <w:t xml:space="preserve"> </w:t>
      </w:r>
      <w:r>
        <w:rPr>
          <w:i/>
          <w:iCs/>
        </w:rPr>
        <w:t xml:space="preserve">Anderson</w:t>
      </w:r>
      <w:r>
        <w:t xml:space="preserve">, 79 Wn. App. at 840. Permitting Plaintiffs to proceed on such extra-statutory claims was highly improper given the WPLA’s purpose of limiting seller liability.</w:t>
      </w:r>
    </w:p>
    <w:p>
      <w:pPr>
        <w:pStyle w:val="BodyText"/>
      </w:pPr>
      <w:r>
        <w:t xml:space="preserve">* * *</w:t>
      </w:r>
    </w:p>
    <w:p>
      <w:pPr>
        <w:pStyle w:val="BodyText"/>
      </w:pPr>
      <w:r>
        <w:t xml:space="preserve">Discretionary review under RAP 2.3(b)⁠(1)</w:t>
      </w:r>
      <w:r>
        <w:t xml:space="preserve"> </w:t>
      </w:r>
      <w:r>
        <w:t xml:space="preserve">and (3) is warranted for the same reasons discussed above.</w:t>
      </w:r>
      <w:r>
        <w:t xml:space="preserve"> </w:t>
      </w:r>
      <w:r>
        <w:rPr>
          <w:i/>
          <w:iCs/>
        </w:rPr>
        <w:t xml:space="preserve">See supra</w:t>
      </w:r>
      <w:r>
        <w:t xml:space="preserve"> </w:t>
      </w:r>
      <w:r>
        <w:t xml:space="preserve">at Part A. The Order permits Plaintiffs to proceed with claims under the WPLA, when those claims are clearly foreclosed by the WPLA’s text and the precedent construing it.</w:t>
      </w:r>
    </w:p>
    <w:p>
      <w:pPr>
        <w:keepNext/>
        <w:keepLines/>
        <w:spacing w:before="448" w:after="336" w:line="322" w:lineRule="exact"/>
        <w:ind w:left="0" w:firstLine="0"/>
        <w:jc w:val="center"/>
      </w:pPr>
      <w:r>
        <w:rPr>
          <w:b/>
          <w:bCs/>
        </w:rPr>
        <w:t xml:space="preserve">CONCLUSION</w:t>
      </w:r>
    </w:p>
    <w:p>
      <w:pPr>
        <w:pStyle w:val="BodyText"/>
      </w:pPr>
      <w:r>
        <w:t xml:space="preserve">Amazon respectfully requests review of the superior court’s denial of its motion to dismiss.</w:t>
      </w:r>
    </w:p>
    <w:p>
      <w:pPr>
        <w:spacing w:before="0" w:after="0" w:line="432" w:lineRule="exact"/>
      </w:pPr>
    </w:p>
    <w:tbl>
      <w:tblPr>
        <w:tblW w:w="7200" w:type="dxa"/>
        <w:tblLayout w:type="fixed"/>
        <w:tblCellMar>
          <w:top w:w="0" w:type="dxa"/>
          <w:left w:w="0" w:type="dxa"/>
          <w:bottom w:w="0" w:type="dxa"/>
          <w:right w:w="0" w:type="dxa"/>
        </w:tblCellMar>
        <w:tblLook w:val="0000" w:firstRow="0" w:lastRow="0" w:firstColumn="0" w:lastColumn="0" w:noHBand="0" w:noVBand="0"/>
      </w:tblPr>
      <w:tblGrid>
        <w:gridCol w:w="7200"/>
      </w:tblGrid>
      <w:tr>
        <w:trPr>
          <w:cantSplit/>
        </w:trPr>
        <w:tc>
          <w:tcPr>
            <w:tcW w:w="7200" w:type="dxa"/>
          </w:tcPr>
          <w:p>
            <w:pPr>
              <w:spacing w:before="0" w:after="0" w:line="644" w:lineRule="exact"/>
              <w:ind w:left="0" w:firstLine="0"/>
              <w:jc w:val="left"/>
            </w:pPr>
            <w:r>
              <w:t xml:space="preserve">February</w:t>
            </w:r>
            <w:r>
              <w:t xml:space="preserve"> </w:t>
            </w:r>
            <w:r>
              <w:t xml:space="preserve">13,</w:t>
            </w:r>
            <w:r>
              <w:t xml:space="preserve"> </w:t>
            </w:r>
            <w:r>
              <w:t xml:space="preserve">2023</w:t>
            </w:r>
          </w:p>
          <w:p>
            <w:pPr>
              <w:spacing w:before="0" w:after="0" w:line="644" w:lineRule="exact"/>
              <w:ind w:left="0" w:firstLine="720"/>
              <w:jc w:val="left"/>
            </w:pPr>
            <w:r>
              <w:t xml:space="preserve">Counsel</w:t>
            </w:r>
            <w:r>
              <w:t xml:space="preserve"> </w:t>
            </w:r>
            <w:r>
              <w:t xml:space="preserve">certifies</w:t>
            </w:r>
            <w:r>
              <w:t xml:space="preserve"> </w:t>
            </w:r>
            <w:r>
              <w:t xml:space="preserve">this</w:t>
            </w:r>
            <w:r>
              <w:t xml:space="preserve"> </w:t>
            </w:r>
            <w:r>
              <w:t xml:space="preserve">motion</w:t>
            </w:r>
            <w:r>
              <w:t xml:space="preserve"> </w:t>
            </w:r>
            <w:r>
              <w:t xml:space="preserve">complies</w:t>
            </w:r>
            <w:r>
              <w:t xml:space="preserve"> </w:t>
            </w:r>
            <w:r>
              <w:t xml:space="preserve">with</w:t>
            </w:r>
            <w:r>
              <w:t xml:space="preserve"> </w:t>
            </w:r>
            <w:r>
              <w:t xml:space="preserve">RAP</w:t>
            </w:r>
            <w:r>
              <w:t xml:space="preserve"> </w:t>
            </w:r>
            <w:r>
              <w:t xml:space="preserve">18.17</w:t>
            </w:r>
            <w:r>
              <w:t xml:space="preserve"> </w:t>
            </w:r>
            <w:r>
              <w:t xml:space="preserve">and</w:t>
            </w:r>
            <w:r>
              <w:t xml:space="preserve"> </w:t>
            </w:r>
            <w:r>
              <w:t xml:space="preserve">contains</w:t>
            </w:r>
            <w:r>
              <w:t xml:space="preserve"> </w:t>
            </w:r>
            <w:r>
              <w:t xml:space="preserve">4,522</w:t>
            </w:r>
            <w:r>
              <w:t xml:space="preserve"> </w:t>
            </w:r>
            <w:r>
              <w:t xml:space="preserve">words,</w:t>
            </w:r>
            <w:r>
              <w:t xml:space="preserve"> </w:t>
            </w:r>
            <w:r>
              <w:t xml:space="preserve">excluding</w:t>
            </w:r>
            <w:r>
              <w:t xml:space="preserve"> </w:t>
            </w:r>
            <w:r>
              <w:t xml:space="preserve">the</w:t>
            </w:r>
            <w:r>
              <w:t xml:space="preserve"> </w:t>
            </w:r>
            <w:r>
              <w:t xml:space="preserve">parts</w:t>
            </w:r>
            <w:r>
              <w:t xml:space="preserve"> </w:t>
            </w:r>
            <w:r>
              <w:t xml:space="preserve">exempted</w:t>
            </w:r>
            <w:r>
              <w:t xml:space="preserve"> </w:t>
            </w:r>
            <w:r>
              <w:t xml:space="preserve">by</w:t>
            </w:r>
            <w:r>
              <w:t xml:space="preserve"> </w:t>
            </w:r>
            <w:r>
              <w:t xml:space="preserve">RAP</w:t>
            </w:r>
            <w:r>
              <w:t xml:space="preserve"> </w:t>
            </w:r>
            <w:r>
              <w:t xml:space="preserve">18.17(c).</w:t>
            </w:r>
          </w:p>
          <w:p>
            <w:pPr>
              <w:spacing w:before="0" w:after="0" w:line="644" w:lineRule="exact"/>
              <w:ind w:left="0" w:firstLine="720"/>
              <w:jc w:val="left"/>
            </w:pPr>
            <w:r>
              <w:t xml:space="preserve">Respectfully</w:t>
            </w:r>
            <w:r>
              <w:t xml:space="preserve"> </w:t>
            </w:r>
            <w:r>
              <w:t xml:space="preserve">submitted,</w:t>
            </w:r>
          </w:p>
          <w:p>
            <w:pPr>
              <w:spacing w:before="0" w:after="0" w:line="112" w:lineRule="exact"/>
            </w:pPr>
          </w:p>
          <w:tbl>
            <w:tblPr>
              <w:tblW w:w="7200" w:type="dxa"/>
              <w:tblLayout w:type="fixed"/>
              <w:tblCellMar>
                <w:top w:w="0" w:type="dxa"/>
                <w:left w:w="0" w:type="dxa"/>
                <w:bottom w:w="0" w:type="dxa"/>
                <w:right w:w="0" w:type="dxa"/>
              </w:tblCellMar>
              <w:tblLook w:val="0000" w:firstRow="0" w:lastRow="0" w:firstColumn="0" w:lastColumn="0" w:noHBand="0" w:noVBand="0"/>
            </w:tblPr>
            <w:tblGrid>
              <w:gridCol w:w="7200"/>
            </w:tblGrid>
            <w:tr>
              <w:trPr>
                <w:cantSplit/>
              </w:trPr>
              <w:tc>
                <w:tcPr>
                  <w:tcW w:w="7200" w:type="dxa"/>
                </w:tcPr>
                <w:p>
                  <w:pPr>
                    <w:spacing w:before="0" w:after="0" w:line="322" w:lineRule="exact"/>
                    <w:ind w:left="2160" w:firstLine="0"/>
                    <w:jc w:val="left"/>
                  </w:pPr>
                  <w:r>
                    <w:rPr>
                      <w:b/>
                      <w:bCs/>
                    </w:rPr>
                    <w:t xml:space="preserve">PERKINS</w:t>
                  </w:r>
                  <w:r>
                    <w:rPr>
                      <w:b/>
                      <w:bCs/>
                    </w:rPr>
                    <w:t xml:space="preserve"> </w:t>
                  </w:r>
                  <w:r>
                    <w:rPr>
                      <w:b/>
                      <w:bCs/>
                    </w:rPr>
                    <w:t xml:space="preserve">COIE</w:t>
                  </w:r>
                  <w:r>
                    <w:rPr>
                      <w:b/>
                      <w:bCs/>
                    </w:rPr>
                    <w:t xml:space="preserve"> </w:t>
                  </w:r>
                  <w:r>
                    <w:rPr>
                      <w:b/>
                      <w:bCs/>
                    </w:rPr>
                    <w:t xml:space="preserve">LLP</w:t>
                  </w:r>
                </w:p>
                <w:p>
                  <w:pPr>
                    <w:spacing w:before="224" w:after="0" w:line="322" w:lineRule="exact"/>
                    <w:ind w:left="2160" w:firstLine="0"/>
                    <w:jc w:val="left"/>
                  </w:pPr>
                  <w:r>
                    <w:rPr>
                      <w:u w:val="single"/>
                    </w:rPr>
                    <w:t xml:space="preserve">/s/</w:t>
                  </w:r>
                  <w:r>
                    <w:rPr>
                      <w:u w:val="single"/>
                    </w:rPr>
                    <w:t xml:space="preserve"> </w:t>
                  </w:r>
                  <w:r>
                    <w:rPr>
                      <w:u w:val="single"/>
                    </w:rPr>
                    <w:t xml:space="preserve">Gregory</w:t>
                  </w:r>
                  <w:r>
                    <w:rPr>
                      <w:u w:val="single"/>
                    </w:rPr>
                    <w:t xml:space="preserve"> </w:t>
                  </w:r>
                  <w:r>
                    <w:rPr>
                      <w:u w:val="single"/>
                    </w:rPr>
                    <w:t xml:space="preserve">F.</w:t>
                  </w:r>
                  <w:r>
                    <w:rPr>
                      <w:u w:val="single"/>
                    </w:rPr>
                    <w:t xml:space="preserve"> </w:t>
                  </w:r>
                  <w:r>
                    <w:rPr>
                      <w:u w:val="single"/>
                    </w:rPr>
                    <w:t xml:space="preserve">Miller</w:t>
                  </w:r>
                </w:p>
                <w:p>
                  <w:pPr>
                    <w:spacing w:before="0" w:after="0" w:line="322" w:lineRule="exact"/>
                    <w:ind w:left="2160" w:firstLine="0"/>
                    <w:jc w:val="left"/>
                  </w:pPr>
                  <w:r>
                    <w:t xml:space="preserve">WSBA</w:t>
                  </w:r>
                  <w:r>
                    <w:t xml:space="preserve"> </w:t>
                  </w:r>
                  <w:r>
                    <w:t xml:space="preserve">No.</w:t>
                  </w:r>
                  <w:r>
                    <w:t xml:space="preserve"> </w:t>
                  </w:r>
                  <w:r>
                    <w:t xml:space="preserve">56466</w:t>
                  </w:r>
                </w:p>
                <w:p>
                  <w:pPr>
                    <w:spacing w:before="224" w:after="0" w:line="322" w:lineRule="exact"/>
                    <w:ind w:left="2160" w:firstLine="0"/>
                    <w:jc w:val="left"/>
                  </w:pPr>
                  <w:r>
                    <w:rPr>
                      <w:u w:val="single"/>
                    </w:rPr>
                    <w:t xml:space="preserve">/s/</w:t>
                  </w:r>
                  <w:r>
                    <w:rPr>
                      <w:u w:val="single"/>
                    </w:rPr>
                    <w:t xml:space="preserve"> </w:t>
                  </w:r>
                  <w:r>
                    <w:rPr>
                      <w:u w:val="single"/>
                    </w:rPr>
                    <w:t xml:space="preserve">W.</w:t>
                  </w:r>
                  <w:r>
                    <w:rPr>
                      <w:u w:val="single"/>
                    </w:rPr>
                    <w:t xml:space="preserve"> </w:t>
                  </w:r>
                  <w:r>
                    <w:rPr>
                      <w:u w:val="single"/>
                    </w:rPr>
                    <w:t xml:space="preserve">Brendan</w:t>
                  </w:r>
                  <w:r>
                    <w:rPr>
                      <w:u w:val="single"/>
                    </w:rPr>
                    <w:t xml:space="preserve"> </w:t>
                  </w:r>
                  <w:r>
                    <w:rPr>
                      <w:u w:val="single"/>
                    </w:rPr>
                    <w:t xml:space="preserve">Murphy</w:t>
                  </w:r>
                </w:p>
                <w:p>
                  <w:pPr>
                    <w:spacing w:before="0" w:after="0" w:line="322" w:lineRule="exact"/>
                    <w:ind w:left="2160" w:firstLine="0"/>
                    <w:jc w:val="left"/>
                  </w:pPr>
                  <w:r>
                    <w:t xml:space="preserve">WSBA</w:t>
                  </w:r>
                  <w:r>
                    <w:t xml:space="preserve"> </w:t>
                  </w:r>
                  <w:r>
                    <w:t xml:space="preserve">No.</w:t>
                  </w:r>
                  <w:r>
                    <w:t xml:space="preserve"> </w:t>
                  </w:r>
                  <w:r>
                    <w:t xml:space="preserve">34476</w:t>
                  </w:r>
                </w:p>
                <w:p>
                  <w:pPr>
                    <w:spacing w:before="224" w:after="0" w:line="322" w:lineRule="exact"/>
                    <w:ind w:left="2160" w:firstLine="0"/>
                    <w:jc w:val="left"/>
                  </w:pPr>
                  <w:r>
                    <w:rPr>
                      <w:u w:val="single"/>
                    </w:rPr>
                    <w:t xml:space="preserve">/s/</w:t>
                  </w:r>
                  <w:r>
                    <w:rPr>
                      <w:u w:val="single"/>
                    </w:rPr>
                    <w:t xml:space="preserve"> </w:t>
                  </w:r>
                  <w:r>
                    <w:rPr>
                      <w:u w:val="single"/>
                    </w:rPr>
                    <w:t xml:space="preserve">Michelle</w:t>
                  </w:r>
                  <w:r>
                    <w:rPr>
                      <w:u w:val="single"/>
                    </w:rPr>
                    <w:t xml:space="preserve"> </w:t>
                  </w:r>
                  <w:r>
                    <w:rPr>
                      <w:u w:val="single"/>
                    </w:rPr>
                    <w:t xml:space="preserve">L.</w:t>
                  </w:r>
                  <w:r>
                    <w:rPr>
                      <w:u w:val="single"/>
                    </w:rPr>
                    <w:t xml:space="preserve"> </w:t>
                  </w:r>
                  <w:r>
                    <w:rPr>
                      <w:u w:val="single"/>
                    </w:rPr>
                    <w:t xml:space="preserve">Maley</w:t>
                  </w:r>
                </w:p>
                <w:p>
                  <w:pPr>
                    <w:spacing w:before="0" w:after="0" w:line="322" w:lineRule="exact"/>
                    <w:ind w:left="2160" w:firstLine="0"/>
                    <w:jc w:val="left"/>
                  </w:pPr>
                  <w:r>
                    <w:t xml:space="preserve">WSBA</w:t>
                  </w:r>
                  <w:r>
                    <w:t xml:space="preserve"> </w:t>
                  </w:r>
                  <w:r>
                    <w:t xml:space="preserve">No.</w:t>
                  </w:r>
                  <w:r>
                    <w:t xml:space="preserve"> </w:t>
                  </w:r>
                  <w:r>
                    <w:t xml:space="preserve">51318</w:t>
                  </w:r>
                </w:p>
                <w:p>
                  <w:pPr>
                    <w:spacing w:before="168" w:after="0" w:line="322" w:lineRule="exact"/>
                    <w:ind w:left="2160" w:firstLine="0"/>
                    <w:jc w:val="left"/>
                  </w:pPr>
                  <w:r>
                    <w:rPr>
                      <w:i/>
                      <w:iCs/>
                    </w:rPr>
                    <w:t xml:space="preserve">Attorneys</w:t>
                  </w:r>
                  <w:r>
                    <w:rPr>
                      <w:i/>
                      <w:iCs/>
                    </w:rPr>
                    <w:t xml:space="preserve"> </w:t>
                  </w:r>
                  <w:r>
                    <w:rPr>
                      <w:i/>
                      <w:iCs/>
                    </w:rPr>
                    <w:t xml:space="preserve">for</w:t>
                  </w:r>
                  <w:r>
                    <w:rPr>
                      <w:i/>
                      <w:iCs/>
                    </w:rPr>
                    <w:t xml:space="preserve"> </w:t>
                  </w:r>
                  <w:r>
                    <w:rPr>
                      <w:i/>
                      <w:iCs/>
                    </w:rPr>
                    <w:t xml:space="preserve">Defendant/​Petitioner</w:t>
                  </w:r>
                  <w:r>
                    <w:rPr>
                      <w:i/>
                      <w:iCs/>
                    </w:rPr>
                    <w:t xml:space="preserve"> </w:t>
                  </w:r>
                  <w:r>
                    <w:rPr>
                      <w:i/>
                      <w:iCs/>
                    </w:rPr>
                    <w:t xml:space="preserve">Amazon</w:t>
                  </w:r>
                </w:p>
              </w:tc>
            </w:tr>
          </w:tbl>
          <w:p>
            <w:pPr>
              <w:spacing w:before="0" w:after="0" w:line="1" w:lineRule="exact"/>
            </w:pP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certify,</w:t>
      </w:r>
      <w:r>
        <w:t xml:space="preserve"> </w:t>
      </w:r>
      <w:r>
        <w:t xml:space="preserve">under</w:t>
      </w:r>
      <w:r>
        <w:t xml:space="preserve"> </w:t>
      </w:r>
      <w:r>
        <w:t xml:space="preserve">penalty</w:t>
      </w:r>
      <w:r>
        <w:t xml:space="preserve"> </w:t>
      </w:r>
      <w:r>
        <w:t xml:space="preserve">of</w:t>
      </w:r>
      <w:r>
        <w:t xml:space="preserve"> </w:t>
      </w:r>
      <w:r>
        <w:t xml:space="preserve">perjury</w:t>
      </w:r>
      <w:r>
        <w:t xml:space="preserve"> </w:t>
      </w:r>
      <w:r>
        <w:t xml:space="preserve">under</w:t>
      </w:r>
      <w:r>
        <w:t xml:space="preserve"> </w:t>
      </w:r>
      <w:r>
        <w:t xml:space="preserve">the</w:t>
      </w:r>
      <w:r>
        <w:t xml:space="preserve"> </w:t>
      </w:r>
      <w:r>
        <w:t xml:space="preserve">laws</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Washington,</w:t>
      </w:r>
      <w:r>
        <w:t xml:space="preserve"> </w:t>
      </w:r>
      <w:r>
        <w:t xml:space="preserve">that</w:t>
      </w:r>
      <w:r>
        <w:t xml:space="preserve"> </w:t>
      </w:r>
      <w:r>
        <w:t xml:space="preserve">on</w:t>
      </w:r>
      <w:r>
        <w:t xml:space="preserve"> </w:t>
      </w:r>
      <w:r>
        <w:t xml:space="preserve">February</w:t>
      </w:r>
      <w:r>
        <w:t xml:space="preserve"> </w:t>
      </w:r>
      <w:r>
        <w:t xml:space="preserve">13,</w:t>
      </w:r>
      <w:r>
        <w:t xml:space="preserve"> </w:t>
      </w:r>
      <w:r>
        <w:t xml:space="preserve">2023,</w:t>
      </w:r>
      <w:r>
        <w:t xml:space="preserve"> </w:t>
      </w:r>
      <w:r>
        <w:t xml:space="preserve">I</w:t>
      </w:r>
      <w:r>
        <w:t xml:space="preserve"> </w:t>
      </w:r>
      <w:r>
        <w:t xml:space="preserve">electronically</w:t>
      </w:r>
      <w:r>
        <w:t xml:space="preserve"> </w:t>
      </w:r>
      <w:r>
        <w:t xml:space="preserve">filed</w:t>
      </w:r>
      <w:r>
        <w:t xml:space="preserve"> </w:t>
      </w:r>
      <w:r>
        <w:t xml:space="preserve">the</w:t>
      </w:r>
      <w:r>
        <w:t xml:space="preserve"> </w:t>
      </w:r>
      <w:r>
        <w:t xml:space="preserve">foregoing</w:t>
      </w:r>
      <w:r>
        <w:t xml:space="preserve"> </w:t>
      </w:r>
      <w:r>
        <w:t xml:space="preserve">document</w:t>
      </w:r>
      <w:r>
        <w:t xml:space="preserve"> </w:t>
      </w:r>
      <w:r>
        <w:t xml:space="preserve">via</w:t>
      </w:r>
      <w:r>
        <w:t xml:space="preserve"> </w:t>
      </w:r>
      <w:r>
        <w:t xml:space="preserve">the</w:t>
      </w:r>
      <w:r>
        <w:t xml:space="preserve"> </w:t>
      </w:r>
      <w:r>
        <w:t xml:space="preserve">Washington</w:t>
      </w:r>
      <w:r>
        <w:t xml:space="preserve"> </w:t>
      </w:r>
      <w:r>
        <w:t xml:space="preserve">State</w:t>
      </w:r>
      <w:r>
        <w:t xml:space="preserve"> </w:t>
      </w:r>
      <w:r>
        <w:t xml:space="preserve">Appellate</w:t>
      </w:r>
      <w:r>
        <w:t xml:space="preserve"> </w:t>
      </w:r>
      <w:r>
        <w:t xml:space="preserve">Courts’</w:t>
      </w:r>
      <w:r>
        <w:t xml:space="preserve"> </w:t>
      </w:r>
      <w:r>
        <w:t xml:space="preserve">Secure</w:t>
      </w:r>
      <w:r>
        <w:t xml:space="preserve"> </w:t>
      </w:r>
      <w:r>
        <w:t xml:space="preserve">Portal</w:t>
      </w:r>
      <w:r>
        <w:t xml:space="preserve"> </w:t>
      </w:r>
      <w:r>
        <w:t xml:space="preserve">which</w:t>
      </w:r>
      <w:r>
        <w:t xml:space="preserve"> </w:t>
      </w:r>
      <w:r>
        <w:t xml:space="preserve">will</w:t>
      </w:r>
      <w:r>
        <w:t xml:space="preserve"> </w:t>
      </w:r>
      <w:r>
        <w:t xml:space="preserve">send</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document</w:t>
      </w:r>
      <w:r>
        <w:t xml:space="preserve"> </w:t>
      </w:r>
      <w:r>
        <w:t xml:space="preserve">to</w:t>
      </w:r>
      <w:r>
        <w:t xml:space="preserve"> </w:t>
      </w:r>
      <w:r>
        <w:t xml:space="preserve">all</w:t>
      </w:r>
      <w:r>
        <w:t xml:space="preserve"> </w:t>
      </w:r>
      <w:r>
        <w:t xml:space="preserve">parties</w:t>
      </w:r>
      <w:r>
        <w:t xml:space="preserve"> </w:t>
      </w:r>
      <w:r>
        <w:t xml:space="preserve">of</w:t>
      </w:r>
      <w:r>
        <w:t xml:space="preserve"> </w:t>
      </w:r>
      <w:r>
        <w:t xml:space="preserve">record</w:t>
      </w:r>
      <w:r>
        <w:t xml:space="preserve"> </w:t>
      </w:r>
      <w:r>
        <w:t xml:space="preserve">via</w:t>
      </w:r>
      <w:r>
        <w:t xml:space="preserve"> </w:t>
      </w:r>
      <w:r>
        <w:t xml:space="preserve">electronic</w:t>
      </w:r>
      <w:r>
        <w:t xml:space="preserve"> </w:t>
      </w:r>
      <w:r>
        <w:t xml:space="preserve">mail.</w:t>
      </w:r>
    </w:p>
    <w:p>
      <w:pPr>
        <w:spacing w:before="0" w:after="0" w:line="280" w:lineRule="exact"/>
      </w:pPr>
    </w:p>
    <w:tbl>
      <w:tblPr>
        <w:tblW w:w="7200" w:type="dxa"/>
        <w:tblLayout w:type="fixed"/>
        <w:tblCellMar>
          <w:top w:w="0" w:type="dxa"/>
          <w:left w:w="0" w:type="dxa"/>
          <w:bottom w:w="0" w:type="dxa"/>
          <w:right w:w="0" w:type="dxa"/>
        </w:tblCellMar>
        <w:tblLook w:val="0000" w:firstRow="0" w:lastRow="0" w:firstColumn="0" w:lastColumn="0" w:noHBand="0" w:noVBand="0"/>
      </w:tblPr>
      <w:tblGrid>
        <w:gridCol w:w="7200"/>
      </w:tblGrid>
      <w:tr>
        <w:trPr>
          <w:cantSplit/>
        </w:trPr>
        <w:tc>
          <w:tcPr>
            <w:tcW w:w="7200" w:type="dxa"/>
          </w:tcPr>
          <w:p>
            <w:pPr>
              <w:spacing w:before="0" w:after="0" w:line="644" w:lineRule="exact"/>
              <w:ind w:left="0" w:firstLine="0"/>
              <w:jc w:val="left"/>
            </w:pPr>
            <w:r>
              <w:t xml:space="preserve">DATED</w:t>
            </w:r>
            <w:r>
              <w:t xml:space="preserve"> </w:t>
            </w:r>
            <w:r>
              <w:t xml:space="preserve">this</w:t>
            </w:r>
            <w:r>
              <w:t xml:space="preserve"> </w:t>
            </w:r>
            <w:r>
              <w:t xml:space="preserve">13th</w:t>
            </w:r>
            <w:r>
              <w:t xml:space="preserve"> </w:t>
            </w:r>
            <w:r>
              <w:t xml:space="preserve">day</w:t>
            </w:r>
            <w:r>
              <w:t xml:space="preserve"> </w:t>
            </w:r>
            <w:r>
              <w:t xml:space="preserve">of</w:t>
            </w:r>
            <w:r>
              <w:t xml:space="preserve"> </w:t>
            </w:r>
            <w:r>
              <w:t xml:space="preserve">February,</w:t>
            </w:r>
            <w:r>
              <w:t xml:space="preserve"> </w:t>
            </w:r>
            <w:r>
              <w:t xml:space="preserve">2023.</w:t>
            </w:r>
          </w:p>
          <w:p>
            <w:pPr>
              <w:spacing w:before="112" w:after="0" w:line="322" w:lineRule="exact"/>
              <w:ind w:left="2160" w:firstLine="0"/>
              <w:jc w:val="left"/>
            </w:pPr>
            <w:r>
              <w:rPr>
                <w:u w:val="single"/>
              </w:rPr>
              <w:t xml:space="preserve">/s/</w:t>
            </w:r>
            <w:r>
              <w:rPr>
                <w:u w:val="single"/>
              </w:rPr>
              <w:t xml:space="preserve"> </w:t>
            </w:r>
            <w:r>
              <w:rPr>
                <w:u w:val="single"/>
              </w:rPr>
              <w:t xml:space="preserve">Carla</w:t>
            </w:r>
            <w:r>
              <w:rPr>
                <w:u w:val="single"/>
              </w:rPr>
              <w:t xml:space="preserve"> </w:t>
            </w:r>
            <w:r>
              <w:rPr>
                <w:u w:val="single"/>
              </w:rPr>
              <w:t xml:space="preserve">Bone</w:t>
            </w:r>
          </w:p>
          <w:p>
            <w:pPr>
              <w:spacing w:before="0" w:after="0" w:line="322" w:lineRule="exact"/>
              <w:ind w:left="2160" w:firstLine="0"/>
              <w:jc w:val="left"/>
            </w:pPr>
            <w:r>
              <w:t xml:space="preserve">Legal</w:t>
            </w:r>
            <w:r>
              <w:t xml:space="preserve"> </w:t>
            </w:r>
            <w:r>
              <w:t xml:space="preserve">Practice</w:t>
            </w:r>
            <w:r>
              <w:t xml:space="preserve"> </w:t>
            </w:r>
            <w:r>
              <w:t xml:space="preserve">Assistant</w:t>
            </w:r>
          </w:p>
        </w:tc>
      </w:tr>
    </w:tbl>
    <w:sectPr>
      <w:footerReference w:type="default" r:id="rIdXdPage"/>
      <w:pgSz w:w="12240" w:h="15840"/>
      <w:pgMar w:top="2160" w:right="2160" w:bottom="2160" w:left="2880" w:header="720" w:footer="119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“test” set forth in RCW 7.72.030(3),</w:t>
      </w:r>
      <w:r>
        <w:t xml:space="preserve"> </w:t>
      </w:r>
      <w:r>
        <w:t xml:space="preserve">“known as the ‘consumer expectation’ test, cannot be met where [the] manufacturer has adequately warned consumers of the risks associated with using a product.”</w:t>
      </w:r>
      <w:r>
        <w:t xml:space="preserve"> </w:t>
      </w:r>
      <w:r>
        <w:rPr>
          <w:i/>
          <w:iCs/>
        </w:rPr>
        <w:t xml:space="preserve">Reece</w:t>
      </w:r>
      <w:r>
        <w:rPr>
          <w:i/>
          <w:iCs/>
        </w:rPr>
        <w:t xml:space="preserve"> </w:t>
      </w:r>
      <w:r>
        <w:rPr>
          <w:i/>
          <w:iCs/>
        </w:rPr>
        <w:t xml:space="preserve">v. Good Samaritan Hosp.</w:t>
      </w:r>
      <w:r>
        <w:t xml:space="preserve">, 90 Wn. App. 574, 583</w:t>
      </w:r>
      <w:r>
        <w:noBreakHyphen/>
      </w:r>
      <w:r>
        <w:t xml:space="preserve">84, 953 P.2d 117 (1998).</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