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SIXTH</w:t>
      </w:r>
      <w:r>
        <w:rPr>
          <w:b/>
          <w:bCs/>
        </w:rPr>
        <w:t xml:space="preserve"> </w:t>
      </w:r>
      <w:r>
        <w:rPr>
          <w:b/>
          <w:bCs/>
        </w:rPr>
        <w:t xml:space="preserve">DISTRICT</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6D2025</w:t>
        <w:noBreakHyphen/>
        <w:t xml:space="preserve">2254</w:t>
      </w:r>
    </w:p>
    <w:p>
      <w:pPr>
        <w:spacing w:before="432" w:after="0" w:line="322" w:lineRule="exact"/>
        <w:ind w:left="0" w:firstLine="0"/>
        <w:jc w:val="center"/>
      </w:pPr>
      <w:r>
        <w:t xml:space="preserve">GUERDA</w:t>
      </w:r>
      <w:r>
        <w:t xml:space="preserve"> </w:t>
      </w:r>
      <w:r>
        <w:t xml:space="preserve">LORDEUS,</w:t>
      </w:r>
    </w:p>
    <w:p>
      <w:pPr>
        <w:spacing w:before="112" w:after="0" w:line="322" w:lineRule="exact"/>
        <w:ind w:left="0" w:firstLine="0"/>
        <w:jc w:val="center"/>
      </w:pPr>
      <w:r>
        <w:t xml:space="preserve">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SECURITY</w:t>
      </w:r>
      <w:r>
        <w:t xml:space="preserve"> </w:t>
      </w:r>
      <w:r>
        <w:t xml:space="preserve">FIRST</w:t>
      </w:r>
      <w:r>
        <w:t xml:space="preserve"> </w:t>
      </w:r>
      <w:r>
        <w:t xml:space="preserve">INSURANCE</w:t>
      </w:r>
      <w:r>
        <w:t xml:space="preserve"> </w:t>
      </w:r>
      <w:r>
        <w:t xml:space="preserve">COMPANY,</w:t>
      </w:r>
    </w:p>
    <w:p>
      <w:pPr>
        <w:spacing w:before="112" w:after="0" w:line="322" w:lineRule="exact"/>
        <w:ind w:left="0" w:firstLine="0"/>
        <w:jc w:val="center"/>
      </w:pPr>
      <w:r>
        <w:t xml:space="preserve">Appellee.</w:t>
      </w:r>
    </w:p>
    <w:p>
      <w:pPr>
        <w:spacing w:before="432" w:after="0" w:line="322" w:lineRule="exact"/>
        <w:ind w:left="0" w:firstLine="0"/>
        <w:jc w:val="center"/>
      </w:pPr>
      <w:r>
        <w:t xml:space="preserve">L.T.</w:t>
      </w:r>
      <w:r>
        <w:t xml:space="preserve"> </w:t>
      </w:r>
      <w:r>
        <w:t xml:space="preserve">No.:</w:t>
      </w:r>
      <w:r>
        <w:t xml:space="preserve"> </w:t>
      </w:r>
      <w:r>
        <w:t xml:space="preserve">2023-CC</w:t>
        <w:noBreakHyphen/>
        <w:t xml:space="preserve">001895</w:t>
      </w:r>
    </w:p>
    <w:p>
      <w:pPr>
        <w:spacing w:before="0" w:after="0" w:line="1521" w:lineRule="exact"/>
      </w:pPr>
    </w:p>
    <w:p>
      <w:pPr>
        <w:spacing w:before="0" w:after="0" w:line="322"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APPEAL</w:t>
      </w:r>
    </w:p>
    <w:p>
      <w:pPr>
        <w:spacing w:before="84" w:after="0" w:line="322" w:lineRule="exact"/>
        <w:ind w:left="0" w:firstLine="0"/>
        <w:jc w:val="center"/>
      </w:pPr>
      <w:r>
        <w:t xml:space="preserve">Appellee,</w:t>
      </w:r>
      <w:r>
        <w:t xml:space="preserve"> </w:t>
      </w:r>
      <w:r>
        <w:t xml:space="preserve">Security</w:t>
      </w:r>
      <w:r>
        <w:t xml:space="preserve"> </w:t>
      </w:r>
      <w:r>
        <w:t xml:space="preserve">First</w:t>
      </w:r>
      <w:r>
        <w:t xml:space="preserve"> </w:t>
      </w:r>
      <w:r>
        <w:t xml:space="preserve">Insurance</w:t>
      </w:r>
      <w:r>
        <w:t xml:space="preserve"> </w:t>
      </w:r>
      <w:r>
        <w:t xml:space="preserve">Company</w:t>
      </w:r>
    </w:p>
    <w:p>
      <w:pPr>
        <w:spacing w:before="0" w:after="0" w:line="1521" w:lineRule="exact"/>
      </w:pPr>
    </w:p>
    <w:p>
      <w:pPr>
        <w:spacing w:before="0" w:after="0" w:line="322" w:lineRule="exact"/>
        <w:ind w:left="4608" w:firstLine="0"/>
        <w:jc w:val="left"/>
      </w:pPr>
      <w:r>
        <w:rPr>
          <w:b/>
          <w:bCs/>
        </w:rPr>
        <w:t xml:space="preserve">Joseph</w:t>
      </w:r>
      <w:r>
        <w:rPr>
          <w:b/>
          <w:bCs/>
        </w:rPr>
        <w:t xml:space="preserve"> </w:t>
      </w:r>
      <w:r>
        <w:rPr>
          <w:b/>
          <w:bCs/>
        </w:rPr>
        <w:t xml:space="preserve">W.</w:t>
      </w:r>
      <w:r>
        <w:rPr>
          <w:b/>
          <w:bCs/>
        </w:rPr>
        <w:t xml:space="preserve"> </w:t>
      </w:r>
      <w:r>
        <w:rPr>
          <w:b/>
          <w:bCs/>
        </w:rPr>
        <w:t xml:space="preserve">Jacquot,</w:t>
      </w:r>
      <w:r>
        <w:rPr>
          <w:b/>
          <w:bCs/>
        </w:rPr>
        <w:t xml:space="preserve"> </w:t>
      </w:r>
      <w:r>
        <w:rPr>
          <w:b/>
          <w:bCs/>
        </w:rPr>
        <w:t xml:space="preserve">Esq.</w:t>
      </w:r>
    </w:p>
    <w:p>
      <w:pPr>
        <w:spacing w:before="0" w:after="0" w:line="322" w:lineRule="exact"/>
        <w:ind w:left="4608" w:firstLine="0"/>
        <w:jc w:val="left"/>
      </w:pPr>
      <w:r>
        <w:rPr>
          <w:b/>
          <w:bCs/>
        </w:rPr>
        <w:t xml:space="preserve">Nicolas</w:t>
      </w:r>
      <w:r>
        <w:rPr>
          <w:b/>
          <w:bCs/>
        </w:rPr>
        <w:t xml:space="preserve"> </w:t>
      </w:r>
      <w:r>
        <w:rPr>
          <w:b/>
          <w:bCs/>
        </w:rPr>
        <w:t xml:space="preserve">J.</w:t>
      </w:r>
      <w:r>
        <w:rPr>
          <w:b/>
          <w:bCs/>
        </w:rPr>
        <w:t xml:space="preserve"> </w:t>
      </w:r>
      <w:r>
        <w:rPr>
          <w:b/>
          <w:bCs/>
        </w:rPr>
        <w:t xml:space="preserve">Cathcart,</w:t>
      </w:r>
      <w:r>
        <w:rPr>
          <w:b/>
          <w:bCs/>
        </w:rPr>
        <w:t xml:space="preserve"> </w:t>
      </w:r>
      <w:r>
        <w:rPr>
          <w:b/>
          <w:bCs/>
        </w:rPr>
        <w:t xml:space="preserve">Esq.</w:t>
      </w:r>
    </w:p>
    <w:p>
      <w:pPr>
        <w:spacing w:before="0" w:after="0" w:line="322" w:lineRule="exact"/>
        <w:ind w:left="4608" w:firstLine="0"/>
        <w:jc w:val="left"/>
      </w:pPr>
      <w:r>
        <w:t xml:space="preserve">GUNSTER,</w:t>
      </w:r>
      <w:r>
        <w:t xml:space="preserve"> </w:t>
      </w:r>
      <w:r>
        <w:t xml:space="preserve">YOAKLEY</w:t>
      </w:r>
      <w:r>
        <w:t xml:space="preserve"> </w:t>
      </w:r>
      <w:r>
        <w:t xml:space="preserve">&amp;</w:t>
      </w:r>
      <w:r>
        <w:t xml:space="preserve"> </w:t>
      </w:r>
      <w:r>
        <w:t xml:space="preserve">STEWART,</w:t>
      </w:r>
      <w:r>
        <w:t xml:space="preserve"> </w:t>
      </w:r>
      <w:r>
        <w:t xml:space="preserve">P.A.</w:t>
      </w:r>
    </w:p>
    <w:p>
      <w:pPr>
        <w:spacing w:before="0" w:after="0" w:line="322" w:lineRule="exact"/>
        <w:ind w:left="4608" w:firstLine="0"/>
        <w:jc w:val="left"/>
      </w:pPr>
      <w:r>
        <w:t xml:space="preserve">1</w:t>
      </w:r>
      <w:r>
        <w:t xml:space="preserve"> </w:t>
      </w:r>
      <w:r>
        <w:t xml:space="preserve">Independent</w:t>
      </w:r>
      <w:r>
        <w:t xml:space="preserve"> </w:t>
      </w:r>
      <w:r>
        <w:t xml:space="preserve">Drive,</w:t>
      </w:r>
      <w:r>
        <w:t xml:space="preserve"> </w:t>
      </w:r>
      <w:r>
        <w:t xml:space="preserve">Suite</w:t>
      </w:r>
      <w:r>
        <w:t xml:space="preserve"> </w:t>
      </w:r>
      <w:r>
        <w:t xml:space="preserve">2300</w:t>
      </w:r>
    </w:p>
    <w:p>
      <w:pPr>
        <w:spacing w:before="0" w:after="0" w:line="322" w:lineRule="exact"/>
        <w:ind w:left="4608" w:firstLine="0"/>
        <w:jc w:val="left"/>
      </w:pPr>
      <w:r>
        <w:t xml:space="preserve">Jacksonville,</w:t>
      </w:r>
      <w:r>
        <w:t xml:space="preserve"> </w:t>
      </w:r>
      <w:r>
        <w:t xml:space="preserve">Florida</w:t>
      </w:r>
      <w:r>
        <w:t xml:space="preserve"> </w:t>
      </w:r>
      <w:r>
        <w:t xml:space="preserve">32202</w:t>
      </w:r>
    </w:p>
    <w:p>
      <w:pPr>
        <w:spacing w:before="0" w:after="0" w:line="322" w:lineRule="exact"/>
        <w:ind w:left="4608" w:firstLine="0"/>
        <w:jc w:val="left"/>
      </w:pPr>
      <w:r>
        <w:t xml:space="preserve">Tel</w:t>
      </w:r>
      <w:r>
        <w:t xml:space="preserve"> </w:t>
      </w:r>
      <w:r>
        <w:t xml:space="preserve">(904)</w:t>
      </w:r>
      <w:r>
        <w:t xml:space="preserve"> </w:t>
      </w:r>
      <w:r>
        <w:t xml:space="preserve">350</w:t>
        <w:noBreakHyphen/>
        <w:t xml:space="preserve">7428</w:t>
      </w:r>
    </w:p>
    <w:p>
      <w:pPr>
        <w:spacing w:before="0" w:after="0" w:line="322" w:lineRule="exact"/>
        <w:ind w:left="4608" w:firstLine="0"/>
        <w:jc w:val="left"/>
      </w:pPr>
      <w:r>
        <w:t xml:space="preserve">Fax</w:t>
      </w:r>
      <w:r>
        <w:t xml:space="preserve"> </w:t>
      </w:r>
      <w:r>
        <w:t xml:space="preserve">(904)</w:t>
      </w:r>
      <w:r>
        <w:t xml:space="preserve"> </w:t>
      </w:r>
      <w:r>
        <w:t xml:space="preserve">354</w:t>
        <w:noBreakHyphen/>
        <w:t xml:space="preserve">2170</w:t>
      </w:r>
    </w:p>
    <w:p>
      <w:pPr>
        <w:spacing w:before="0" w:after="0" w:line="322" w:lineRule="exact"/>
        <w:ind w:left="4608" w:firstLine="0"/>
        <w:jc w:val="left"/>
      </w:pPr>
      <w:r>
        <w:t xml:space="preserve">jjacquot@gunster.com</w:t>
      </w:r>
    </w:p>
    <w:p>
      <w:pPr>
        <w:spacing w:before="0" w:after="0" w:line="322" w:lineRule="exact"/>
        <w:ind w:left="4608" w:firstLine="0"/>
        <w:jc w:val="left"/>
      </w:pPr>
      <w:r>
        <w:t xml:space="preserve">ncathcart@gunster.com</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Security</w:t>
      </w:r>
      <w:r>
        <w:rPr>
          <w:i/>
          <w:iCs/>
        </w:rPr>
        <w:t xml:space="preserve"> </w:t>
      </w:r>
      <w:r>
        <w:rPr>
          <w:i/>
          <w:iCs/>
        </w:rPr>
        <w:t xml:space="preserve">First</w:t>
      </w:r>
      <w:r>
        <w:rPr>
          <w:i/>
          <w:iCs/>
        </w:rPr>
        <w:t xml:space="preserve"> </w:t>
      </w:r>
      <w:r>
        <w:rPr>
          <w:i/>
          <w:iCs/>
        </w:rPr>
        <w:t xml:space="preserve">Insurance</w:t>
      </w:r>
      <w:r>
        <w:rPr>
          <w:i/>
          <w:iCs/>
        </w:rPr>
        <w:t xml:space="preserve"> </w:t>
      </w:r>
      <w:r>
        <w:rPr>
          <w:i/>
          <w:iCs/>
        </w:rPr>
        <w:t xml:space="preserve">Company</w:t>
      </w:r>
    </w:p>
    <w:p>
      <w:pPr>
        <w:spacing w:before="0" w:after="0" w:line="1" w:lineRule="exact"/>
        <w:sectPr>
          <w:footerReference w:type="default" r:id="rIdXdNone"/>
          <w:pgSz w:w="12240" w:h="15840"/>
          <w:pgMar w:top="1440" w:right="1440" w:bottom="1440" w:left="1440" w:header="720" w:footer="686" w:gutter="0"/>
        </w:sectPr>
      </w:pPr>
    </w:p>
    <w:p>
      <w:pPr>
        <w:pStyle w:val="BodyText"/>
      </w:pPr>
      <w:r>
        <w:t xml:space="preserve">Appellee, Security First Insurance Company (</w:t>
      </w:r>
      <w:r>
        <w:t xml:space="preserve">“Security First”</w:t>
      </w:r>
      <w:r>
        <w:t xml:space="preserve">), files this Motion to Dismiss Appeal due to a lack of subject matter jurisdiction, and states:</w:t>
      </w:r>
    </w:p>
    <w:p>
      <w:pPr>
        <w:pStyle w:val="XdList1"/>
      </w:pPr>
      <w:r>
        <w:t xml:space="preserve">1.</w:t>
      </w:r>
      <w:r>
        <w:tab/>
      </w:r>
      <w:r>
        <w:t xml:space="preserve">Appellant filed this appeal, lacking a final judgment on its underlying breach of contract lawsuit.</w:t>
      </w:r>
    </w:p>
    <w:p>
      <w:pPr>
        <w:pStyle w:val="XdList1"/>
      </w:pPr>
      <w:r>
        <w:t xml:space="preserve">2.</w:t>
      </w:r>
      <w:r>
        <w:tab/>
      </w:r>
      <w:r>
        <w:t xml:space="preserve">Without a final judgment/​order, an appellate court lacks jurisdiction to review a trial court order under Florida Rule of Appellate Procedure 9.030(b)⁠(1)⁠(A).</w:t>
      </w:r>
      <w:r>
        <w:t xml:space="preserve"> </w:t>
      </w:r>
      <w:r>
        <w:rPr>
          <w:i/>
          <w:iCs/>
        </w:rPr>
        <w:t xml:space="preserve">See, e.g., GR Rehab Ctr., Inc. v. GEICO Gen. Ins. Co.</w:t>
      </w:r>
      <w:r>
        <w:t xml:space="preserve">, 331 So. 3d 270, 271 (Fla. 3d DCA 2021) (</w:t>
      </w:r>
      <w:r>
        <w:t xml:space="preserve">“Because the challenged order is neither final nor included in Florida Rule of Appellate Procedure 9.130(a)⁠(3)’s schedule of appealable non-final orders, we lack appellate jurisdiction to review the challenged order.”</w:t>
      </w:r>
      <w:r>
        <w:t xml:space="preserve">);</w:t>
      </w:r>
      <w:r>
        <w:t xml:space="preserve"> </w:t>
      </w:r>
      <w:r>
        <w:rPr>
          <w:i/>
          <w:iCs/>
        </w:rPr>
        <w:t xml:space="preserve">Polk Cnty. v. Sofka</w:t>
      </w:r>
      <w:r>
        <w:t xml:space="preserve">, 702 So. 2d 1243, 1245 (Fla. 1997) (</w:t>
      </w:r>
      <w:r>
        <w:t xml:space="preserve">“Courts are bound to take notice of the limits of their authority and if want of jurisdiction appears at any stage of the proceedings, original or appellate, the court should notice the defect and enter an appropriate order.”</w:t>
      </w:r>
      <w:r>
        <w:t xml:space="preserve"> </w:t>
      </w:r>
      <w:r>
        <w:t xml:space="preserve">(cleaned up)).</w:t>
      </w:r>
    </w:p>
    <w:p>
      <w:pPr>
        <w:pStyle w:val="XdList1"/>
      </w:pPr>
      <w:r>
        <w:t xml:space="preserve">3.</w:t>
      </w:r>
      <w:r>
        <w:tab/>
      </w:r>
      <w:r>
        <w:t xml:space="preserve">Appellant filed his breach of contract lawsuit on September 1, 2023 [R. 4</w:t>
      </w:r>
      <w:r>
        <w:noBreakHyphen/>
      </w:r>
      <w:r>
        <w:t xml:space="preserve">7], which the parties subsequently settled on October 24, 2024. [R. 144, 148].</w:t>
      </w:r>
    </w:p>
    <w:p>
      <w:pPr>
        <w:pStyle w:val="XdList1"/>
      </w:pPr>
      <w:r>
        <w:t xml:space="preserve">4.</w:t>
      </w:r>
      <w:r>
        <w:tab/>
      </w:r>
      <w:r>
        <w:t xml:space="preserve">More than eight months later, Appellant moved for attorney’s fees (the</w:t>
      </w:r>
      <w:r>
        <w:t xml:space="preserve"> </w:t>
      </w:r>
      <w:r>
        <w:t xml:space="preserve">“Fees Motion”</w:t>
      </w:r>
      <w:r>
        <w:t xml:space="preserve">) [R. 143–47], which on August 12, 2025, the Court denied in an order (the</w:t>
      </w:r>
      <w:r>
        <w:t xml:space="preserve"> </w:t>
      </w:r>
      <w:r>
        <w:t xml:space="preserve">“Fees Order”</w:t>
      </w:r>
      <w:r>
        <w:t xml:space="preserve">). [R. 442–43].</w:t>
      </w:r>
    </w:p>
    <w:p>
      <w:pPr>
        <w:pStyle w:val="XdList1"/>
      </w:pPr>
      <w:r>
        <w:t xml:space="preserve">5.</w:t>
      </w:r>
      <w:r>
        <w:tab/>
      </w:r>
      <w:r>
        <w:t xml:space="preserve">While the Court denied the Fees Motion in the Fees Order, the Court has not adjudicated the underlying breach of contract claim. No final judgment or order has been entered by the trial court on Appellant’s breach of contract claim or resolution thereof. [R. 143–455].</w:t>
      </w:r>
    </w:p>
    <w:p>
      <w:pPr>
        <w:pStyle w:val="XdList1"/>
      </w:pPr>
      <w:r>
        <w:t xml:space="preserve">6.</w:t>
      </w:r>
      <w:r>
        <w:tab/>
      </w:r>
      <w:r>
        <w:t xml:space="preserve">“A final order or judgment is one which evidences on its face that it adjudicates the merits of, and disposes of, the matter before the court and leaves no judicial labor to be done.”</w:t>
      </w:r>
      <w:r>
        <w:t xml:space="preserve"> </w:t>
      </w:r>
      <w:r>
        <w:rPr>
          <w:i/>
          <w:iCs/>
        </w:rPr>
        <w:t xml:space="preserve">Eco Green Int’l, LLC v. Acapital, S.R.O.</w:t>
      </w:r>
      <w:r>
        <w:t xml:space="preserve">, 427 So. 3d 577, 581 (Fla. 3d DCA 2025) (quoting</w:t>
      </w:r>
      <w:r>
        <w:t xml:space="preserve"> </w:t>
      </w:r>
      <w:r>
        <w:rPr>
          <w:i/>
          <w:iCs/>
        </w:rPr>
        <w:t xml:space="preserve">Cardillo v. Qualsure Ins. Corp.</w:t>
      </w:r>
      <w:r>
        <w:t xml:space="preserve">, 974 So. 2d 1174, 1175–76 (Fla. 4th DCA 2008));</w:t>
      </w:r>
      <w:r>
        <w:t xml:space="preserve"> </w:t>
      </w:r>
      <w:r>
        <w:rPr>
          <w:i/>
          <w:iCs/>
        </w:rPr>
        <w:t xml:space="preserve">see also St. Johns River Water Mgmt. Dist. v. Koontz</w:t>
      </w:r>
      <w:r>
        <w:t xml:space="preserve">, 861 So. 2d 1267, 1268 (Fla. 5th DCA 2003) (</w:t>
      </w:r>
      <w:r>
        <w:t xml:space="preserve">“A final order is one which does not contemplate further judicial labor.”</w:t>
      </w:r>
      <w:r>
        <w:t xml:space="preserve">). In other words,</w:t>
      </w:r>
      <w:r>
        <w:t xml:space="preserve"> </w:t>
      </w:r>
      <w:r>
        <w:t xml:space="preserve">“the judicial labor required has been completed,”</w:t>
      </w:r>
      <w:r>
        <w:t xml:space="preserve"> </w:t>
      </w:r>
      <w:r>
        <w:rPr>
          <w:i/>
          <w:iCs/>
        </w:rPr>
        <w:t xml:space="preserve">Sheff v. Sheff</w:t>
      </w:r>
      <w:r>
        <w:t xml:space="preserve">, 435 So. 3d 1100, 1106 (Fla. 4th DCA 2026) (quoting</w:t>
      </w:r>
      <w:r>
        <w:t xml:space="preserve"> </w:t>
      </w:r>
      <w:r>
        <w:rPr>
          <w:i/>
          <w:iCs/>
        </w:rPr>
        <w:t xml:space="preserve">Fin. Intern. Life Ins. Co. of New Mexico v. Beta Tr. Corp., Ltd.</w:t>
      </w:r>
      <w:r>
        <w:t xml:space="preserve">, 405 So. 2d 306, 307 (Fla. 4th DCA 1981)), and</w:t>
      </w:r>
      <w:r>
        <w:t xml:space="preserve"> </w:t>
      </w:r>
      <w:r>
        <w:t xml:space="preserve">“nothing further remains to be done to terminate the dispute between the parties.”</w:t>
      </w:r>
      <w:r>
        <w:t xml:space="preserve"> </w:t>
      </w:r>
      <w:r>
        <w:rPr>
          <w:i/>
          <w:iCs/>
        </w:rPr>
        <w:t xml:space="preserve">Eco Green</w:t>
      </w:r>
      <w:r>
        <w:t xml:space="preserve">, 427 So. 3d at 581 (quoting</w:t>
      </w:r>
      <w:r>
        <w:t xml:space="preserve"> </w:t>
      </w:r>
      <w:r>
        <w:rPr>
          <w:i/>
          <w:iCs/>
        </w:rPr>
        <w:t xml:space="preserve">Bloomgarden v. Mandel</w:t>
      </w:r>
      <w:r>
        <w:t xml:space="preserve">, 154 So. 3d 451, 454 (Fla. 3d DCA 2014)).</w:t>
      </w:r>
    </w:p>
    <w:p>
      <w:pPr>
        <w:pStyle w:val="XdList1"/>
      </w:pPr>
      <w:r>
        <w:t xml:space="preserve">7.</w:t>
      </w:r>
      <w:r>
        <w:tab/>
      </w:r>
      <w:r>
        <w:t xml:space="preserve">Even when a settlement constitutes a confession of judgment,</w:t>
      </w:r>
      <w:r>
        <w:t xml:space="preserve"> </w:t>
      </w:r>
      <w:r>
        <w:t xml:space="preserve">“a trial court is still required to—and therefore necessarily has jurisdiction to—enter judgment based on the insurer’s confession.”</w:t>
      </w:r>
      <w:r>
        <w:t xml:space="preserve"> </w:t>
      </w:r>
      <w:r>
        <w:rPr>
          <w:i/>
          <w:iCs/>
        </w:rPr>
        <w:t xml:space="preserve">Progressive Select Ins. Co. v. Hilchey</w:t>
      </w:r>
      <w:r>
        <w:t xml:space="preserve">, 396 So. 3d 775, 780 (Fla. 2d DCA 2024);</w:t>
      </w:r>
      <w:r>
        <w:t xml:space="preserve"> </w:t>
      </w:r>
      <w:r>
        <w:rPr>
          <w:i/>
          <w:iCs/>
        </w:rPr>
        <w:t xml:space="preserve">see also Allstate Fire &amp; Cas. Ins. Co. v. Castro</w:t>
      </w:r>
      <w:r>
        <w:t xml:space="preserve">, 351 So. 3d 127, 131 (Fla. 1st DCA 2022) (</w:t>
      </w:r>
      <w:r>
        <w:t xml:space="preserve">“A judgment must be regularly entered upon a confession of judgment. The confession itself is not the judgment of the court.”</w:t>
      </w:r>
      <w:r>
        <w:t xml:space="preserve"> </w:t>
      </w:r>
      <w:r>
        <w:t xml:space="preserve">(quotation omitted)). Thus, until final judgment is entered on a settlement, there has not been a final adjudication on the merits.</w:t>
      </w:r>
    </w:p>
    <w:p>
      <w:pPr>
        <w:pStyle w:val="XdList1"/>
      </w:pPr>
      <w:r>
        <w:t xml:space="preserve">8.</w:t>
      </w:r>
      <w:r>
        <w:tab/>
      </w:r>
      <w:r>
        <w:t xml:space="preserve">The trial court’s order on appeal is the Fees Order denying attorney’s fees. [R. 442</w:t>
      </w:r>
      <w:r>
        <w:noBreakHyphen/>
      </w:r>
      <w:r>
        <w:t xml:space="preserve">43]. Judicial labor still remains for the trial court, as it has not yet entered a judgment on the merits. To have an appealable order here, the trial court’s order must</w:t>
      </w:r>
      <w:r>
        <w:t xml:space="preserve"> </w:t>
      </w:r>
      <w:r>
        <w:t xml:space="preserve">“adjudicate with finality”</w:t>
      </w:r>
      <w:r>
        <w:t xml:space="preserve"> </w:t>
      </w:r>
      <w:r>
        <w:t xml:space="preserve">the underlying case.</w:t>
      </w:r>
      <w:r>
        <w:t xml:space="preserve"> </w:t>
      </w:r>
      <w:r>
        <w:rPr>
          <w:i/>
          <w:iCs/>
        </w:rPr>
        <w:t xml:space="preserve">See GR Rehab</w:t>
      </w:r>
      <w:r>
        <w:t xml:space="preserve">, 331 So. 3d at 271. That has not happened.</w:t>
      </w:r>
    </w:p>
    <w:p>
      <w:pPr>
        <w:pStyle w:val="XdList1"/>
      </w:pPr>
      <w:r>
        <w:t xml:space="preserve">9.</w:t>
      </w:r>
      <w:r>
        <w:tab/>
      </w:r>
      <w:r>
        <w:t xml:space="preserve">Indeed, this Court has previously dismissed an appeal in materially the same procedural posture for precisely this defect.</w:t>
      </w:r>
      <w:r>
        <w:t xml:space="preserve"> </w:t>
      </w:r>
      <w:r>
        <w:rPr>
          <w:i/>
          <w:iCs/>
        </w:rPr>
        <w:t xml:space="preserve">See Ortiz v. Security First Insurance</w:t>
      </w:r>
      <w:r>
        <w:t xml:space="preserve">, No. 6D2025</w:t>
      </w:r>
      <w:r>
        <w:noBreakHyphen/>
      </w:r>
      <w:r>
        <w:t xml:space="preserve">1254 (Fla. 6th DCA June 30, 2026), r’hrg denied (Aug. 6, 2026). [Ex. A]. So also has the Fifth District.</w:t>
      </w:r>
      <w:r>
        <w:t xml:space="preserve"> </w:t>
      </w:r>
      <w:r>
        <w:rPr>
          <w:i/>
          <w:iCs/>
        </w:rPr>
        <w:t xml:space="preserve">See Aklipse Asset Management, Inc. v. Security First Insurance</w:t>
      </w:r>
      <w:r>
        <w:t xml:space="preserve">, No. 5D2025</w:t>
      </w:r>
      <w:r>
        <w:noBreakHyphen/>
      </w:r>
      <w:r>
        <w:t xml:space="preserve">0946 (Fla. 5th DCA Oct. 9, 2026). [Ex. B].</w:t>
      </w:r>
    </w:p>
    <w:p>
      <w:pPr>
        <w:pStyle w:val="XdList1"/>
      </w:pPr>
      <w:r>
        <w:t xml:space="preserve">10.</w:t>
      </w:r>
      <w:r>
        <w:tab/>
      </w:r>
      <w:r>
        <w:t xml:space="preserve">Granted, the Fees Order is titled a</w:t>
      </w:r>
      <w:r>
        <w:t xml:space="preserve"> </w:t>
      </w:r>
      <w:r>
        <w:t xml:space="preserve">“Final Order”</w:t>
      </w:r>
      <w:r>
        <w:t xml:space="preserve"> </w:t>
      </w:r>
      <w:r>
        <w:t xml:space="preserve">and purports to be</w:t>
      </w:r>
      <w:r>
        <w:t xml:space="preserve"> </w:t>
      </w:r>
      <w:r>
        <w:t xml:space="preserve">“the final order in this case.”</w:t>
      </w:r>
      <w:r>
        <w:t xml:space="preserve"> </w:t>
      </w:r>
      <w:r>
        <w:t xml:space="preserve">[R. 442]. However, when evaluating whether the Fees Order is a final, appealable order, the test is one of substance, not form:</w:t>
      </w:r>
      <w:r>
        <w:t xml:space="preserve"> </w:t>
      </w:r>
      <w:r>
        <w:t xml:space="preserve">“In deciding whether an order constitutes a final judgment, we look not to the title. Instead, we review the content and substance to discern whether the order fully and finally determines the rights of the parties involved in the lawsuit.”</w:t>
      </w:r>
      <w:r>
        <w:t xml:space="preserve"> </w:t>
      </w:r>
      <w:r>
        <w:rPr>
          <w:i/>
          <w:iCs/>
        </w:rPr>
        <w:t xml:space="preserve">Colby III, Inc. v. Centennial Westland Mall Partners, LLC</w:t>
      </w:r>
      <w:r>
        <w:t xml:space="preserve">, 386 So. 3d 1003, 1005 (Fla. 3d DCA 2023);</w:t>
      </w:r>
      <w:r>
        <w:t xml:space="preserve"> </w:t>
      </w:r>
      <w:r>
        <w:rPr>
          <w:i/>
          <w:iCs/>
        </w:rPr>
        <w:t xml:space="preserve">see also St. Johns River Water Mgmt. Dist. v. Koontz</w:t>
      </w:r>
      <w:r>
        <w:t xml:space="preserve">, 861 So. 2d 1267, 1268 (Fla. 5th DCA 2003) (dismissing appeal for lack of jurisdiction, despite the order on appeal being labeled a</w:t>
      </w:r>
      <w:r>
        <w:t xml:space="preserve"> </w:t>
      </w:r>
      <w:r>
        <w:t xml:space="preserve">“Final Judgment,”</w:t>
      </w:r>
      <w:r>
        <w:t xml:space="preserve"> </w:t>
      </w:r>
      <w:r>
        <w:t xml:space="preserve">because that order</w:t>
      </w:r>
      <w:r>
        <w:t xml:space="preserve"> </w:t>
      </w:r>
      <w:r>
        <w:t xml:space="preserve">“was not a final order”</w:t>
      </w:r>
      <w:r>
        <w:t xml:space="preserve"> </w:t>
      </w:r>
      <w:r>
        <w:t xml:space="preserve">as</w:t>
      </w:r>
      <w:r>
        <w:t xml:space="preserve"> </w:t>
      </w:r>
      <w:r>
        <w:t xml:space="preserve">“further judicial labor”</w:t>
      </w:r>
      <w:r>
        <w:t xml:space="preserve"> </w:t>
      </w:r>
      <w:r>
        <w:t xml:space="preserve">would be required). Put another way, irrespective of the title, has the required judicial labor been completed such that nothing further remains to be done?</w:t>
      </w:r>
      <w:r>
        <w:t xml:space="preserve"> </w:t>
      </w:r>
      <w:r>
        <w:rPr>
          <w:i/>
          <w:iCs/>
        </w:rPr>
        <w:t xml:space="preserve">See Colby III</w:t>
      </w:r>
      <w:r>
        <w:t xml:space="preserve">, 386 So. 3d at 1005;</w:t>
      </w:r>
      <w:r>
        <w:t xml:space="preserve"> </w:t>
      </w:r>
      <w:r>
        <w:rPr>
          <w:i/>
          <w:iCs/>
        </w:rPr>
        <w:t xml:space="preserve">Koontz</w:t>
      </w:r>
      <w:r>
        <w:t xml:space="preserve">, 861 So. 2d at 1268;</w:t>
      </w:r>
      <w:r>
        <w:t xml:space="preserve"> </w:t>
      </w:r>
      <w:r>
        <w:rPr>
          <w:i/>
          <w:iCs/>
        </w:rPr>
        <w:t xml:space="preserve">Sheff</w:t>
      </w:r>
      <w:r>
        <w:t xml:space="preserve">, 435 So. 3d at 1106;</w:t>
      </w:r>
      <w:r>
        <w:t xml:space="preserve"> </w:t>
      </w:r>
      <w:r>
        <w:rPr>
          <w:i/>
          <w:iCs/>
        </w:rPr>
        <w:t xml:space="preserve">Eco Green</w:t>
      </w:r>
      <w:r>
        <w:t xml:space="preserve">, 427 So. 3d at 581.</w:t>
      </w:r>
    </w:p>
    <w:p>
      <w:pPr>
        <w:pStyle w:val="XdList1"/>
      </w:pPr>
      <w:r>
        <w:t xml:space="preserve">11.</w:t>
      </w:r>
      <w:r>
        <w:tab/>
      </w:r>
      <w:r>
        <w:t xml:space="preserve">The reason for this rule is simple. Unless and until final adjudication takes place, the order on appeal is an interlocutory order that is subject to revision or modification by the trial court.</w:t>
      </w:r>
      <w:r>
        <w:t xml:space="preserve"> </w:t>
      </w:r>
      <w:r>
        <w:rPr>
          <w:i/>
          <w:iCs/>
        </w:rPr>
        <w:t xml:space="preserve">See GR Rehab</w:t>
      </w:r>
      <w:r>
        <w:t xml:space="preserve">, 331 So. 3d at 271 (</w:t>
      </w:r>
      <w:r>
        <w:t xml:space="preserve">“[U]nless and until the trial court, with finality, adjudicates [the] lawsuit, the trial court may revisit the challenged order”</w:t>
      </w:r>
      <w:r>
        <w:t xml:space="preserve">);</w:t>
      </w:r>
      <w:r>
        <w:t xml:space="preserve"> </w:t>
      </w:r>
      <w:r>
        <w:rPr>
          <w:i/>
          <w:iCs/>
        </w:rPr>
        <w:t xml:space="preserve">Garrido v. SafePoint Ins. Co.</w:t>
      </w:r>
      <w:r>
        <w:t xml:space="preserve">, 347 So. 3d 108, 113 (Fla. 3d DCA 2022) (noting that because a confession of judgment does not constitute a</w:t>
      </w:r>
      <w:r>
        <w:t xml:space="preserve"> </w:t>
      </w:r>
      <w:r>
        <w:t xml:space="preserve">“judgment,”</w:t>
      </w:r>
      <w:r>
        <w:t xml:space="preserve"> </w:t>
      </w:r>
      <w:r>
        <w:t xml:space="preserve">the trial court’s order striking attorney’s fees was</w:t>
      </w:r>
      <w:r>
        <w:t xml:space="preserve"> </w:t>
      </w:r>
      <w:r>
        <w:t xml:space="preserve">“interlocutory, and may therefore be reconsidered by the trial court”</w:t>
      </w:r>
      <w:r>
        <w:t xml:space="preserve">).</w:t>
      </w:r>
    </w:p>
    <w:p>
      <w:pPr>
        <w:pStyle w:val="XdList1"/>
      </w:pPr>
      <w:r>
        <w:t xml:space="preserve">12.</w:t>
      </w:r>
      <w:r>
        <w:tab/>
      </w:r>
      <w:r>
        <w:t xml:space="preserve">Moreover, the Fees Order merely mentions the</w:t>
      </w:r>
      <w:r>
        <w:t xml:space="preserve"> </w:t>
      </w:r>
      <w:r>
        <w:t xml:space="preserve">“representations of counsel”</w:t>
      </w:r>
      <w:r>
        <w:t xml:space="preserve"> </w:t>
      </w:r>
      <w:r>
        <w:t xml:space="preserve">concerning a settlement, not the Court’s prior adjudication of such resolution. [R. 442]. Also, the Fees Order notes</w:t>
      </w:r>
      <w:r>
        <w:t xml:space="preserve"> </w:t>
      </w:r>
      <w:r>
        <w:t xml:space="preserve">“no further judicial labor is required as to taxable costs”</w:t>
      </w:r>
      <w:r>
        <w:t xml:space="preserve"> </w:t>
      </w:r>
      <w:r>
        <w:t xml:space="preserve">but that says nothing about the breach of contract claim. [R. 442]. And even if the trial court believed</w:t>
      </w:r>
      <w:r>
        <w:t xml:space="preserve"> </w:t>
      </w:r>
      <w:r>
        <w:t xml:space="preserve">“that entitlement to attorney’s fees was the only issue left in the litigation, and it is resolved by this order,”</w:t>
      </w:r>
      <w:r>
        <w:t xml:space="preserve"> </w:t>
      </w:r>
      <w:r>
        <w:t xml:space="preserve">the court below still had not adjudicated the underlying merits claim. [R. 442]. As established above, judicial labor remains here for the trial court:</w:t>
      </w:r>
      <w:r>
        <w:t xml:space="preserve"> </w:t>
      </w:r>
      <w:r>
        <w:t xml:space="preserve">“A judgment must be regularly entered upon a confession of judgment.”</w:t>
      </w:r>
      <w:r>
        <w:t xml:space="preserve"> </w:t>
      </w:r>
      <w:r>
        <w:rPr>
          <w:i/>
          <w:iCs/>
        </w:rPr>
        <w:t xml:space="preserve">E.g., Castro</w:t>
      </w:r>
      <w:r>
        <w:t xml:space="preserve">, 351 So. 3d at 131 (quotation omitted). The trial court has not done so. [R. 442</w:t>
      </w:r>
      <w:r>
        <w:noBreakHyphen/>
      </w:r>
      <w:r>
        <w:t xml:space="preserve">43]. Thus, the Fees Order is interlocutory, subject to revision or reconsideration, and this Court lacks jurisdiction to consider this non-final order.</w:t>
      </w:r>
    </w:p>
    <w:p>
      <w:pPr>
        <w:pStyle w:val="XdList1"/>
      </w:pPr>
      <w:r>
        <w:t xml:space="preserve">13.</w:t>
      </w:r>
      <w:r>
        <w:tab/>
      </w:r>
      <w:r>
        <w:t xml:space="preserve">If this Court dismisses this appeal, this Court should accordingly deny Appellant’s motion for appellate attorney’s fees, as both this Court and the Fifth District denied such fees. [Exs. C, D].</w:t>
      </w:r>
    </w:p>
    <w:p>
      <w:pPr>
        <w:pStyle w:val="XdList1"/>
      </w:pPr>
      <w:r>
        <w:t xml:space="preserve">14.</w:t>
      </w:r>
      <w:r>
        <w:tab/>
      </w:r>
      <w:r>
        <w:t xml:space="preserve">Attorney’s fees are collateral to the underlying dispute (unless those fees are an element of the damages of the claim or similar).</w:t>
      </w:r>
      <w:r>
        <w:t xml:space="preserve"> </w:t>
      </w:r>
      <w:r>
        <w:rPr>
          <w:i/>
          <w:iCs/>
        </w:rPr>
        <w:t xml:space="preserve">Ulrich v. Eaton Vance Distributors</w:t>
      </w:r>
      <w:r>
        <w:t xml:space="preserve">, 764 So. 2d 731, 733 (Fla. 2d DCA 2000). Such collateral attorney’s fees are appealable only when there is a final judgment on the merits issue.</w:t>
      </w:r>
      <w:r>
        <w:t xml:space="preserve"> </w:t>
      </w:r>
      <w:r>
        <w:rPr>
          <w:i/>
          <w:iCs/>
        </w:rPr>
        <w:t xml:space="preserve">See Caribbean Fire and Associates, Inc. v. Coastal Const. Group of South Florida</w:t>
      </w:r>
      <w:r>
        <w:t xml:space="preserve">, 985 So. 2d 1197, 1199 (Fla. 3d DCA 2008) (explaining where there is a final order on the main claim and the right to attorney’s fees is collateral, the appellate court has jurisdiction over the final order and along with it the attorney’s fees issue).</w:t>
      </w:r>
    </w:p>
    <w:p>
      <w:pPr>
        <w:pStyle w:val="BodyTextKeep"/>
      </w:pPr>
      <w:r>
        <w:t xml:space="preserve">WHEREFORE, Security First respectfully requests this Court dismiss the appeal and accordingly deny Appellant’s motion for appellate attorney’s fees.</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GUNSTER,</w:t>
            </w:r>
            <w:r>
              <w:rPr>
                <w:b/>
                <w:bCs/>
              </w:rPr>
              <w:t xml:space="preserve"> </w:t>
            </w:r>
            <w:r>
              <w:rPr>
                <w:b/>
                <w:bCs/>
              </w:rPr>
              <w:t xml:space="preserve">YOAKLEY</w:t>
            </w:r>
            <w:r>
              <w:rPr>
                <w:b/>
                <w:bCs/>
              </w:rPr>
              <w:t xml:space="preserve"> </w:t>
            </w:r>
            <w:r>
              <w:rPr>
                <w:b/>
                <w:bCs/>
              </w:rPr>
              <w:t xml:space="preserve">&amp;</w:t>
            </w:r>
            <w:r>
              <w:rPr>
                <w:b/>
                <w:bCs/>
              </w:rPr>
              <w:t xml:space="preserve"> </w:t>
            </w:r>
            <w:r>
              <w:rPr>
                <w:b/>
                <w:bCs/>
              </w:rPr>
              <w:t xml:space="preserve">STEWART,</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Joseph</w:t>
            </w:r>
            <w:r>
              <w:rPr>
                <w:i/>
                <w:iCs/>
                <w:u w:val="single"/>
              </w:rPr>
              <w:t xml:space="preserve"> </w:t>
            </w:r>
            <w:r>
              <w:rPr>
                <w:i/>
                <w:iCs/>
                <w:u w:val="single"/>
              </w:rPr>
              <w:t xml:space="preserve">W.</w:t>
            </w:r>
            <w:r>
              <w:rPr>
                <w:i/>
                <w:iCs/>
                <w:u w:val="single"/>
              </w:rPr>
              <w:t xml:space="preserve"> </w:t>
            </w:r>
            <w:r>
              <w:rPr>
                <w:i/>
                <w:iCs/>
                <w:u w:val="single"/>
              </w:rPr>
              <w:t xml:space="preserve">Jacquot</w:t>
            </w:r>
          </w:p>
          <w:p>
            <w:pPr>
              <w:spacing w:before="0" w:after="0" w:line="322" w:lineRule="exact"/>
              <w:ind w:left="4608" w:firstLine="0"/>
              <w:jc w:val="left"/>
            </w:pPr>
            <w:r>
              <w:t xml:space="preserve">Joseph</w:t>
            </w:r>
            <w:r>
              <w:t xml:space="preserve"> </w:t>
            </w:r>
            <w:r>
              <w:t xml:space="preserve">W.</w:t>
            </w:r>
            <w:r>
              <w:t xml:space="preserve"> </w:t>
            </w:r>
            <w:r>
              <w:t xml:space="preserve">Jacquot</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189715</w:t>
            </w:r>
          </w:p>
          <w:p>
            <w:pPr>
              <w:spacing w:before="0" w:after="0" w:line="322" w:lineRule="exact"/>
              <w:ind w:left="4608" w:firstLine="0"/>
              <w:jc w:val="left"/>
            </w:pPr>
            <w:r>
              <w:t xml:space="preserve">1</w:t>
            </w:r>
            <w:r>
              <w:t xml:space="preserve"> </w:t>
            </w:r>
            <w:r>
              <w:t xml:space="preserve">Independent</w:t>
            </w:r>
            <w:r>
              <w:t xml:space="preserve"> </w:t>
            </w:r>
            <w:r>
              <w:t xml:space="preserve">Drive,</w:t>
            </w:r>
            <w:r>
              <w:t xml:space="preserve"> </w:t>
            </w:r>
            <w:r>
              <w:t xml:space="preserve">Suite</w:t>
            </w:r>
            <w:r>
              <w:t xml:space="preserve"> </w:t>
            </w:r>
            <w:r>
              <w:t xml:space="preserve">2300</w:t>
            </w:r>
          </w:p>
          <w:p>
            <w:pPr>
              <w:spacing w:before="0" w:after="0" w:line="322" w:lineRule="exact"/>
              <w:ind w:left="4608" w:firstLine="0"/>
              <w:jc w:val="left"/>
            </w:pPr>
            <w:r>
              <w:t xml:space="preserve">Jacksonville,</w:t>
            </w:r>
            <w:r>
              <w:t xml:space="preserve"> </w:t>
            </w:r>
            <w:r>
              <w:t xml:space="preserve">Florida</w:t>
            </w:r>
            <w:r>
              <w:t xml:space="preserve"> </w:t>
            </w:r>
            <w:r>
              <w:t xml:space="preserve">32202</w:t>
            </w:r>
          </w:p>
          <w:p>
            <w:pPr>
              <w:spacing w:before="0" w:after="0" w:line="322" w:lineRule="exact"/>
              <w:ind w:left="4608" w:firstLine="0"/>
              <w:jc w:val="left"/>
            </w:pPr>
            <w:r>
              <w:t xml:space="preserve">jjacquot@gunster.com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document</w:t>
      </w:r>
      <w:r>
        <w:t xml:space="preserve"> </w:t>
      </w:r>
      <w:r>
        <w:t xml:space="preserve">is</w:t>
      </w:r>
      <w:r>
        <w:t xml:space="preserve"> </w:t>
      </w:r>
      <w:r>
        <w:t xml:space="preserve">being</w:t>
      </w:r>
      <w:r>
        <w:t xml:space="preserve"> </w:t>
      </w:r>
      <w:r>
        <w:t xml:space="preserve">served</w:t>
      </w:r>
      <w:r>
        <w:t xml:space="preserve"> </w:t>
      </w:r>
      <w:r>
        <w:t xml:space="preserve">on</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October</w:t>
      </w:r>
      <w:r>
        <w:t xml:space="preserve"> </w:t>
      </w:r>
      <w:r>
        <w:t xml:space="preserve">2026,</w:t>
      </w:r>
      <w:r>
        <w:t xml:space="preserve"> </w:t>
      </w:r>
      <w:r>
        <w:t xml:space="preserve">via</w:t>
      </w:r>
      <w:r>
        <w:t xml:space="preserve"> </w:t>
      </w:r>
      <w:r>
        <w:t xml:space="preserve">automatic</w:t>
      </w:r>
      <w:r>
        <w:t xml:space="preserve"> </w:t>
      </w:r>
      <w:r>
        <w:t xml:space="preserve">email</w:t>
      </w:r>
      <w:r>
        <w:t xml:space="preserve"> </w:t>
      </w:r>
      <w:r>
        <w:t xml:space="preserve">generated</w:t>
      </w:r>
      <w:r>
        <w:t xml:space="preserve"> </w:t>
      </w:r>
      <w:r>
        <w:t xml:space="preserve">by</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Erika</w:t>
            </w:r>
            <w:r>
              <w:t xml:space="preserve"> </w:t>
            </w:r>
            <w:r>
              <w:t xml:space="preserve">L.</w:t>
            </w:r>
            <w:r>
              <w:t xml:space="preserve"> </w:t>
            </w:r>
            <w:r>
              <w:t xml:space="preserve">Pardo,</w:t>
            </w:r>
            <w:r>
              <w:t xml:space="preserve"> </w:t>
            </w:r>
            <w:r>
              <w:t xml:space="preserve">Esq.</w:t>
            </w:r>
          </w:p>
          <w:p>
            <w:pPr>
              <w:spacing w:before="0" w:after="0" w:line="322" w:lineRule="exact"/>
              <w:ind w:left="1440" w:firstLine="0"/>
              <w:jc w:val="left"/>
            </w:pPr>
            <w:r>
              <w:t xml:space="preserve">Christopher</w:t>
            </w:r>
            <w:r>
              <w:t xml:space="preserve"> </w:t>
            </w:r>
            <w:r>
              <w:t xml:space="preserve">Herrera,</w:t>
            </w:r>
            <w:r>
              <w:t xml:space="preserve"> </w:t>
            </w:r>
            <w:r>
              <w:t xml:space="preserve">Esq.</w:t>
            </w:r>
          </w:p>
          <w:p>
            <w:pPr>
              <w:spacing w:before="0" w:after="0" w:line="322" w:lineRule="exact"/>
              <w:ind w:left="1440" w:firstLine="0"/>
              <w:jc w:val="left"/>
            </w:pPr>
            <w:r>
              <w:t xml:space="preserve">THE</w:t>
            </w:r>
            <w:r>
              <w:t xml:space="preserve"> </w:t>
            </w:r>
            <w:r>
              <w:t xml:space="preserve">PARDO</w:t>
            </w:r>
            <w:r>
              <w:t xml:space="preserve"> </w:t>
            </w:r>
            <w:r>
              <w:t xml:space="preserve">LAW</w:t>
            </w:r>
            <w:r>
              <w:t xml:space="preserve"> </w:t>
            </w:r>
            <w:r>
              <w:t xml:space="preserve">FIRM,</w:t>
            </w:r>
            <w:r>
              <w:t xml:space="preserve"> </w:t>
            </w:r>
            <w:r>
              <w:t xml:space="preserve">P.A.</w:t>
            </w:r>
          </w:p>
          <w:p>
            <w:pPr>
              <w:spacing w:before="0" w:after="0" w:line="322" w:lineRule="exact"/>
              <w:ind w:left="1440" w:firstLine="0"/>
              <w:jc w:val="left"/>
            </w:pPr>
            <w:r>
              <w:t xml:space="preserve">9700</w:t>
            </w:r>
            <w:r>
              <w:t xml:space="preserve"> </w:t>
            </w:r>
            <w:r>
              <w:t xml:space="preserve">S.</w:t>
            </w:r>
            <w:r>
              <w:t xml:space="preserve"> </w:t>
            </w:r>
            <w:r>
              <w:t xml:space="preserve">Dixie</w:t>
            </w:r>
            <w:r>
              <w:t xml:space="preserve"> </w:t>
            </w:r>
            <w:r>
              <w:t xml:space="preserve">Highway,</w:t>
            </w:r>
            <w:r>
              <w:t xml:space="preserve"> </w:t>
            </w:r>
            <w:r>
              <w:t xml:space="preserve">Suite</w:t>
            </w:r>
            <w:r>
              <w:t xml:space="preserve"> </w:t>
            </w:r>
            <w:r>
              <w:t xml:space="preserve">660</w:t>
            </w:r>
          </w:p>
          <w:p>
            <w:pPr>
              <w:spacing w:before="0" w:after="0" w:line="322" w:lineRule="exact"/>
              <w:ind w:left="1440" w:firstLine="0"/>
              <w:jc w:val="left"/>
            </w:pPr>
            <w:r>
              <w:t xml:space="preserve">Miami,</w:t>
            </w:r>
            <w:r>
              <w:t xml:space="preserve"> </w:t>
            </w:r>
            <w:r>
              <w:t xml:space="preserve">FL</w:t>
            </w:r>
            <w:r>
              <w:t xml:space="preserve"> </w:t>
            </w:r>
            <w:r>
              <w:t xml:space="preserve">33156</w:t>
            </w:r>
          </w:p>
          <w:p>
            <w:pPr>
              <w:spacing w:before="0" w:after="0" w:line="322" w:lineRule="exact"/>
              <w:ind w:left="1440" w:firstLine="0"/>
              <w:jc w:val="left"/>
            </w:pPr>
            <w:r>
              <w:t xml:space="preserve">Erika@thepardolawfirm.com</w:t>
            </w:r>
          </w:p>
          <w:p>
            <w:pPr>
              <w:spacing w:before="0" w:after="0" w:line="322" w:lineRule="exact"/>
              <w:ind w:left="1440" w:firstLine="0"/>
              <w:jc w:val="left"/>
            </w:pPr>
            <w:r>
              <w:t xml:space="preserve">Christopher@thepardolawfirm.com</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GUNSTER,</w:t>
            </w:r>
            <w:r>
              <w:rPr>
                <w:b/>
                <w:bCs/>
              </w:rPr>
              <w:t xml:space="preserve"> </w:t>
            </w:r>
            <w:r>
              <w:rPr>
                <w:b/>
                <w:bCs/>
              </w:rPr>
              <w:t xml:space="preserve">YOAKLEY</w:t>
            </w:r>
            <w:r>
              <w:rPr>
                <w:b/>
                <w:bCs/>
              </w:rPr>
              <w:t xml:space="preserve"> </w:t>
            </w:r>
            <w:r>
              <w:rPr>
                <w:b/>
                <w:bCs/>
              </w:rPr>
              <w:t xml:space="preserve">&amp;</w:t>
            </w:r>
            <w:r>
              <w:rPr>
                <w:b/>
                <w:bCs/>
              </w:rPr>
              <w:t xml:space="preserve"> </w:t>
            </w:r>
            <w:r>
              <w:rPr>
                <w:b/>
                <w:bCs/>
              </w:rPr>
              <w:t xml:space="preserve">STEWART,</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Joseph</w:t>
            </w:r>
            <w:r>
              <w:rPr>
                <w:i/>
                <w:iCs/>
                <w:u w:val="single"/>
              </w:rPr>
              <w:t xml:space="preserve"> </w:t>
            </w:r>
            <w:r>
              <w:rPr>
                <w:i/>
                <w:iCs/>
                <w:u w:val="single"/>
              </w:rPr>
              <w:t xml:space="preserve">W.</w:t>
            </w:r>
            <w:r>
              <w:rPr>
                <w:i/>
                <w:iCs/>
                <w:u w:val="single"/>
              </w:rPr>
              <w:t xml:space="preserve"> </w:t>
            </w:r>
            <w:r>
              <w:rPr>
                <w:i/>
                <w:iCs/>
                <w:u w:val="single"/>
              </w:rPr>
              <w:t xml:space="preserve">Jacquot</w:t>
            </w:r>
          </w:p>
          <w:p>
            <w:pPr>
              <w:spacing w:before="0" w:after="0" w:line="322" w:lineRule="exact"/>
              <w:ind w:left="4608" w:firstLine="0"/>
              <w:jc w:val="left"/>
            </w:pPr>
            <w:r>
              <w:t xml:space="preserve">Joseph</w:t>
            </w:r>
            <w:r>
              <w:t xml:space="preserve"> </w:t>
            </w:r>
            <w:r>
              <w:t xml:space="preserve">W.</w:t>
            </w:r>
            <w:r>
              <w:t xml:space="preserve"> </w:t>
            </w:r>
            <w:r>
              <w:t xml:space="preserve">Jacquot</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189715</w:t>
            </w:r>
          </w:p>
          <w:p>
            <w:pPr>
              <w:spacing w:before="0" w:after="0" w:line="322" w:lineRule="exact"/>
              <w:ind w:left="4608" w:firstLine="0"/>
              <w:jc w:val="left"/>
            </w:pPr>
            <w:r>
              <w:t xml:space="preserve">1</w:t>
            </w:r>
            <w:r>
              <w:t xml:space="preserve"> </w:t>
            </w:r>
            <w:r>
              <w:t xml:space="preserve">Independent</w:t>
            </w:r>
            <w:r>
              <w:t xml:space="preserve"> </w:t>
            </w:r>
            <w:r>
              <w:t xml:space="preserve">Drive,</w:t>
            </w:r>
            <w:r>
              <w:t xml:space="preserve"> </w:t>
            </w:r>
            <w:r>
              <w:t xml:space="preserve">Suite</w:t>
            </w:r>
            <w:r>
              <w:t xml:space="preserve"> </w:t>
            </w:r>
            <w:r>
              <w:t xml:space="preserve">2300</w:t>
            </w:r>
          </w:p>
          <w:p>
            <w:pPr>
              <w:spacing w:before="0" w:after="0" w:line="322" w:lineRule="exact"/>
              <w:ind w:left="4608" w:firstLine="0"/>
              <w:jc w:val="left"/>
            </w:pPr>
            <w:r>
              <w:t xml:space="preserve">Jacksonville,</w:t>
            </w:r>
            <w:r>
              <w:t xml:space="preserve"> </w:t>
            </w:r>
            <w:r>
              <w:t xml:space="preserve">Florida</w:t>
            </w:r>
            <w:r>
              <w:t xml:space="preserve"> </w:t>
            </w:r>
            <w:r>
              <w:t xml:space="preserve">32202</w:t>
            </w:r>
          </w:p>
          <w:p>
            <w:pPr>
              <w:spacing w:before="0" w:after="0" w:line="322" w:lineRule="exact"/>
              <w:ind w:left="4608" w:firstLine="0"/>
              <w:jc w:val="left"/>
            </w:pPr>
            <w:r>
              <w:t xml:space="preserve">jjacquot@gunster.com</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