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t xml:space="preserve">A20-⁠1486</w:t>
      </w:r>
    </w:p>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MINNESOTA</w:t>
      </w:r>
    </w:p>
    <w:p>
      <w:pPr>
        <w:spacing w:before="0" w:after="0" w:line="299" w:lineRule="exact"/>
        <w:ind w:left="0" w:firstLine="0"/>
        <w:jc w:val="center"/>
      </w:pPr>
      <w:r>
        <w:rPr>
          <w:b/>
          <w:bCs/>
        </w:rPr>
        <w:t xml:space="preserve">IN</w:t>
      </w:r>
      <w:r>
        <w:rPr>
          <w:b/>
          <w:bCs/>
        </w:rPr>
        <w:t xml:space="preserve"> </w:t>
      </w:r>
      <w:r>
        <w:rPr>
          <w:b/>
          <w:bCs/>
        </w:rPr>
        <w:t xml:space="preserve">SUPREME</w:t>
      </w:r>
      <w:r>
        <w:rPr>
          <w:b/>
          <w:bCs/>
        </w:rPr>
        <w:t xml:space="preserve"> </w:t>
      </w:r>
      <w:r>
        <w:rPr>
          <w:b/>
          <w:bCs/>
        </w:rPr>
        <w:t xml:space="preserve">COURT</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120"/>
        <w:gridCol w:w="3240"/>
      </w:tblGrid>
      <w:tr>
        <w:trPr>
          <w:cantSplit/>
        </w:trPr>
        <w:tc>
          <w:tcPr>
            <w:tcW w:w="6120" w:type="dxa"/>
          </w:tcPr>
          <w:p>
            <w:pPr>
              <w:spacing w:before="0" w:after="0" w:line="299" w:lineRule="exact"/>
              <w:ind w:left="0" w:firstLine="0"/>
              <w:jc w:val="left"/>
            </w:pPr>
            <w:r>
              <w:t xml:space="preserve">Tyler</w:t>
            </w:r>
            <w:r>
              <w:t xml:space="preserve"> </w:t>
            </w:r>
            <w:r>
              <w:t xml:space="preserve">Kistner,</w:t>
            </w:r>
            <w:r>
              <w:t xml:space="preserve"> </w:t>
            </w:r>
            <w:r>
              <w:t xml:space="preserve">Gene</w:t>
            </w:r>
            <w:r>
              <w:t xml:space="preserve"> </w:t>
            </w:r>
            <w:r>
              <w:t xml:space="preserve">Rechtzigel,</w:t>
            </w:r>
            <w:r>
              <w:t xml:space="preserve"> </w:t>
            </w:r>
            <w:r>
              <w:t xml:space="preserve">Rich</w:t>
            </w:r>
            <w:r>
              <w:t xml:space="preserve"> </w:t>
            </w:r>
            <w:r>
              <w:t xml:space="preserve">Draheim,</w:t>
            </w:r>
            <w:r>
              <w:t xml:space="preserve"> </w:t>
            </w:r>
            <w:r>
              <w:t xml:space="preserve">Steve</w:t>
            </w:r>
            <w:r>
              <w:t xml:space="preserve"> </w:t>
            </w:r>
            <w:r>
              <w:t xml:space="preserve">Drazkowski,</w:t>
            </w:r>
            <w:r>
              <w:t xml:space="preserve"> </w:t>
            </w:r>
            <w:r>
              <w:t xml:space="preserve">Jeremy</w:t>
            </w:r>
            <w:r>
              <w:t xml:space="preserve"> </w:t>
            </w:r>
            <w:r>
              <w:t xml:space="preserve">Munson,</w:t>
            </w:r>
            <w:r>
              <w:t xml:space="preserve"> </w:t>
            </w:r>
            <w:r>
              <w:t xml:space="preserve">Tim</w:t>
            </w:r>
            <w:r>
              <w:t xml:space="preserve"> </w:t>
            </w:r>
            <w:r>
              <w:t xml:space="preserve">Miller,</w:t>
            </w:r>
            <w:r>
              <w:t xml:space="preserve"> </w:t>
            </w:r>
            <w:r>
              <w:t xml:space="preserve">Calvin</w:t>
            </w:r>
            <w:r>
              <w:t xml:space="preserve"> </w:t>
            </w:r>
            <w:r>
              <w:t xml:space="preserve">Bahr,</w:t>
            </w:r>
            <w:r>
              <w:t xml:space="preserve"> </w:t>
            </w:r>
            <w:r>
              <w:t xml:space="preserve">Erik</w:t>
            </w:r>
            <w:r>
              <w:t xml:space="preserve"> </w:t>
            </w:r>
            <w:r>
              <w:t xml:space="preserve">Mortensen,</w:t>
            </w:r>
            <w:r>
              <w:t xml:space="preserve"> </w:t>
            </w:r>
            <w:r>
              <w:t xml:space="preserve">Dan</w:t>
            </w:r>
            <w:r>
              <w:t xml:space="preserve"> </w:t>
            </w:r>
            <w:r>
              <w:t xml:space="preserve">Hall,</w:t>
            </w:r>
            <w:r>
              <w:t xml:space="preserve"> </w:t>
            </w:r>
            <w:r>
              <w:t xml:space="preserve">Jose</w:t>
            </w:r>
            <w:r>
              <w:t xml:space="preserve"> </w:t>
            </w:r>
            <w:r>
              <w:t xml:space="preserve">W.</w:t>
            </w:r>
            <w:r>
              <w:t xml:space="preserve"> </w:t>
            </w:r>
            <w:r>
              <w:t xml:space="preserve">Jimenez,</w:t>
            </w:r>
            <w:r>
              <w:t xml:space="preserve"> </w:t>
            </w:r>
            <w:r>
              <w:t xml:space="preserve">Sandra</w:t>
            </w:r>
            <w:r>
              <w:t xml:space="preserve"> </w:t>
            </w:r>
            <w:r>
              <w:t xml:space="preserve">A.</w:t>
            </w:r>
            <w:r>
              <w:t xml:space="preserve"> </w:t>
            </w:r>
            <w:r>
              <w:t xml:space="preserve">Jimenez,</w:t>
            </w:r>
            <w:r>
              <w:t xml:space="preserve"> </w:t>
            </w:r>
            <w:r>
              <w:t xml:space="preserve">Tomas</w:t>
            </w:r>
            <w:r>
              <w:t xml:space="preserve"> </w:t>
            </w:r>
            <w:r>
              <w:t xml:space="preserve">Settell,</w:t>
            </w:r>
            <w:r>
              <w:t xml:space="preserve"> </w:t>
            </w:r>
            <w:r>
              <w:t xml:space="preserve">Megan</w:t>
            </w:r>
            <w:r>
              <w:t xml:space="preserve"> </w:t>
            </w:r>
            <w:r>
              <w:t xml:space="preserve">Olson,</w:t>
            </w:r>
            <w:r>
              <w:t xml:space="preserve"> </w:t>
            </w:r>
            <w:r>
              <w:t xml:space="preserve">Leilani</w:t>
            </w:r>
            <w:r>
              <w:t xml:space="preserve"> </w:t>
            </w:r>
            <w:r>
              <w:t xml:space="preserve">Holmstadt,</w:t>
            </w:r>
            <w:r>
              <w:t xml:space="preserve"> </w:t>
            </w:r>
            <w:r>
              <w:t xml:space="preserve">Pam</w:t>
            </w:r>
            <w:r>
              <w:t xml:space="preserve"> </w:t>
            </w:r>
            <w:r>
              <w:t xml:space="preserve">Myhra,</w:t>
            </w:r>
            <w:r>
              <w:t xml:space="preserve"> </w:t>
            </w:r>
            <w:r>
              <w:t xml:space="preserve">Roz</w:t>
            </w:r>
            <w:r>
              <w:t xml:space="preserve"> </w:t>
            </w:r>
            <w:r>
              <w:t xml:space="preserve">Peterson,</w:t>
            </w:r>
            <w:r>
              <w:t xml:space="preserve"> </w:t>
            </w:r>
            <w:r>
              <w:t xml:space="preserve">Lucia</w:t>
            </w:r>
            <w:r>
              <w:t xml:space="preserve"> </w:t>
            </w:r>
            <w:r>
              <w:t xml:space="preserve">Vogel,</w:t>
            </w:r>
            <w:r>
              <w:t xml:space="preserve"> </w:t>
            </w:r>
            <w:r>
              <w:t xml:space="preserve">Jennifer</w:t>
            </w:r>
            <w:r>
              <w:t xml:space="preserve"> </w:t>
            </w:r>
            <w:r>
              <w:t xml:space="preserve">Zielinski,</w:t>
            </w:r>
            <w:r>
              <w:t xml:space="preserve"> </w:t>
            </w:r>
            <w:r>
              <w:t xml:space="preserve">Diane</w:t>
            </w:r>
            <w:r>
              <w:t xml:space="preserve"> </w:t>
            </w:r>
            <w:r>
              <w:t xml:space="preserve">Napper,</w:t>
            </w:r>
            <w:r>
              <w:t xml:space="preserve"> </w:t>
            </w:r>
            <w:r>
              <w:t xml:space="preserve">Alexander</w:t>
            </w:r>
            <w:r>
              <w:t xml:space="preserve"> </w:t>
            </w:r>
            <w:r>
              <w:t xml:space="preserve">Deputie,</w:t>
            </w:r>
            <w:r>
              <w:t xml:space="preserve"> </w:t>
            </w:r>
            <w:r>
              <w:t xml:space="preserve">Charlotte</w:t>
            </w:r>
            <w:r>
              <w:t xml:space="preserve"> </w:t>
            </w:r>
            <w:r>
              <w:t xml:space="preserve">Smith,</w:t>
            </w:r>
            <w:r>
              <w:t xml:space="preserve"> </w:t>
            </w:r>
            <w:r>
              <w:t xml:space="preserve">Fern</w:t>
            </w:r>
            <w:r>
              <w:t xml:space="preserve"> </w:t>
            </w:r>
            <w:r>
              <w:t xml:space="preserve">Smith,</w:t>
            </w:r>
            <w:r>
              <w:t xml:space="preserve"> </w:t>
            </w:r>
            <w:r>
              <w:t xml:space="preserve">Mariah</w:t>
            </w:r>
            <w:r>
              <w:t xml:space="preserve"> </w:t>
            </w:r>
            <w:r>
              <w:t xml:space="preserve">Delapaz,</w:t>
            </w:r>
            <w:r>
              <w:t xml:space="preserve"> </w:t>
            </w:r>
            <w:r>
              <w:t xml:space="preserve">Cynthia</w:t>
            </w:r>
            <w:r>
              <w:t xml:space="preserve"> </w:t>
            </w:r>
            <w:r>
              <w:t xml:space="preserve">Londquist,</w:t>
            </w:r>
            <w:r>
              <w:t xml:space="preserve"> </w:t>
            </w:r>
            <w:r>
              <w:t xml:space="preserve">Lisa</w:t>
            </w:r>
            <w:r>
              <w:t xml:space="preserve"> </w:t>
            </w:r>
            <w:r>
              <w:t xml:space="preserve">Pohlman,</w:t>
            </w:r>
            <w:r>
              <w:t xml:space="preserve"> </w:t>
            </w:r>
            <w:r>
              <w:t xml:space="preserve">Nora</w:t>
            </w:r>
            <w:r>
              <w:t xml:space="preserve"> </w:t>
            </w:r>
            <w:r>
              <w:t xml:space="preserve">L.</w:t>
            </w:r>
            <w:r>
              <w:t xml:space="preserve"> </w:t>
            </w:r>
            <w:r>
              <w:t xml:space="preserve">Felton,</w:t>
            </w:r>
            <w:r>
              <w:t xml:space="preserve"> </w:t>
            </w:r>
            <w:r>
              <w:t xml:space="preserve">Deborah</w:t>
            </w:r>
            <w:r>
              <w:t xml:space="preserve"> </w:t>
            </w:r>
            <w:r>
              <w:t xml:space="preserve">Coxe,</w:t>
            </w:r>
            <w:r>
              <w:t xml:space="preserve"> </w:t>
            </w:r>
            <w:r>
              <w:t xml:space="preserve">Jane</w:t>
            </w:r>
            <w:r>
              <w:t xml:space="preserve"> </w:t>
            </w:r>
            <w:r>
              <w:t xml:space="preserve">L.</w:t>
            </w:r>
            <w:r>
              <w:t xml:space="preserve"> </w:t>
            </w:r>
            <w:r>
              <w:t xml:space="preserve">Volz,</w:t>
            </w:r>
            <w:r>
              <w:t xml:space="preserve"> </w:t>
            </w:r>
            <w:r>
              <w:t xml:space="preserve">Paul</w:t>
            </w:r>
            <w:r>
              <w:t xml:space="preserve"> </w:t>
            </w:r>
            <w:r>
              <w:t xml:space="preserve">Staut,</w:t>
            </w:r>
            <w:r>
              <w:t xml:space="preserve"> </w:t>
            </w:r>
            <w:r>
              <w:t xml:space="preserve">Kathleen</w:t>
            </w:r>
            <w:r>
              <w:t xml:space="preserve"> </w:t>
            </w:r>
            <w:r>
              <w:t xml:space="preserve">Hagen,</w:t>
            </w:r>
            <w:r>
              <w:t xml:space="preserve"> </w:t>
            </w:r>
            <w:r>
              <w:t xml:space="preserve">Janine</w:t>
            </w:r>
            <w:r>
              <w:t xml:space="preserve"> </w:t>
            </w:r>
            <w:r>
              <w:t xml:space="preserve">Kusnierek,</w:t>
            </w:r>
            <w:r>
              <w:t xml:space="preserve"> </w:t>
            </w:r>
            <w:r>
              <w:t xml:space="preserve">Greg</w:t>
            </w:r>
            <w:r>
              <w:t xml:space="preserve"> </w:t>
            </w:r>
            <w:r>
              <w:t xml:space="preserve">Buck,</w:t>
            </w:r>
            <w:r>
              <w:t xml:space="preserve"> </w:t>
            </w:r>
            <w:r>
              <w:t xml:space="preserve">Don</w:t>
            </w:r>
            <w:r>
              <w:t xml:space="preserve"> </w:t>
            </w:r>
            <w:r>
              <w:t xml:space="preserve">Bumgarner,</w:t>
            </w:r>
            <w:r>
              <w:t xml:space="preserve"> </w:t>
            </w:r>
            <w:r>
              <w:t xml:space="preserve">Amy</w:t>
            </w:r>
            <w:r>
              <w:t xml:space="preserve"> </w:t>
            </w:r>
            <w:r>
              <w:t xml:space="preserve">Bruno,</w:t>
            </w:r>
            <w:r>
              <w:t xml:space="preserve"> </w:t>
            </w:r>
            <w:r>
              <w:t xml:space="preserve">and</w:t>
            </w:r>
            <w:r>
              <w:t xml:space="preserve"> </w:t>
            </w:r>
            <w:r>
              <w:t xml:space="preserve">Kathleen</w:t>
            </w:r>
            <w:r>
              <w:t xml:space="preserve"> </w:t>
            </w:r>
            <w:r>
              <w:t xml:space="preserve">Nydegger,</w:t>
            </w:r>
          </w:p>
          <w:p>
            <w:pPr>
              <w:spacing w:before="156" w:after="156" w:line="299" w:lineRule="exact"/>
              <w:ind w:left="1440" w:firstLine="0"/>
              <w:jc w:val="left"/>
            </w:pPr>
            <w:r>
              <w:t xml:space="preserve">Petitioners,</w:t>
            </w:r>
          </w:p>
          <w:p>
            <w:pPr>
              <w:spacing w:before="0" w:after="156" w:line="299" w:lineRule="exact"/>
              <w:ind w:left="0" w:firstLine="0"/>
              <w:jc w:val="left"/>
            </w:pPr>
            <w:r>
              <w:t xml:space="preserve">v.</w:t>
            </w:r>
          </w:p>
          <w:p>
            <w:pPr>
              <w:spacing w:before="0" w:after="0" w:line="299" w:lineRule="exact"/>
              <w:ind w:left="0" w:firstLine="0"/>
              <w:jc w:val="left"/>
            </w:pPr>
            <w:r>
              <w:t xml:space="preserve">Steve</w:t>
            </w:r>
            <w:r>
              <w:t xml:space="preserve"> </w:t>
            </w:r>
            <w:r>
              <w:t xml:space="preserve">Simon,</w:t>
            </w:r>
            <w:r>
              <w:t xml:space="preserve"> </w:t>
            </w:r>
            <w:r>
              <w:t xml:space="preserve">only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the</w:t>
            </w:r>
            <w:r>
              <w:t xml:space="preserve"> </w:t>
            </w:r>
            <w:r>
              <w:t xml:space="preserve">Minnesota</w:t>
            </w:r>
            <w:r>
              <w:t xml:space="preserve"> </w:t>
            </w:r>
            <w:r>
              <w:t xml:space="preserve">Secretary</w:t>
            </w:r>
            <w:r>
              <w:t xml:space="preserve"> </w:t>
            </w:r>
            <w:r>
              <w:t xml:space="preserve">of</w:t>
            </w:r>
            <w:r>
              <w:t xml:space="preserve"> </w:t>
            </w:r>
            <w:r>
              <w:t xml:space="preserve">State</w:t>
            </w:r>
            <w:r>
              <w:t xml:space="preserve"> </w:t>
            </w:r>
            <w:r>
              <w:t xml:space="preserve">and</w:t>
            </w:r>
            <w:r>
              <w:t xml:space="preserve"> </w:t>
            </w:r>
            <w:r>
              <w:t xml:space="preserve">member</w:t>
            </w:r>
            <w:r>
              <w:t xml:space="preserve"> </w:t>
            </w:r>
            <w:r>
              <w:t xml:space="preserve">of</w:t>
            </w:r>
            <w:r>
              <w:t xml:space="preserve"> </w:t>
            </w:r>
            <w:r>
              <w:t xml:space="preserve">the</w:t>
            </w:r>
            <w:r>
              <w:t xml:space="preserve"> </w:t>
            </w:r>
            <w:r>
              <w:t xml:space="preserve">State</w:t>
            </w:r>
            <w:r>
              <w:t xml:space="preserve"> </w:t>
            </w:r>
            <w:r>
              <w:t xml:space="preserve">Canvassing</w:t>
            </w:r>
            <w:r>
              <w:t xml:space="preserve"> </w:t>
            </w:r>
            <w:r>
              <w:t xml:space="preserve">Board,</w:t>
            </w:r>
            <w:r>
              <w:t xml:space="preserve"> </w:t>
            </w:r>
            <w:r>
              <w:t xml:space="preserve">Margaret</w:t>
            </w:r>
            <w:r>
              <w:t xml:space="preserve"> </w:t>
            </w:r>
            <w:r>
              <w:t xml:space="preserve">H.</w:t>
            </w:r>
            <w:r>
              <w:t xml:space="preserve"> </w:t>
            </w:r>
            <w:r>
              <w:t xml:space="preserve">Chutich,</w:t>
            </w:r>
            <w:r>
              <w:t xml:space="preserve"> </w:t>
            </w:r>
            <w:r>
              <w:t xml:space="preserve">only</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a</w:t>
            </w:r>
            <w:r>
              <w:t xml:space="preserve"> </w:t>
            </w:r>
            <w:r>
              <w:t xml:space="preserve">member</w:t>
            </w:r>
            <w:r>
              <w:t xml:space="preserve"> </w:t>
            </w:r>
            <w:r>
              <w:t xml:space="preserve">of</w:t>
            </w:r>
            <w:r>
              <w:t xml:space="preserve"> </w:t>
            </w:r>
            <w:r>
              <w:t xml:space="preserve">the</w:t>
            </w:r>
            <w:r>
              <w:t xml:space="preserve"> </w:t>
            </w:r>
            <w:r>
              <w:t xml:space="preserve">State</w:t>
            </w:r>
            <w:r>
              <w:t xml:space="preserve"> </w:t>
            </w:r>
            <w:r>
              <w:t xml:space="preserve">Canvasing</w:t>
            </w:r>
            <w:r>
              <w:t xml:space="preserve"> </w:t>
            </w:r>
            <w:r>
              <w:t xml:space="preserve">Board,</w:t>
            </w:r>
            <w:r>
              <w:t xml:space="preserve"> </w:t>
            </w:r>
            <w:r>
              <w:t xml:space="preserve">Gordon</w:t>
            </w:r>
            <w:r>
              <w:t xml:space="preserve"> </w:t>
            </w:r>
            <w:r>
              <w:t xml:space="preserve">L.</w:t>
            </w:r>
            <w:r>
              <w:t xml:space="preserve"> </w:t>
            </w:r>
            <w:r>
              <w:t xml:space="preserve">Moore,</w:t>
            </w:r>
            <w:r>
              <w:t xml:space="preserve"> </w:t>
            </w:r>
            <w:r>
              <w:t xml:space="preserve">III,</w:t>
            </w:r>
            <w:r>
              <w:t xml:space="preserve"> </w:t>
            </w:r>
            <w:r>
              <w:t xml:space="preserve">only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w:t>
            </w:r>
            <w:r>
              <w:t xml:space="preserve"> </w:t>
            </w:r>
            <w:r>
              <w:t xml:space="preserve">member</w:t>
            </w:r>
            <w:r>
              <w:t xml:space="preserve"> </w:t>
            </w:r>
            <w:r>
              <w:t xml:space="preserve">of</w:t>
            </w:r>
            <w:r>
              <w:t xml:space="preserve"> </w:t>
            </w:r>
            <w:r>
              <w:t xml:space="preserve">the</w:t>
            </w:r>
            <w:r>
              <w:t xml:space="preserve"> </w:t>
            </w:r>
            <w:r>
              <w:t xml:space="preserve">State</w:t>
            </w:r>
            <w:r>
              <w:t xml:space="preserve"> </w:t>
            </w:r>
            <w:r>
              <w:t xml:space="preserve">Canvasing</w:t>
            </w:r>
            <w:r>
              <w:t xml:space="preserve"> </w:t>
            </w:r>
            <w:r>
              <w:t xml:space="preserve">Board,</w:t>
            </w:r>
            <w:r>
              <w:t xml:space="preserve"> </w:t>
            </w:r>
            <w:r>
              <w:t xml:space="preserve">Regina</w:t>
            </w:r>
            <w:r>
              <w:t xml:space="preserve"> </w:t>
            </w:r>
            <w:r>
              <w:t xml:space="preserve">Chu,</w:t>
            </w:r>
            <w:r>
              <w:t xml:space="preserve"> </w:t>
            </w:r>
            <w:r>
              <w:t xml:space="preserve">only</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a</w:t>
            </w:r>
            <w:r>
              <w:t xml:space="preserve"> </w:t>
            </w:r>
            <w:r>
              <w:t xml:space="preserve">member</w:t>
            </w:r>
            <w:r>
              <w:t xml:space="preserve"> </w:t>
            </w:r>
            <w:r>
              <w:t xml:space="preserve">of</w:t>
            </w:r>
            <w:r>
              <w:t xml:space="preserve"> </w:t>
            </w:r>
            <w:r>
              <w:t xml:space="preserve">the</w:t>
            </w:r>
            <w:r>
              <w:t xml:space="preserve"> </w:t>
            </w:r>
            <w:r>
              <w:t xml:space="preserve">State</w:t>
            </w:r>
            <w:r>
              <w:t xml:space="preserve"> </w:t>
            </w:r>
            <w:r>
              <w:t xml:space="preserve">Canvasing</w:t>
            </w:r>
            <w:r>
              <w:t xml:space="preserve"> </w:t>
            </w:r>
            <w:r>
              <w:t xml:space="preserve">Board,</w:t>
            </w:r>
            <w:r>
              <w:t xml:space="preserve"> </w:t>
            </w:r>
            <w:r>
              <w:t xml:space="preserve">and</w:t>
            </w:r>
            <w:r>
              <w:t xml:space="preserve"> </w:t>
            </w:r>
            <w:r>
              <w:t xml:space="preserve">Christian</w:t>
            </w:r>
            <w:r>
              <w:t xml:space="preserve"> </w:t>
            </w:r>
            <w:r>
              <w:t xml:space="preserve">Sande,</w:t>
            </w:r>
            <w:r>
              <w:t xml:space="preserve"> </w:t>
            </w:r>
            <w:r>
              <w:t xml:space="preserve">only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w:t>
            </w:r>
            <w:r>
              <w:t xml:space="preserve"> </w:t>
            </w:r>
            <w:r>
              <w:t xml:space="preserve">member</w:t>
            </w:r>
            <w:r>
              <w:t xml:space="preserve"> </w:t>
            </w:r>
            <w:r>
              <w:t xml:space="preserve">of</w:t>
            </w:r>
            <w:r>
              <w:t xml:space="preserve"> </w:t>
            </w:r>
            <w:r>
              <w:t xml:space="preserve">the</w:t>
            </w:r>
            <w:r>
              <w:t xml:space="preserve"> </w:t>
            </w:r>
            <w:r>
              <w:t xml:space="preserve">State</w:t>
            </w:r>
            <w:r>
              <w:t xml:space="preserve"> </w:t>
            </w:r>
            <w:r>
              <w:t xml:space="preserve">Canvasing</w:t>
            </w:r>
            <w:r>
              <w:t xml:space="preserve"> </w:t>
            </w:r>
            <w:r>
              <w:t xml:space="preserve">Board,</w:t>
            </w:r>
          </w:p>
          <w:p>
            <w:pPr>
              <w:spacing w:before="156" w:after="156" w:line="299" w:lineRule="exact"/>
              <w:ind w:left="1440" w:firstLine="0"/>
              <w:jc w:val="left"/>
            </w:pPr>
            <w:r>
              <w:t xml:space="preserve">Respondents,</w:t>
            </w:r>
          </w:p>
          <w:p>
            <w:pPr>
              <w:spacing w:before="0" w:after="156" w:line="299" w:lineRule="exact"/>
              <w:ind w:left="0" w:firstLine="0"/>
              <w:jc w:val="left"/>
            </w:pPr>
            <w:r>
              <w:t xml:space="preserve">and</w:t>
            </w:r>
          </w:p>
          <w:p>
            <w:pPr>
              <w:spacing w:before="0" w:after="0" w:line="299" w:lineRule="exact"/>
              <w:ind w:left="0" w:firstLine="0"/>
              <w:jc w:val="left"/>
            </w:pPr>
            <w:r>
              <w:t xml:space="preserve">Minnesota</w:t>
            </w:r>
            <w:r>
              <w:t xml:space="preserve"> </w:t>
            </w:r>
            <w:r>
              <w:t xml:space="preserve">Democratic-Farmer-Labor</w:t>
            </w:r>
            <w:r>
              <w:t xml:space="preserve"> </w:t>
            </w:r>
            <w:r>
              <w:t xml:space="preserve">Party</w:t>
            </w:r>
          </w:p>
          <w:p>
            <w:pPr>
              <w:spacing w:before="0" w:after="0" w:line="299" w:lineRule="exact"/>
              <w:ind w:left="0" w:firstLine="0"/>
              <w:jc w:val="left"/>
            </w:pPr>
            <w:r>
              <w:t xml:space="preserve">Ken</w:t>
            </w:r>
            <w:r>
              <w:t xml:space="preserve"> </w:t>
            </w:r>
            <w:r>
              <w:t xml:space="preserve">Martin,</w:t>
            </w:r>
            <w:r>
              <w:t xml:space="preserve"> </w:t>
            </w:r>
            <w:r>
              <w:t xml:space="preserve">its</w:t>
            </w:r>
            <w:r>
              <w:t xml:space="preserve"> </w:t>
            </w:r>
            <w:r>
              <w:t xml:space="preserve">Chair,</w:t>
            </w:r>
          </w:p>
          <w:p>
            <w:pPr>
              <w:spacing w:before="156" w:after="0" w:line="299" w:lineRule="exact"/>
              <w:ind w:left="1440" w:firstLine="0"/>
              <w:jc w:val="left"/>
            </w:pPr>
            <w:r>
              <w:t xml:space="preserve">Proposed</w:t>
            </w:r>
            <w:r>
              <w:t xml:space="preserve"> </w:t>
            </w:r>
            <w:r>
              <w:t xml:space="preserve">Intervenor-Respondent.</w:t>
            </w:r>
          </w:p>
        </w:tc>
        <w:tc>
          <w:tcPr>
            <w:tcW w:w="3240" w:type="dxa"/>
            <w:tcMar>
              <w:left w:w="288" w:type="dxa"/>
            </w:tcMar>
            <w:vAlign w:val="center"/>
          </w:tcPr>
          <w:p>
            <w:pPr>
              <w:spacing w:before="0" w:after="0" w:line="299" w:lineRule="exact"/>
              <w:ind w:left="0" w:firstLine="0"/>
              <w:jc w:val="center"/>
            </w:pPr>
            <w:r>
              <w:rPr>
                <w:b/>
                <w:bCs/>
              </w:rPr>
              <w:t xml:space="preserve">MINNESOTA</w:t>
            </w:r>
            <w:r>
              <w:rPr>
                <w:b/>
                <w:bCs/>
              </w:rPr>
              <w:t xml:space="preserve"> </w:t>
            </w:r>
            <w:r>
              <w:rPr>
                <w:b/>
                <w:bCs/>
              </w:rPr>
              <w:t xml:space="preserve">DEMOCRATIC-FARMER-LABOR</w:t>
            </w:r>
            <w:r>
              <w:rPr>
                <w:b/>
                <w:bCs/>
              </w:rPr>
              <w:t xml:space="preserve"> </w:t>
            </w:r>
            <w:r>
              <w:rPr>
                <w:b/>
                <w:bCs/>
              </w:rPr>
              <w:t xml:space="preserve">PARTY’S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INTERVENE</w:t>
            </w:r>
            <w:r>
              <w:rPr>
                <w:b/>
                <w:bCs/>
              </w:rPr>
              <w:t xml:space="preserve"> </w:t>
            </w:r>
            <w:r>
              <w:rPr>
                <w:b/>
                <w:bCs/>
              </w:rPr>
              <w:t xml:space="preserve">AS</w:t>
            </w:r>
            <w:r>
              <w:rPr>
                <w:b/>
                <w:bCs/>
              </w:rPr>
              <w:t xml:space="preserve"> </w:t>
            </w:r>
            <w:r>
              <w:rPr>
                <w:b/>
                <w:bCs/>
              </w:rPr>
              <w:t xml:space="preserve">RESPONDENT</w:t>
            </w:r>
          </w:p>
        </w:tc>
      </w:tr>
    </w:tbl>
    <w:p>
      <w:pPr>
        <w:pageBreakBefore/>
        <w:spacing w:before="0" w:after="0" w:line="1" w:lineRule="exact"/>
      </w:pPr>
    </w:p>
    <w:p>
      <w:pPr>
        <w:pStyle w:val="BodyText"/>
      </w:pPr>
      <w:r>
        <w:t xml:space="preserve">TO: The Minnesota Supreme Court and all counsel of record.</w:t>
      </w:r>
    </w:p>
    <w:p>
      <w:pPr>
        <w:pStyle w:val="BodyText"/>
      </w:pPr>
      <w:r>
        <w:t xml:space="preserve">Proposed Intervenor-Respondent Minnesota Democratic-Farmer-Labor Party, by Ken Martin, its Chair (the “DFL Party”), hereby moves the Minnesota Supreme Court, under Minnesota Rule of Civil Appellate Procedure 127, for an order permitting it to intervene as a Respondent in the above-captioned matter and participate in any briefing permitted by the Court.</w:t>
      </w:r>
    </w:p>
    <w:p>
      <w:pPr>
        <w:pStyle w:val="BodyText"/>
      </w:pPr>
      <w:r>
        <w:t xml:space="preserve">In this action, Petitioners challenge both a lawful consent decree entered by Respondent Steve Simon, the Minnesota Secretary of State, and the State’s postelection review process—after the ballots of more than 3.2 million Minnesotans have been cast, counted, and certified. In so doing, Petitioners pose a clear and direct threat to the DFL Party’s rights and legal interests. The DFL Party is entitled to intervene in this matter as of right under Minnesota Rule of Civil Procedure 24.01 to safeguard its substantial and distinct legal interests. Alternatively, the DFL Party should be granted permissive intervention pursuant to Rule 24.02.</w:t>
      </w:r>
    </w:p>
    <w:p>
      <w:pPr>
        <w:keepNext/>
        <w:keepLines/>
        <w:spacing w:before="260" w:after="208" w:line="299" w:lineRule="exact"/>
        <w:ind w:left="720" w:hanging="720"/>
        <w:jc w:val="left"/>
      </w:pPr>
      <w:r>
        <w:rPr>
          <w:b/>
          <w:bCs/>
        </w:rPr>
        <w:t xml:space="preserve">I.</w:t>
      </w:r>
      <w:r>
        <w:rPr>
          <w:b/>
          <w:bCs/>
        </w:rPr>
        <w:t xml:space="preserve"> </w:t>
      </w:r>
      <w:r>
        <w:rPr>
          <w:b/>
          <w:bCs/>
        </w:rPr>
        <w:t xml:space="preserve">Intervention</w:t>
      </w:r>
      <w:r>
        <w:rPr>
          <w:b/>
          <w:bCs/>
        </w:rPr>
        <w:t xml:space="preserve"> </w:t>
      </w:r>
      <w:r>
        <w:rPr>
          <w:b/>
          <w:bCs/>
        </w:rPr>
        <w:t xml:space="preserve">as</w:t>
      </w:r>
      <w:r>
        <w:rPr>
          <w:b/>
          <w:bCs/>
        </w:rPr>
        <w:t xml:space="preserve"> </w:t>
      </w:r>
      <w:r>
        <w:rPr>
          <w:b/>
          <w:bCs/>
        </w:rPr>
        <w:t xml:space="preserve">of</w:t>
      </w:r>
      <w:r>
        <w:rPr>
          <w:b/>
          <w:bCs/>
        </w:rPr>
        <w:t xml:space="preserve"> </w:t>
      </w:r>
      <w:r>
        <w:rPr>
          <w:b/>
          <w:bCs/>
        </w:rPr>
        <w:t xml:space="preserve">Right</w:t>
      </w:r>
    </w:p>
    <w:p>
      <w:pPr>
        <w:pStyle w:val="BodyText"/>
      </w:pPr>
      <w:r>
        <w:t xml:space="preserve">It has long been the “policy” of Minnesota courts “to encourage intervention whenever possible.”</w:t>
      </w:r>
      <w:r>
        <w:t xml:space="preserve"> </w:t>
      </w:r>
      <w:r>
        <w:rPr>
          <w:i/>
          <w:iCs/>
        </w:rPr>
        <w:t xml:space="preserve">Norman v. Refsland</w:t>
      </w:r>
      <w:r>
        <w:t xml:space="preserve">, 383 N.W.2d 673, 678 (Minn. 1986). “The requirements of Minn. R. Civ. P. 24.01 provide guidance for appellate intervention.”</w:t>
      </w:r>
      <w:r>
        <w:t xml:space="preserve"> </w:t>
      </w:r>
      <w:r>
        <w:rPr>
          <w:i/>
          <w:iCs/>
        </w:rPr>
        <w:t xml:space="preserve">In re Crablex, Inc.</w:t>
      </w:r>
      <w:r>
        <w:t xml:space="preserve">, 762 N.W.2d 247, 251 (Minn. Ct. App. 2009);</w:t>
      </w:r>
      <w:r>
        <w:t xml:space="preserve"> </w:t>
      </w:r>
      <w:r>
        <w:rPr>
          <w:i/>
          <w:iCs/>
        </w:rPr>
        <w:t xml:space="preserve">see also League of Women Voters Minn. v. Ritchie</w:t>
      </w:r>
      <w:r>
        <w:t xml:space="preserve">, 819 N.W.2d 636, 641 (Minn. 2012). “Rule 24.01 establishes a 4-part test that a non-party must meet before being allowed to intervene as of right”:</w:t>
      </w:r>
    </w:p>
    <w:p>
      <w:pPr>
        <w:pStyle w:val="XdQuoteOnly"/>
      </w:pPr>
      <w:r>
        <w:t xml:space="preserve">(1) a timely application for intervention, (2) an interest relating to the property or transaction which is the subject of the action; (3) circumstances demonstrating that the disposition of the action may as a practical matter impair or impede the party’s ability to protect that interest; and (4) a showing that the party is not adequately represented by the existing parties.</w:t>
      </w:r>
    </w:p>
    <w:p>
      <w:pPr>
        <w:pStyle w:val="BodyText"/>
      </w:pPr>
      <w:r>
        <w:rPr>
          <w:i/>
          <w:iCs/>
        </w:rPr>
        <w:t xml:space="preserve">Minneapolis Star &amp; Trib. Co. v. Schumacher</w:t>
      </w:r>
      <w:r>
        <w:t xml:space="preserve">, 392 N.W. 2d 197, 207 (Minn. 1986).</w:t>
      </w:r>
    </w:p>
    <w:p>
      <w:pPr>
        <w:pStyle w:val="BodyText"/>
      </w:pPr>
      <w:r>
        <w:t xml:space="preserve">The DFL Party satisfies each of these requirements.</w:t>
      </w:r>
    </w:p>
    <w:p>
      <w:pPr>
        <w:pStyle w:val="BodyText"/>
      </w:pPr>
      <w:r>
        <w:t xml:space="preserve">First, this motion is timely. Petitioners filed their petition yesterday, so there has been no significant action in this case, and there is no risk of delay or prejudice to the parties.</w:t>
      </w:r>
      <w:r>
        <w:t xml:space="preserve"> </w:t>
      </w:r>
      <w:r>
        <w:rPr>
          <w:i/>
          <w:iCs/>
        </w:rPr>
        <w:t xml:space="preserve">See id.</w:t>
      </w:r>
      <w:r>
        <w:t xml:space="preserve"> </w:t>
      </w:r>
      <w:r>
        <w:t xml:space="preserve">at 207. The DFL Party also stands ready to abide by this Court’s scheduling order requesting filing of responsive informal memoranda by 9:00am on Monday, November 30.</w:t>
      </w:r>
    </w:p>
    <w:p>
      <w:pPr>
        <w:pStyle w:val="BodyText"/>
      </w:pPr>
      <w:r>
        <w:t xml:space="preserve">Second and third, the DFL Party has significant cognizable interests that might be impaired by this action. Petitioners seek to disrupt the certification of lawfully cast ballots and cast doubt on the legitimacy of the election of the DFL Party’s candidates. Courts have often concluded that such interference with a political party’s electoral prospects constitutes a legally cognizable injury.</w:t>
      </w:r>
      <w:r>
        <w:t xml:space="preserve"> </w:t>
      </w:r>
      <w:r>
        <w:rPr>
          <w:i/>
          <w:iCs/>
        </w:rPr>
        <w:t xml:space="preserve">See, e.g.</w:t>
      </w:r>
      <w:r>
        <w:t xml:space="preserve">,</w:t>
      </w:r>
      <w:r>
        <w:t xml:space="preserve"> </w:t>
      </w:r>
      <w:r>
        <w:rPr>
          <w:i/>
          <w:iCs/>
        </w:rPr>
        <w:t xml:space="preserve">Tex. Democratic Party v. Benkiser</w:t>
      </w:r>
      <w:r>
        <w:t xml:space="preserve">, 459 F.3d 582, 586–87 (5th Cir. 2006) (recognizing that “harm to [] election prospects” constitutes “a concrete and particularized injury”);</w:t>
      </w:r>
      <w:r>
        <w:t xml:space="preserve"> </w:t>
      </w:r>
      <w:r>
        <w:rPr>
          <w:i/>
          <w:iCs/>
        </w:rPr>
        <w:t xml:space="preserve">Owen v. Mulligan</w:t>
      </w:r>
      <w:r>
        <w:t xml:space="preserve">, 640 F.2d 1130, 1132 (9th Cir. 1981) (holding that “the potential loss of an election” is sufficient injury to confer Article III standing). Indeed, political parties have been granted intervention in several recent voting cases on these grounds.</w:t>
      </w:r>
      <w:r>
        <w:t xml:space="preserve"> </w:t>
      </w:r>
      <w:r>
        <w:rPr>
          <w:i/>
          <w:iCs/>
        </w:rPr>
        <w:t xml:space="preserve">See, e.g.</w:t>
      </w:r>
      <w:r>
        <w:t xml:space="preserve">,</w:t>
      </w:r>
      <w:r>
        <w:t xml:space="preserve"> </w:t>
      </w:r>
      <w:r>
        <w:rPr>
          <w:i/>
          <w:iCs/>
        </w:rPr>
        <w:t xml:space="preserve">Issa v. Newsom</w:t>
      </w:r>
      <w:r>
        <w:t xml:space="preserve">, No. 2:20-cv-⁠01044-MCE-CKD, 2020 WL 3074351, at *3 (E.D. Cal. June 10, 2020) (granting intervention to state party and party committee where “Plaintiffs’ success on their claims would disrupt the organizational intervenors’ efforts to promote the franchise and ensure the election of Democratic Party candidates” (quoting</w:t>
      </w:r>
      <w:r>
        <w:t xml:space="preserve"> </w:t>
      </w:r>
      <w:r>
        <w:rPr>
          <w:i/>
          <w:iCs/>
        </w:rPr>
        <w:t xml:space="preserve">Paher v. Cegavske</w:t>
      </w:r>
      <w:r>
        <w:t xml:space="preserve">, No. 3:20-cv-⁠00243-MMD-WGC, 2020 WL 2042365, at *2 (D. Nev. Apr. 28, 2020)));</w:t>
      </w:r>
      <w:r>
        <w:t xml:space="preserve"> </w:t>
      </w:r>
      <w:r>
        <w:rPr>
          <w:i/>
          <w:iCs/>
        </w:rPr>
        <w:t xml:space="preserve">see also Engelrup v. Potter</w:t>
      </w:r>
      <w:r>
        <w:t xml:space="preserve">, 224 N.W.2d 484, 488 (Minn. 1974) (looking to federal cases applying analogous Federal Rule of Civil Procedure 24);</w:t>
      </w:r>
      <w:r>
        <w:t xml:space="preserve"> </w:t>
      </w:r>
      <w:r>
        <w:rPr>
          <w:i/>
          <w:iCs/>
        </w:rPr>
        <w:t xml:space="preserve">Jerome Faribo Farms, Inc. v. County of Dodge</w:t>
      </w:r>
      <w:r>
        <w:t xml:space="preserve">, 464 N.W.2d 568, 570–71 (Minn. Ct. App. 1990) (same).</w:t>
      </w:r>
    </w:p>
    <w:p>
      <w:pPr>
        <w:pStyle w:val="BodyText"/>
      </w:pPr>
      <w:r>
        <w:t xml:space="preserve">Moreover, Petitioners’ action threatens the DFL Party’s members’ right to vote. “[T]o refuse to count and return the vote as cast [is] as much an infringement of that personal right as to exclude the voter from the polling place.”</w:t>
      </w:r>
      <w:r>
        <w:t xml:space="preserve"> </w:t>
      </w:r>
      <w:r>
        <w:rPr>
          <w:i/>
          <w:iCs/>
        </w:rPr>
        <w:t xml:space="preserve">United States v. Saylor</w:t>
      </w:r>
      <w:r>
        <w:t xml:space="preserve">, 322 U.S. 385, 387–88 (1944). In turn, the disruptive and potentially disenfranchising effects of this suit would require the DFL Party to divert resources to safeguard the certification of statewide results, thus implicating another of its protected interests.</w:t>
      </w:r>
      <w:r>
        <w:t xml:space="preserve"> </w:t>
      </w:r>
      <w:r>
        <w:rPr>
          <w:i/>
          <w:iCs/>
        </w:rPr>
        <w:t xml:space="preserve">See, e.g.</w:t>
      </w:r>
      <w:r>
        <w:t xml:space="preserve">,</w:t>
      </w:r>
      <w:r>
        <w:t xml:space="preserve"> </w:t>
      </w:r>
      <w:r>
        <w:rPr>
          <w:i/>
          <w:iCs/>
        </w:rPr>
        <w:t xml:space="preserve">Ne. Ohio Coal. for Homeless v. Husted</w:t>
      </w:r>
      <w:r>
        <w:t xml:space="preserve">, 837 F.3d 612, 624 (6th Cir. 2016) (finding concrete, particularized harm where organization had to “redirect its focus” and divert its “limited resources” due to election laws);</w:t>
      </w:r>
      <w:r>
        <w:t xml:space="preserve"> </w:t>
      </w:r>
      <w:r>
        <w:rPr>
          <w:i/>
          <w:iCs/>
        </w:rPr>
        <w:t xml:space="preserve">Crawford v. Marion Cty. Election Bd.</w:t>
      </w:r>
      <w:r>
        <w:t xml:space="preserve">, 472 F.3d 949, 951 (7th Cir. 2007) (concluding that electoral change “injure[d] the Democratic Party by compelling the party to devote resources” that it would not have needed to devote absent new law),</w:t>
      </w:r>
      <w:r>
        <w:t xml:space="preserve"> </w:t>
      </w:r>
      <w:r>
        <w:rPr>
          <w:i/>
          <w:iCs/>
        </w:rPr>
        <w:t xml:space="preserve">aff’d</w:t>
      </w:r>
      <w:r>
        <w:t xml:space="preserve">, 553 U.S. 181 (2008);</w:t>
      </w:r>
      <w:r>
        <w:t xml:space="preserve"> </w:t>
      </w:r>
      <w:r>
        <w:rPr>
          <w:i/>
          <w:iCs/>
        </w:rPr>
        <w:t xml:space="preserve">Democratic Nat’l Comm. v. Reagan</w:t>
      </w:r>
      <w:r>
        <w:t xml:space="preserve">, 329 F. Supp. 3d 824, 841 (D. Ariz. 2018) (finding standing where law “require[d] Democratic organizations ⁠. ⁠. ⁠. to retool their [get-out-the-vote] strategies and divert [] resources”),</w:t>
      </w:r>
      <w:r>
        <w:t xml:space="preserve"> </w:t>
      </w:r>
      <w:r>
        <w:rPr>
          <w:i/>
          <w:iCs/>
        </w:rPr>
        <w:t xml:space="preserve">rev’d on other grounds sub nom. Democratic Nat’l Comm. v. Hobbs</w:t>
      </w:r>
      <w:r>
        <w:t xml:space="preserve">, 948 F.3d 989 (9th Cir. 2020) (en banc);</w:t>
      </w:r>
      <w:r>
        <w:t xml:space="preserve"> </w:t>
      </w:r>
      <w:r>
        <w:rPr>
          <w:i/>
          <w:iCs/>
        </w:rPr>
        <w:t xml:space="preserve">see also Issa</w:t>
      </w:r>
      <w:r>
        <w:t xml:space="preserve">, 2020 WL 3074351, at *3 (granting intervention and citing this protected interest).</w:t>
      </w:r>
    </w:p>
    <w:p>
      <w:pPr>
        <w:pStyle w:val="BodyText"/>
      </w:pPr>
      <w:r>
        <w:t xml:space="preserve">Fourth, the DFL Party’s interests are not adequately represented by the present parties in the case.</w:t>
      </w:r>
      <w:r>
        <w:t xml:space="preserve"> </w:t>
      </w:r>
      <w:r>
        <w:rPr>
          <w:i/>
          <w:iCs/>
        </w:rPr>
        <w:t xml:space="preserve">See Jerome Faribo Farms</w:t>
      </w:r>
      <w:r>
        <w:t xml:space="preserve">, 464 N.W.2d at 570 (intervenors “carry the ‘minimal’ burden of showing that the existing parties ‘may’ not adequately represent their interests” (quoting</w:t>
      </w:r>
      <w:r>
        <w:t xml:space="preserve"> </w:t>
      </w:r>
      <w:r>
        <w:rPr>
          <w:i/>
          <w:iCs/>
        </w:rPr>
        <w:t xml:space="preserve">Trbovich v. United Mine Workers of Am.</w:t>
      </w:r>
      <w:r>
        <w:t xml:space="preserve">, 404 U.S. 528, 538 n.10 (1972))). This is a case where “the government’s representation of the public interest [is] not [] ‘identical to the individual parochial interest’ of a particular group just because ‘both entities occupy the same posture in the litigation.’”</w:t>
      </w:r>
      <w:r>
        <w:t xml:space="preserve"> </w:t>
      </w:r>
      <w:r>
        <w:rPr>
          <w:i/>
          <w:iCs/>
        </w:rPr>
        <w:t xml:space="preserve">Citizens for Balanced Use v. Mont. Wilderness Ass’n</w:t>
      </w:r>
      <w:r>
        <w:t xml:space="preserve">, 647 F.3d 893, 899 (9th Cir. 2011) (quoting</w:t>
      </w:r>
      <w:r>
        <w:t xml:space="preserve"> </w:t>
      </w:r>
      <w:r>
        <w:rPr>
          <w:i/>
          <w:iCs/>
        </w:rPr>
        <w:t xml:space="preserve">WildEarth Guardians v. U.S. Forest Serv.</w:t>
      </w:r>
      <w:r>
        <w:t xml:space="preserve">, 573 F.3d 992, 996 (10th Cir. 2009)). The DFL Party has specific interests and concerns—from its overall electoral prospects to the most efficient use of its limited resources—that neither Respondents nor other parties in this lawsuit share.</w:t>
      </w:r>
      <w:r>
        <w:t xml:space="preserve"> </w:t>
      </w:r>
      <w:r>
        <w:rPr>
          <w:i/>
          <w:iCs/>
        </w:rPr>
        <w:t xml:space="preserve">See Paher</w:t>
      </w:r>
      <w:r>
        <w:t xml:space="preserve">, 2020 WL 2042365, at *3 (granting intervention as of right where proposed intervenors “may present arguments about the need to safeguard [the] right to vote that are distinct from [state defendants’] arguments”). As one court recently explained under similar circumstances,</w:t>
      </w:r>
    </w:p>
    <w:p>
      <w:pPr>
        <w:pStyle w:val="XdQuoteOnly"/>
      </w:pPr>
      <w:r>
        <w:t xml:space="preserve">[w]hile Defendants’ arguments turn on their inherent authority as state executives and their responsibility to properly administer election laws, the Proposed Intervenors [including a state political party] are concerned with ensuring their party members and the voters they represent have the opportunity to vote in the upcoming federal election, advancing their overall electoral prospects, and allocating their limited resources to inform voters about the election procedures. As a result, the parties’ interests are neither “identical” nor “the same.”</w:t>
      </w:r>
    </w:p>
    <w:p>
      <w:pPr>
        <w:pStyle w:val="BodyText"/>
      </w:pPr>
      <w:r>
        <w:rPr>
          <w:i/>
          <w:iCs/>
        </w:rPr>
        <w:t xml:space="preserve">Issa</w:t>
      </w:r>
      <w:r>
        <w:t xml:space="preserve">, 2020 WL 3074351, at *3 (citation omitted). Because the DFL Party’s particular interests are not shared by the present parties, it cannot rely on Respondents or anyone else to provide adequate representation. It has thus satisfied the four requirements for intervention as of right under Rule 24.01.</w:t>
      </w:r>
      <w:r>
        <w:t xml:space="preserve"> </w:t>
      </w:r>
      <w:r>
        <w:rPr>
          <w:i/>
          <w:iCs/>
        </w:rPr>
        <w:t xml:space="preserve">See id.</w:t>
      </w:r>
      <w:r>
        <w:t xml:space="preserve"> </w:t>
      </w:r>
      <w:r>
        <w:t xml:space="preserve">at *3–4;</w:t>
      </w:r>
      <w:r>
        <w:t xml:space="preserve"> </w:t>
      </w:r>
      <w:r>
        <w:rPr>
          <w:i/>
          <w:iCs/>
        </w:rPr>
        <w:t xml:space="preserve">Paher</w:t>
      </w:r>
      <w:r>
        <w:t xml:space="preserve">, 2020 WL 2042365, at *3.</w:t>
      </w:r>
    </w:p>
    <w:p>
      <w:pPr>
        <w:keepNext/>
        <w:keepLines/>
        <w:spacing w:before="260" w:after="208" w:line="299" w:lineRule="exact"/>
        <w:ind w:left="720" w:hanging="720"/>
        <w:jc w:val="left"/>
      </w:pPr>
      <w:r>
        <w:rPr>
          <w:b/>
          <w:bCs/>
        </w:rPr>
        <w:t xml:space="preserve">II.</w:t>
      </w:r>
      <w:r>
        <w:rPr>
          <w:b/>
          <w:bCs/>
        </w:rPr>
        <w:t xml:space="preserve"> </w:t>
      </w:r>
      <w:r>
        <w:rPr>
          <w:b/>
          <w:bCs/>
        </w:rPr>
        <w:t xml:space="preserve">Permissive</w:t>
      </w:r>
      <w:r>
        <w:rPr>
          <w:b/>
          <w:bCs/>
        </w:rPr>
        <w:t xml:space="preserve"> </w:t>
      </w:r>
      <w:r>
        <w:rPr>
          <w:b/>
          <w:bCs/>
        </w:rPr>
        <w:t xml:space="preserve">Intervention</w:t>
      </w:r>
    </w:p>
    <w:p>
      <w:pPr>
        <w:pStyle w:val="BodyText"/>
      </w:pPr>
      <w:r>
        <w:t xml:space="preserve">Alternatively, the DFL Party easily satisfies the requirements for permissive intervention under Rule 24.02. Under Rule 24.02, the Court may grant intervention “upon timely application ⁠. ⁠. ⁠. when an applicant’s claim or defense and the main action have a common question of law or fact.” Minn. R. Civ. P. 24.02. In exercising its discretion under Rule 24.02, “the court shall consider whether the intervention will unduly delay or prejudice the adjudication of the rights of the original parties.”</w:t>
      </w:r>
      <w:r>
        <w:t xml:space="preserve"> </w:t>
      </w:r>
      <w:r>
        <w:rPr>
          <w:i/>
          <w:iCs/>
        </w:rPr>
        <w:t xml:space="preserve">Id.</w:t>
      </w:r>
    </w:p>
    <w:p>
      <w:pPr>
        <w:pStyle w:val="BodyText"/>
      </w:pPr>
      <w:r>
        <w:t xml:space="preserve">As discussed in Part I</w:t>
      </w:r>
      <w:r>
        <w:t xml:space="preserve"> </w:t>
      </w:r>
      <w:r>
        <w:rPr>
          <w:i/>
          <w:iCs/>
        </w:rPr>
        <w:t xml:space="preserve">supra</w:t>
      </w:r>
      <w:r>
        <w:t xml:space="preserve">, this motion is timely. Moreover, the DFL Party’s defenses share common questions of law and fact with the petition; indeed, they are “directly responsive” to Petitioners’ claims because the DFL Party seeks to both uphold the very consent decree that Petitioners “seek to overturn,”</w:t>
      </w:r>
      <w:r>
        <w:t xml:space="preserve"> </w:t>
      </w:r>
      <w:r>
        <w:rPr>
          <w:i/>
          <w:iCs/>
        </w:rPr>
        <w:t xml:space="preserve">Franconia Minerals (US) LLC v. United States</w:t>
      </w:r>
      <w:r>
        <w:t xml:space="preserve">, 319 F.R.D. 261, 266 (D. Minn. 2017) (quoting</w:t>
      </w:r>
      <w:r>
        <w:t xml:space="preserve"> </w:t>
      </w:r>
      <w:r>
        <w:rPr>
          <w:i/>
          <w:iCs/>
        </w:rPr>
        <w:t xml:space="preserve">Kootenai Tribe of Idaho v. Veneman</w:t>
      </w:r>
      <w:r>
        <w:t xml:space="preserve">, 313 F.3d 1094, 1110 (9th Cir. 2002)), and ensure the timely certification of Minnesota’s returns. Lastly, intervention will result in neither prejudice nor undue delay. The DFL Party has an undeniable interest in a swift resolution of this action, to ensure that the votes of all Minnesotans are properly certified. Given the legal and factual shortcomings of Petitioners’ claims, the DFL Party is confident that its intervention in this case, and the filings that will follow, will result in expeditious resolution of this matter.</w:t>
      </w:r>
    </w:p>
    <w:p>
      <w:pPr>
        <w:pStyle w:val="BodyText"/>
      </w:pPr>
      <w:r>
        <w:t xml:space="preserve">The DFL Party respectfully requests that this Court issue an order permitting it to intervene as a Respondent in this proceeding.</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Dated:</w:t>
            </w:r>
            <w:r>
              <w:t xml:space="preserve"> </w:t>
            </w:r>
            <w:r>
              <w:t xml:space="preserve">November</w:t>
            </w:r>
            <w:r>
              <w:t xml:space="preserve"> </w:t>
            </w:r>
            <w:r>
              <w:t xml:space="preserve">25,</w:t>
            </w:r>
            <w:r>
              <w:t xml:space="preserve"> </w:t>
            </w:r>
            <w:r>
              <w:t xml:space="preserve">2020</w:t>
            </w:r>
          </w:p>
          <w:p>
            <w:pPr>
              <w:spacing w:before="104" w:after="0" w:line="299" w:lineRule="exact"/>
              <w:ind w:left="4320" w:firstLine="0"/>
              <w:jc w:val="left"/>
            </w:pPr>
            <w:r>
              <w:t xml:space="preserve">LOCKRIDGE</w:t>
            </w:r>
            <w:r>
              <w:t xml:space="preserve"> </w:t>
            </w:r>
            <w:r>
              <w:t xml:space="preserve">GRINDAL</w:t>
            </w:r>
            <w:r>
              <w:t xml:space="preserve"> </w:t>
            </w:r>
            <w:r>
              <w:t xml:space="preserve">NAUEN</w:t>
            </w:r>
            <w:r>
              <w:t xml:space="preserve"> </w:t>
            </w:r>
            <w:r>
              <w:t xml:space="preserve">P.L.L.P.</w:t>
            </w:r>
          </w:p>
          <w:p>
            <w:pPr>
              <w:spacing w:before="156" w:after="0" w:line="299" w:lineRule="exact"/>
              <w:ind w:left="4320" w:firstLine="0"/>
              <w:jc w:val="left"/>
            </w:pPr>
            <w:r>
              <w:rPr>
                <w:u w:val="single"/>
              </w:rPr>
              <w:t xml:space="preserve">s/​Charles</w:t>
            </w:r>
            <w:r>
              <w:rPr>
                <w:u w:val="single"/>
              </w:rPr>
              <w:t xml:space="preserve"> </w:t>
            </w:r>
            <w:r>
              <w:rPr>
                <w:u w:val="single"/>
              </w:rPr>
              <w:t xml:space="preserve">N.</w:t>
            </w:r>
            <w:r>
              <w:rPr>
                <w:u w:val="single"/>
              </w:rPr>
              <w:t xml:space="preserve"> </w:t>
            </w:r>
            <w:r>
              <w:rPr>
                <w:u w:val="single"/>
              </w:rPr>
              <w:t xml:space="preserve">Nauen</w:t>
            </w:r>
          </w:p>
          <w:p>
            <w:pPr>
              <w:spacing w:before="0" w:after="0" w:line="299" w:lineRule="exact"/>
              <w:ind w:left="4320" w:firstLine="0"/>
              <w:jc w:val="left"/>
            </w:pPr>
            <w:r>
              <w:t xml:space="preserve">Charles</w:t>
            </w:r>
            <w:r>
              <w:t xml:space="preserve"> </w:t>
            </w:r>
            <w:r>
              <w:t xml:space="preserve">N.</w:t>
            </w:r>
            <w:r>
              <w:t xml:space="preserve"> </w:t>
            </w:r>
            <w:r>
              <w:t xml:space="preserve">Nauen,</w:t>
            </w:r>
            <w:r>
              <w:t xml:space="preserve"> </w:t>
            </w:r>
            <w:r>
              <w:t xml:space="preserve">Reg.</w:t>
            </w:r>
            <w:r>
              <w:t xml:space="preserve"> </w:t>
            </w:r>
            <w:r>
              <w:t xml:space="preserve">No.</w:t>
            </w:r>
            <w:r>
              <w:t xml:space="preserve"> </w:t>
            </w:r>
            <w:r>
              <w:t xml:space="preserve">121216</w:t>
            </w:r>
          </w:p>
          <w:p>
            <w:pPr>
              <w:spacing w:before="0" w:after="0" w:line="299" w:lineRule="exact"/>
              <w:ind w:left="4320" w:firstLine="0"/>
              <w:jc w:val="left"/>
            </w:pPr>
            <w:r>
              <w:t xml:space="preserve">David</w:t>
            </w:r>
            <w:r>
              <w:t xml:space="preserve"> </w:t>
            </w:r>
            <w:r>
              <w:t xml:space="preserve">J.</w:t>
            </w:r>
            <w:r>
              <w:t xml:space="preserve"> </w:t>
            </w:r>
            <w:r>
              <w:t xml:space="preserve">Zoll,</w:t>
            </w:r>
            <w:r>
              <w:t xml:space="preserve"> </w:t>
            </w:r>
            <w:r>
              <w:t xml:space="preserve">Reg.</w:t>
            </w:r>
            <w:r>
              <w:t xml:space="preserve"> </w:t>
            </w:r>
            <w:r>
              <w:t xml:space="preserve">No.</w:t>
            </w:r>
            <w:r>
              <w:t xml:space="preserve"> </w:t>
            </w:r>
            <w:r>
              <w:t xml:space="preserve">0330681</w:t>
            </w:r>
          </w:p>
          <w:p>
            <w:pPr>
              <w:spacing w:before="0" w:after="0" w:line="299" w:lineRule="exact"/>
              <w:ind w:left="4320" w:firstLine="0"/>
              <w:jc w:val="left"/>
            </w:pPr>
            <w:r>
              <w:t xml:space="preserve">Rachel</w:t>
            </w:r>
            <w:r>
              <w:t xml:space="preserve"> </w:t>
            </w:r>
            <w:r>
              <w:t xml:space="preserve">A.</w:t>
            </w:r>
            <w:r>
              <w:t xml:space="preserve"> </w:t>
            </w:r>
            <w:r>
              <w:t xml:space="preserve">Kitze</w:t>
            </w:r>
            <w:r>
              <w:t xml:space="preserve"> </w:t>
            </w:r>
            <w:r>
              <w:t xml:space="preserve">Collins,</w:t>
            </w:r>
            <w:r>
              <w:t xml:space="preserve"> </w:t>
            </w:r>
            <w:r>
              <w:t xml:space="preserve">Reg.</w:t>
            </w:r>
            <w:r>
              <w:t xml:space="preserve"> </w:t>
            </w:r>
            <w:r>
              <w:t xml:space="preserve">No.</w:t>
            </w:r>
            <w:r>
              <w:t xml:space="preserve"> </w:t>
            </w:r>
            <w:r>
              <w:t xml:space="preserve">03960555</w:t>
            </w:r>
          </w:p>
          <w:p>
            <w:pPr>
              <w:spacing w:before="0" w:after="0" w:line="299" w:lineRule="exact"/>
              <w:ind w:left="4320" w:firstLine="0"/>
              <w:jc w:val="left"/>
            </w:pPr>
            <w:r>
              <w:t xml:space="preserve">100</w:t>
            </w:r>
            <w:r>
              <w:t xml:space="preserve"> </w:t>
            </w:r>
            <w:r>
              <w:t xml:space="preserve">Washington</w:t>
            </w:r>
            <w:r>
              <w:t xml:space="preserve"> </w:t>
            </w:r>
            <w:r>
              <w:t xml:space="preserve">Avenue</w:t>
            </w:r>
            <w:r>
              <w:t xml:space="preserve"> </w:t>
            </w:r>
            <w:r>
              <w:t xml:space="preserve">South,</w:t>
            </w:r>
            <w:r>
              <w:t xml:space="preserve"> </w:t>
            </w:r>
            <w:r>
              <w:t xml:space="preserve">Suite</w:t>
            </w:r>
            <w:r>
              <w:t xml:space="preserve"> </w:t>
            </w:r>
            <w:r>
              <w:t xml:space="preserve">2200</w:t>
            </w:r>
          </w:p>
          <w:p>
            <w:pPr>
              <w:spacing w:before="0" w:after="0" w:line="299" w:lineRule="exact"/>
              <w:ind w:left="4320" w:firstLine="0"/>
              <w:jc w:val="left"/>
            </w:pPr>
            <w:r>
              <w:t xml:space="preserve">Minneapolis,</w:t>
            </w:r>
            <w:r>
              <w:t xml:space="preserve"> </w:t>
            </w:r>
            <w:r>
              <w:t xml:space="preserve">MN</w:t>
            </w:r>
            <w:r>
              <w:t xml:space="preserve"> </w:t>
            </w:r>
            <w:r>
              <w:t xml:space="preserve">55401-⁠2159</w:t>
            </w:r>
          </w:p>
          <w:p>
            <w:pPr>
              <w:spacing w:before="0" w:after="0" w:line="299" w:lineRule="exact"/>
              <w:ind w:left="4320" w:firstLine="0"/>
              <w:jc w:val="left"/>
            </w:pPr>
            <w:r>
              <w:t xml:space="preserve">(612)</w:t>
            </w:r>
            <w:r>
              <w:t xml:space="preserve"> </w:t>
            </w:r>
            <w:r>
              <w:t xml:space="preserve">339-⁠6900</w:t>
            </w:r>
          </w:p>
          <w:p>
            <w:pPr>
              <w:spacing w:before="0" w:after="0" w:line="299" w:lineRule="exact"/>
              <w:ind w:left="4320" w:firstLine="0"/>
              <w:jc w:val="left"/>
            </w:pPr>
            <w:r>
              <w:t xml:space="preserve">cnnauen@locklaw.com</w:t>
            </w:r>
          </w:p>
          <w:p>
            <w:pPr>
              <w:spacing w:before="0" w:after="0" w:line="299" w:lineRule="exact"/>
              <w:ind w:left="4320" w:firstLine="0"/>
              <w:jc w:val="left"/>
            </w:pPr>
            <w:r>
              <w:t xml:space="preserve">djzoll@locklaw.com</w:t>
            </w:r>
          </w:p>
          <w:p>
            <w:pPr>
              <w:spacing w:before="0" w:after="0" w:line="299" w:lineRule="exact"/>
              <w:ind w:left="4320" w:firstLine="0"/>
              <w:jc w:val="left"/>
            </w:pPr>
            <w:r>
              <w:t xml:space="preserve">rakitzecollins@locklaw.com</w:t>
            </w:r>
          </w:p>
        </w:tc>
      </w:tr>
    </w:tbl>
    <w:p>
      <w:pPr>
        <w:spacing w:before="0" w:after="0" w:line="20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320" w:firstLine="0"/>
              <w:jc w:val="left"/>
            </w:pPr>
            <w:r>
              <w:t xml:space="preserve">Marc</w:t>
            </w:r>
            <w:r>
              <w:t xml:space="preserve"> </w:t>
            </w:r>
            <w:r>
              <w:t xml:space="preserve">E.</w:t>
            </w:r>
            <w:r>
              <w:t xml:space="preserve"> </w:t>
            </w:r>
            <w:r>
              <w:t xml:space="preserve">Elias</w:t>
            </w:r>
            <w:r>
              <w:t xml:space="preserve"> </w:t>
            </w:r>
            <w:r>
              <w:t xml:space="preserve">(pro</w:t>
            </w:r>
            <w:r>
              <w:t xml:space="preserve"> </w:t>
            </w:r>
            <w:r>
              <w:t xml:space="preserve">hac</w:t>
            </w:r>
            <w:r>
              <w:t xml:space="preserve"> </w:t>
            </w:r>
            <w:r>
              <w:t xml:space="preserve">vice</w:t>
            </w:r>
            <w:r>
              <w:t xml:space="preserve"> </w:t>
            </w:r>
            <w:r>
              <w:t xml:space="preserve">pending)</w:t>
            </w:r>
          </w:p>
          <w:p>
            <w:pPr>
              <w:spacing w:before="0" w:after="0" w:line="299" w:lineRule="exact"/>
              <w:ind w:left="4320" w:firstLine="0"/>
              <w:jc w:val="left"/>
            </w:pPr>
            <w:r>
              <w:t xml:space="preserve">Amanda</w:t>
            </w:r>
            <w:r>
              <w:t xml:space="preserve"> </w:t>
            </w:r>
            <w:r>
              <w:t xml:space="preserve">R.</w:t>
            </w:r>
            <w:r>
              <w:t xml:space="preserve"> </w:t>
            </w:r>
            <w:r>
              <w:t xml:space="preserve">Callais</w:t>
            </w:r>
          </w:p>
          <w:p>
            <w:pPr>
              <w:spacing w:before="0" w:after="0" w:line="299" w:lineRule="exact"/>
              <w:ind w:left="4320" w:firstLine="0"/>
              <w:jc w:val="left"/>
            </w:pPr>
            <w:r>
              <w:t xml:space="preserve">PERKINS</w:t>
            </w:r>
            <w:r>
              <w:t xml:space="preserve"> </w:t>
            </w:r>
            <w:r>
              <w:t xml:space="preserve">COIE</w:t>
            </w:r>
            <w:r>
              <w:t xml:space="preserve"> </w:t>
            </w:r>
            <w:r>
              <w:t xml:space="preserve">LLP</w:t>
            </w:r>
          </w:p>
          <w:p>
            <w:pPr>
              <w:spacing w:before="0" w:after="0" w:line="299" w:lineRule="exact"/>
              <w:ind w:left="4320" w:firstLine="0"/>
              <w:jc w:val="left"/>
            </w:pPr>
            <w:r>
              <w:t xml:space="preserve">700</w:t>
            </w:r>
            <w:r>
              <w:t xml:space="preserve"> </w:t>
            </w:r>
            <w:r>
              <w:t xml:space="preserve">Thirteenth</w:t>
            </w:r>
            <w:r>
              <w:t xml:space="preserve"> </w:t>
            </w:r>
            <w:r>
              <w:t xml:space="preserve">Street</w:t>
            </w:r>
            <w:r>
              <w:t xml:space="preserve"> </w:t>
            </w:r>
            <w:r>
              <w:t xml:space="preserve">NW,</w:t>
            </w:r>
            <w:r>
              <w:t xml:space="preserve"> </w:t>
            </w:r>
            <w:r>
              <w:t xml:space="preserve">Suite</w:t>
            </w:r>
            <w:r>
              <w:t xml:space="preserve"> </w:t>
            </w:r>
            <w:r>
              <w:t xml:space="preserve">800</w:t>
            </w:r>
          </w:p>
          <w:p>
            <w:pPr>
              <w:spacing w:before="0" w:after="0" w:line="299" w:lineRule="exact"/>
              <w:ind w:left="4320" w:firstLine="0"/>
              <w:jc w:val="left"/>
            </w:pPr>
            <w:r>
              <w:t xml:space="preserve">Washington,</w:t>
            </w:r>
            <w:r>
              <w:t xml:space="preserve"> </w:t>
            </w:r>
            <w:r>
              <w:t xml:space="preserve">D.C.</w:t>
            </w:r>
            <w:r>
              <w:t xml:space="preserve"> </w:t>
            </w:r>
            <w:r>
              <w:t xml:space="preserve">20005-⁠3960</w:t>
            </w:r>
          </w:p>
        </w:tc>
      </w:tr>
    </w:tbl>
    <w:p>
      <w:pPr>
        <w:spacing w:before="0" w:after="0" w:line="20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320" w:firstLine="0"/>
              <w:jc w:val="left"/>
            </w:pPr>
            <w:r>
              <w:t xml:space="preserve">Abha</w:t>
            </w:r>
            <w:r>
              <w:t xml:space="preserve"> </w:t>
            </w:r>
            <w:r>
              <w:t xml:space="preserve">Khanna</w:t>
            </w:r>
            <w:r>
              <w:t xml:space="preserve"> </w:t>
            </w:r>
            <w:r>
              <w:t xml:space="preserve">(pro</w:t>
            </w:r>
            <w:r>
              <w:t xml:space="preserve"> </w:t>
            </w:r>
            <w:r>
              <w:t xml:space="preserve">hac</w:t>
            </w:r>
            <w:r>
              <w:t xml:space="preserve"> </w:t>
            </w:r>
            <w:r>
              <w:t xml:space="preserve">vice</w:t>
            </w:r>
            <w:r>
              <w:t xml:space="preserve"> </w:t>
            </w:r>
            <w:r>
              <w:t xml:space="preserve">pending)</w:t>
            </w:r>
          </w:p>
          <w:p>
            <w:pPr>
              <w:spacing w:before="0" w:after="0" w:line="299" w:lineRule="exact"/>
              <w:ind w:left="4320" w:firstLine="0"/>
              <w:jc w:val="left"/>
            </w:pPr>
            <w:r>
              <w:t xml:space="preserve">Jonathan</w:t>
            </w:r>
            <w:r>
              <w:t xml:space="preserve"> </w:t>
            </w:r>
            <w:r>
              <w:t xml:space="preserve">P.</w:t>
            </w:r>
            <w:r>
              <w:t xml:space="preserve"> </w:t>
            </w:r>
            <w:r>
              <w:t xml:space="preserve">Hawley</w:t>
            </w:r>
          </w:p>
          <w:p>
            <w:pPr>
              <w:spacing w:before="0" w:after="0" w:line="299" w:lineRule="exact"/>
              <w:ind w:left="4320" w:firstLine="0"/>
              <w:jc w:val="left"/>
            </w:pPr>
            <w:r>
              <w:t xml:space="preserve">PERKINS</w:t>
            </w:r>
            <w:r>
              <w:t xml:space="preserve"> </w:t>
            </w:r>
            <w:r>
              <w:t xml:space="preserve">COIE</w:t>
            </w:r>
            <w:r>
              <w:t xml:space="preserve"> </w:t>
            </w:r>
            <w:r>
              <w:t xml:space="preserve">LLP</w:t>
            </w:r>
          </w:p>
          <w:p>
            <w:pPr>
              <w:spacing w:before="0" w:after="0" w:line="299" w:lineRule="exact"/>
              <w:ind w:left="4320" w:firstLine="0"/>
              <w:jc w:val="left"/>
            </w:pPr>
            <w:r>
              <w:t xml:space="preserve">1201</w:t>
            </w:r>
            <w:r>
              <w:t xml:space="preserve"> </w:t>
            </w:r>
            <w:r>
              <w:t xml:space="preserve">Third</w:t>
            </w:r>
            <w:r>
              <w:t xml:space="preserve"> </w:t>
            </w:r>
            <w:r>
              <w:t xml:space="preserve">Avenue,</w:t>
            </w:r>
            <w:r>
              <w:t xml:space="preserve"> </w:t>
            </w:r>
            <w:r>
              <w:t xml:space="preserve">Suite</w:t>
            </w:r>
            <w:r>
              <w:t xml:space="preserve"> </w:t>
            </w:r>
            <w:r>
              <w:t xml:space="preserve">4900</w:t>
            </w:r>
          </w:p>
          <w:p>
            <w:pPr>
              <w:spacing w:before="0" w:after="0" w:line="299" w:lineRule="exact"/>
              <w:ind w:left="4320" w:firstLine="0"/>
              <w:jc w:val="left"/>
            </w:pPr>
            <w:r>
              <w:t xml:space="preserve">Seattle,</w:t>
            </w:r>
            <w:r>
              <w:t xml:space="preserve"> </w:t>
            </w:r>
            <w:r>
              <w:t xml:space="preserve">WA</w:t>
            </w:r>
            <w:r>
              <w:t xml:space="preserve"> </w:t>
            </w:r>
            <w:r>
              <w:t xml:space="preserve">98101-⁠3099</w:t>
            </w:r>
          </w:p>
        </w:tc>
      </w:tr>
    </w:tbl>
    <w:p>
      <w:pPr>
        <w:spacing w:before="0" w:after="0" w:line="20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320" w:firstLine="0"/>
              <w:jc w:val="left"/>
            </w:pPr>
            <w:r>
              <w:t xml:space="preserve">Will</w:t>
            </w:r>
            <w:r>
              <w:t xml:space="preserve"> </w:t>
            </w:r>
            <w:r>
              <w:t xml:space="preserve">M.</w:t>
            </w:r>
            <w:r>
              <w:t xml:space="preserve"> </w:t>
            </w:r>
            <w:r>
              <w:t xml:space="preserve">Conley</w:t>
            </w:r>
          </w:p>
          <w:p>
            <w:pPr>
              <w:spacing w:before="0" w:after="0" w:line="299" w:lineRule="exact"/>
              <w:ind w:left="4320" w:firstLine="0"/>
              <w:jc w:val="left"/>
            </w:pPr>
            <w:r>
              <w:t xml:space="preserve">PERKINS</w:t>
            </w:r>
            <w:r>
              <w:t xml:space="preserve"> </w:t>
            </w:r>
            <w:r>
              <w:t xml:space="preserve">COIE</w:t>
            </w:r>
            <w:r>
              <w:t xml:space="preserve"> </w:t>
            </w:r>
            <w:r>
              <w:t xml:space="preserve">LLP</w:t>
            </w:r>
          </w:p>
          <w:p>
            <w:pPr>
              <w:spacing w:before="0" w:after="0" w:line="299" w:lineRule="exact"/>
              <w:ind w:left="4320" w:firstLine="0"/>
              <w:jc w:val="left"/>
            </w:pPr>
            <w:r>
              <w:t xml:space="preserve">33</w:t>
            </w:r>
            <w:r>
              <w:t xml:space="preserve"> </w:t>
            </w:r>
            <w:r>
              <w:t xml:space="preserve">East</w:t>
            </w:r>
            <w:r>
              <w:t xml:space="preserve"> </w:t>
            </w:r>
            <w:r>
              <w:t xml:space="preserve">Main</w:t>
            </w:r>
            <w:r>
              <w:t xml:space="preserve"> </w:t>
            </w:r>
            <w:r>
              <w:t xml:space="preserve">Street,</w:t>
            </w:r>
            <w:r>
              <w:t xml:space="preserve"> </w:t>
            </w:r>
            <w:r>
              <w:t xml:space="preserve">Suite</w:t>
            </w:r>
            <w:r>
              <w:t xml:space="preserve"> </w:t>
            </w:r>
            <w:r>
              <w:t xml:space="preserve">201</w:t>
            </w:r>
          </w:p>
          <w:p>
            <w:pPr>
              <w:spacing w:before="0" w:after="0" w:line="299" w:lineRule="exact"/>
              <w:ind w:left="4320" w:firstLine="0"/>
              <w:jc w:val="left"/>
            </w:pPr>
            <w:r>
              <w:t xml:space="preserve">Madison,</w:t>
            </w:r>
            <w:r>
              <w:t xml:space="preserve"> </w:t>
            </w:r>
            <w:r>
              <w:t xml:space="preserve">WI</w:t>
            </w:r>
            <w:r>
              <w:t xml:space="preserve"> </w:t>
            </w:r>
            <w:r>
              <w:t xml:space="preserve">53703-⁠3095</w:t>
            </w:r>
          </w:p>
          <w:p>
            <w:pPr>
              <w:spacing w:before="0" w:after="0" w:line="299"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Proposed</w:t>
            </w:r>
            <w:r>
              <w:rPr>
                <w:i/>
                <w:iCs/>
              </w:rPr>
              <w:t xml:space="preserve"> </w:t>
            </w:r>
            <w:r>
              <w:rPr>
                <w:i/>
                <w:iCs/>
              </w:rPr>
              <w:t xml:space="preserve">Intervenor-Respondent</w:t>
            </w:r>
            <w:r>
              <w:rPr>
                <w:i/>
                <w:iCs/>
              </w:rPr>
              <w:t xml:space="preserve"> </w:t>
            </w:r>
            <w:r>
              <w:rPr>
                <w:i/>
                <w:iCs/>
              </w:rPr>
              <w:t xml:space="preserve">Minnesota</w:t>
            </w:r>
            <w:r>
              <w:rPr>
                <w:i/>
                <w:iCs/>
              </w:rPr>
              <w:t xml:space="preserve"> </w:t>
            </w:r>
            <w:r>
              <w:rPr>
                <w:i/>
                <w:iCs/>
              </w:rPr>
              <w:t xml:space="preserve">Democratic-Farmer-Labor</w:t>
            </w:r>
            <w:r>
              <w:rPr>
                <w:i/>
                <w:iCs/>
              </w:rPr>
              <w:t xml:space="preserve"> </w:t>
            </w:r>
            <w:r>
              <w:rPr>
                <w:i/>
                <w:iCs/>
              </w:rPr>
              <w:t xml:space="preserve">Party</w:t>
            </w:r>
          </w:p>
        </w:tc>
      </w:tr>
    </w:tbl>
    <w:sectPr>
      <w:footerReference w:type="default" r:id="rIdFooter1"/>
      <w:footerReference w:type="first" r:id="rIdFooterFirst"/>
      <w:pgSz w:w="12240" w:h="15840"/>
      <w:pgMar w:top="1440" w:right="1440" w:bottom="1440" w:left="144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