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DAKOTA</w:t>
      </w:r>
    </w:p>
    <w:p>
      <w:pPr>
        <w:spacing w:before="276"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20040298</w:t>
      </w:r>
    </w:p>
    <w:p>
      <w:pPr>
        <w:spacing w:before="0" w:after="0" w:line="276" w:lineRule="exact"/>
        <w:ind w:left="0" w:firstLine="0"/>
        <w:jc w:val="center"/>
      </w:pPr>
      <w:r>
        <w:rPr>
          <w:b/>
          <w:bCs/>
        </w:rPr>
        <w:t xml:space="preserve">District</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03-K-⁠485</w:t>
      </w:r>
    </w:p>
    <w:p>
      <w:pPr>
        <w:spacing w:before="276" w:after="0" w:line="276" w:lineRule="exact"/>
        <w:ind w:left="0" w:firstLine="0"/>
        <w:jc w:val="center"/>
      </w:pPr>
      <w:r>
        <w:t xml:space="preserve">STATE</w:t>
      </w:r>
      <w:r>
        <w:t xml:space="preserve"> </w:t>
      </w:r>
      <w:r>
        <w:t xml:space="preserve">OF</w:t>
      </w:r>
      <w:r>
        <w:t xml:space="preserve"> </w:t>
      </w:r>
      <w:r>
        <w:t xml:space="preserve">NORTH</w:t>
      </w:r>
      <w:r>
        <w:t xml:space="preserve"> </w:t>
      </w:r>
      <w:r>
        <w:t xml:space="preserve">DAKOTA</w:t>
      </w:r>
    </w:p>
    <w:p>
      <w:pPr>
        <w:spacing w:before="276" w:after="0" w:line="276" w:lineRule="exact"/>
        <w:ind w:left="0" w:firstLine="0"/>
        <w:jc w:val="center"/>
      </w:pPr>
      <w:r>
        <w:t xml:space="preserve">Plaintiff-Appellee,</w:t>
      </w:r>
    </w:p>
    <w:p>
      <w:pPr>
        <w:spacing w:before="276" w:after="0" w:line="276" w:lineRule="exact"/>
        <w:ind w:left="0" w:firstLine="0"/>
        <w:jc w:val="center"/>
      </w:pPr>
      <w:r>
        <w:t xml:space="preserve">v.</w:t>
      </w:r>
    </w:p>
    <w:p>
      <w:pPr>
        <w:spacing w:before="276" w:after="0" w:line="276" w:lineRule="exact"/>
        <w:ind w:left="0" w:firstLine="0"/>
        <w:jc w:val="center"/>
      </w:pPr>
      <w:r>
        <w:t xml:space="preserve">LOREN</w:t>
      </w:r>
      <w:r>
        <w:t xml:space="preserve"> </w:t>
      </w:r>
      <w:r>
        <w:t xml:space="preserve">BERNSTEIN</w:t>
      </w:r>
    </w:p>
    <w:p>
      <w:pPr>
        <w:spacing w:before="276" w:after="0" w:line="276" w:lineRule="exact"/>
        <w:ind w:left="0" w:firstLine="0"/>
        <w:jc w:val="center"/>
      </w:pPr>
      <w:r>
        <w:t xml:space="preserve">Defendant-Appellant.</w:t>
      </w:r>
    </w:p>
    <w:p>
      <w:pPr>
        <w:pBdr>
          <w:top w:val="single" w:sz="4" w:space="0" w:color="000000"/>
        </w:pBdr>
        <w:spacing w:before="414" w:after="0" w:line="1" w:lineRule="exact"/>
      </w:pPr>
    </w:p>
    <w:p>
      <w:pPr>
        <w:spacing w:before="276" w:after="0" w:line="276" w:lineRule="exact"/>
        <w:ind w:left="0" w:firstLine="0"/>
        <w:jc w:val="center"/>
      </w:pPr>
      <w:r>
        <w:t xml:space="preserve">Appeal</w:t>
      </w:r>
      <w:r>
        <w:t xml:space="preserve"> </w:t>
      </w:r>
      <w:r>
        <w:t xml:space="preserve">from</w:t>
      </w:r>
      <w:r>
        <w:t xml:space="preserve"> </w:t>
      </w:r>
      <w:r>
        <w:t xml:space="preserve">a</w:t>
      </w:r>
      <w:r>
        <w:t xml:space="preserve"> </w:t>
      </w:r>
      <w:r>
        <w:t xml:space="preserve">Final</w:t>
      </w:r>
      <w:r>
        <w:t xml:space="preserve"> </w:t>
      </w:r>
      <w:r>
        <w:t xml:space="preserve">Judgment</w:t>
      </w:r>
      <w:r>
        <w:t xml:space="preserve"> </w:t>
      </w:r>
      <w:r>
        <w:t xml:space="preserve">entered</w:t>
      </w:r>
      <w:r>
        <w:t xml:space="preserve"> </w:t>
      </w:r>
      <w:r>
        <w:t xml:space="preserve">by</w:t>
      </w:r>
      <w:r>
        <w:t xml:space="preserve"> </w:t>
      </w:r>
      <w:r>
        <w:t xml:space="preserve">the</w:t>
      </w:r>
      <w:r>
        <w:t xml:space="preserve"> </w:t>
      </w:r>
      <w:r>
        <w:t xml:space="preserve">District</w:t>
      </w:r>
      <w:r>
        <w:t xml:space="preserve"> </w:t>
      </w:r>
      <w:r>
        <w:t xml:space="preserve">Court</w:t>
      </w:r>
      <w:r>
        <w:t xml:space="preserve"> </w:t>
      </w:r>
      <w:r>
        <w:t xml:space="preserve">for</w:t>
      </w:r>
      <w:r>
        <w:t xml:space="preserve"> </w:t>
      </w:r>
      <w:r>
        <w:t xml:space="preserve">Bottineau</w:t>
      </w:r>
      <w:r>
        <w:t xml:space="preserve"> </w:t>
      </w:r>
      <w:r>
        <w:t xml:space="preserve">County,</w:t>
      </w:r>
      <w:r>
        <w:t xml:space="preserve"> </w:t>
      </w:r>
      <w:r>
        <w:t xml:space="preserve">Northeast</w:t>
      </w:r>
      <w:r>
        <w:t xml:space="preserve"> </w:t>
      </w:r>
      <w:r>
        <w:t xml:space="preserve">Judicial</w:t>
      </w:r>
      <w:r>
        <w:t xml:space="preserve"> </w:t>
      </w:r>
      <w:r>
        <w:t xml:space="preserve">District,</w:t>
      </w:r>
      <w:r>
        <w:t xml:space="preserve"> </w:t>
      </w:r>
      <w:r>
        <w:t xml:space="preserve">State</w:t>
      </w:r>
      <w:r>
        <w:t xml:space="preserve"> </w:t>
      </w:r>
      <w:r>
        <w:t xml:space="preserve">of</w:t>
      </w:r>
      <w:r>
        <w:t xml:space="preserve"> </w:t>
      </w:r>
      <w:r>
        <w:t xml:space="preserve">North</w:t>
      </w:r>
      <w:r>
        <w:t xml:space="preserve"> </w:t>
      </w:r>
      <w:r>
        <w:t xml:space="preserve">Dakota.</w:t>
      </w:r>
    </w:p>
    <w:p>
      <w:pPr>
        <w:spacing w:before="276" w:after="0" w:line="276" w:lineRule="exact"/>
        <w:ind w:left="0" w:firstLine="0"/>
        <w:jc w:val="center"/>
      </w:pPr>
      <w:r>
        <w:t xml:space="preserve">The</w:t>
      </w:r>
      <w:r>
        <w:t xml:space="preserve"> </w:t>
      </w:r>
      <w:r>
        <w:t xml:space="preserve">Honorable</w:t>
      </w:r>
      <w:r>
        <w:t xml:space="preserve"> </w:t>
      </w:r>
      <w:r>
        <w:t xml:space="preserve">John</w:t>
      </w:r>
      <w:r>
        <w:t xml:space="preserve"> </w:t>
      </w:r>
      <w:r>
        <w:t xml:space="preserve">C.</w:t>
      </w:r>
      <w:r>
        <w:t xml:space="preserve"> </w:t>
      </w:r>
      <w:r>
        <w:t xml:space="preserve">McClintock,</w:t>
      </w:r>
      <w:r>
        <w:t xml:space="preserve"> </w:t>
      </w:r>
      <w:r>
        <w:t xml:space="preserve">Jr.</w:t>
      </w:r>
      <w:r>
        <w:t xml:space="preserve"> </w:t>
      </w:r>
      <w:r>
        <w:t xml:space="preserve">presiding.</w:t>
      </w:r>
    </w:p>
    <w:p>
      <w:pPr>
        <w:pBdr>
          <w:top w:val="single" w:sz="4" w:space="0" w:color="000000"/>
        </w:pBdr>
        <w:spacing w:before="276" w:after="0" w:line="1" w:lineRule="exact"/>
      </w:pPr>
    </w:p>
    <w:p>
      <w:pPr>
        <w:spacing w:before="414" w:after="0" w:line="276"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552" w:after="0" w:line="276" w:lineRule="exact"/>
        <w:ind w:left="0" w:firstLine="0"/>
        <w:jc w:val="left"/>
      </w:pPr>
      <w:r>
        <w:t xml:space="preserve">James</w:t>
      </w:r>
      <w:r>
        <w:t xml:space="preserve"> </w:t>
      </w:r>
      <w:r>
        <w:t xml:space="preserve">G.</w:t>
      </w:r>
      <w:r>
        <w:t xml:space="preserve"> </w:t>
      </w:r>
      <w:r>
        <w:t xml:space="preserve">Wolff</w:t>
      </w:r>
    </w:p>
    <w:p>
      <w:pPr>
        <w:spacing w:before="0" w:after="0" w:line="276" w:lineRule="exact"/>
        <w:ind w:left="0" w:firstLine="0"/>
        <w:jc w:val="left"/>
      </w:pPr>
      <w:r>
        <w:t xml:space="preserve">North</w:t>
      </w:r>
      <w:r>
        <w:t xml:space="preserve"> </w:t>
      </w:r>
      <w:r>
        <w:t xml:space="preserve">Dakota</w:t>
      </w:r>
      <w:r>
        <w:t xml:space="preserve"> </w:t>
      </w:r>
      <w:r>
        <w:t xml:space="preserve">Bar</w:t>
      </w:r>
      <w:r>
        <w:t xml:space="preserve"> </w:t>
      </w:r>
      <w:r>
        <w:t xml:space="preserve">I.D.</w:t>
      </w:r>
      <w:r>
        <w:t xml:space="preserve"> </w:t>
      </w:r>
      <w:r>
        <w:t xml:space="preserve">Number</w:t>
      </w:r>
      <w:r>
        <w:t xml:space="preserve"> </w:t>
      </w:r>
      <w:r>
        <w:t xml:space="preserve">05963</w:t>
      </w:r>
    </w:p>
    <w:p>
      <w:pPr>
        <w:spacing w:before="0" w:after="0" w:line="276" w:lineRule="exact"/>
        <w:ind w:left="0" w:firstLine="0"/>
        <w:jc w:val="left"/>
      </w:pPr>
      <w:r>
        <w:t xml:space="preserve">LAW</w:t>
      </w:r>
      <w:r>
        <w:t xml:space="preserve"> </w:t>
      </w:r>
      <w:r>
        <w:t xml:space="preserve">OFFICES</w:t>
      </w:r>
      <w:r>
        <w:t xml:space="preserve"> </w:t>
      </w:r>
      <w:r>
        <w:t xml:space="preserve">OF</w:t>
      </w:r>
      <w:r>
        <w:t xml:space="preserve"> </w:t>
      </w:r>
      <w:r>
        <w:t xml:space="preserve">JAMES</w:t>
      </w:r>
      <w:r>
        <w:t xml:space="preserve"> </w:t>
      </w:r>
      <w:r>
        <w:t xml:space="preserve">G.</w:t>
      </w:r>
      <w:r>
        <w:t xml:space="preserve"> </w:t>
      </w:r>
      <w:r>
        <w:t xml:space="preserve">WOLFF</w:t>
      </w:r>
    </w:p>
    <w:p>
      <w:pPr>
        <w:spacing w:before="0" w:after="0" w:line="276" w:lineRule="exact"/>
        <w:ind w:left="0" w:firstLine="0"/>
        <w:jc w:val="left"/>
      </w:pPr>
      <w:r>
        <w:t xml:space="preserve">105</w:t>
      </w:r>
      <w:r>
        <w:t xml:space="preserve"> </w:t>
      </w:r>
      <w:r>
        <w:t xml:space="preserve">West</w:t>
      </w:r>
      <w:r>
        <w:t xml:space="preserve"> </w:t>
      </w:r>
      <w:r>
        <w:t xml:space="preserve">Main</w:t>
      </w:r>
    </w:p>
    <w:p>
      <w:pPr>
        <w:spacing w:before="0" w:after="0" w:line="276" w:lineRule="exact"/>
        <w:ind w:left="0" w:firstLine="0"/>
        <w:jc w:val="left"/>
      </w:pPr>
      <w:r>
        <w:t xml:space="preserve">Box</w:t>
      </w:r>
      <w:r>
        <w:t xml:space="preserve"> </w:t>
      </w:r>
      <w:r>
        <w:t xml:space="preserve">8</w:t>
      </w:r>
    </w:p>
    <w:p>
      <w:pPr>
        <w:spacing w:before="0" w:after="0" w:line="276" w:lineRule="exact"/>
        <w:ind w:left="0" w:firstLine="0"/>
        <w:jc w:val="left"/>
      </w:pPr>
      <w:r>
        <w:t xml:space="preserve">Mohall,</w:t>
      </w:r>
      <w:r>
        <w:t xml:space="preserve"> </w:t>
      </w:r>
      <w:r>
        <w:t xml:space="preserve">North</w:t>
      </w:r>
      <w:r>
        <w:t xml:space="preserve"> </w:t>
      </w:r>
      <w:r>
        <w:t xml:space="preserve">Dakota</w:t>
      </w:r>
      <w:r>
        <w:t xml:space="preserve"> </w:t>
      </w:r>
      <w:r>
        <w:t xml:space="preserve">58761</w:t>
      </w:r>
    </w:p>
    <w:p>
      <w:pPr>
        <w:spacing w:before="0" w:after="0" w:line="276" w:lineRule="exact"/>
        <w:ind w:left="0" w:firstLine="0"/>
        <w:jc w:val="left"/>
      </w:pPr>
      <w:r>
        <w:t xml:space="preserve">Ph:</w:t>
      </w:r>
      <w:r>
        <w:t xml:space="preserve"> </w:t>
      </w:r>
      <w:r>
        <w:t xml:space="preserve">(701)</w:t>
      </w:r>
      <w:r>
        <w:t xml:space="preserve"> </w:t>
      </w:r>
      <w:r>
        <w:t xml:space="preserve">756-⁠7199</w:t>
      </w:r>
    </w:p>
    <w:p>
      <w:pPr>
        <w:spacing w:before="0" w:after="0" w:line="276" w:lineRule="exact"/>
        <w:ind w:left="0" w:firstLine="0"/>
        <w:jc w:val="left"/>
      </w:pPr>
      <w:r>
        <w:t xml:space="preserve">Counsel</w:t>
      </w:r>
      <w:r>
        <w:t xml:space="preserve"> </w:t>
      </w:r>
      <w:r>
        <w:t xml:space="preserve">for</w:t>
      </w:r>
      <w:r>
        <w:t xml:space="preserve"> </w:t>
      </w:r>
      <w:r>
        <w:t xml:space="preserve">Appellant</w:t>
      </w:r>
      <w:r>
        <w:t xml:space="preserve"> </w:t>
      </w:r>
      <w:r>
        <w:t xml:space="preserve">Loren</w:t>
      </w:r>
      <w:r>
        <w:t xml:space="preserve"> </w:t>
      </w:r>
      <w:r>
        <w:t xml:space="preserve">Bernstein</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720" w:right="720" w:hanging="720"/>
      </w:pPr>
      <w:r>
        <w:t xml:space="preserve">I.</w:t>
      </w:r>
      <w:r>
        <w:t xml:space="preserve"> </w:t>
      </w:r>
      <w:r>
        <w:t xml:space="preserve">ARGUMENT</w:t>
      </w:r>
      <w:r>
        <w:t xml:space="preserve">   </w:t>
      </w:r>
      <w:r>
        <w:tab/>
      </w:r>
      <w:r>
        <w:t xml:space="preserve">4</w:t>
      </w:r>
    </w:p>
    <w:p>
      <w:pPr>
        <w:keepLines/>
        <w:tabs>
          <w:tab w:val="right" w:leader="dot" w:pos="8640"/>
        </w:tabs>
        <w:spacing w:before="168" w:after="0" w:line="276" w:lineRule="exact"/>
        <w:ind w:left="1080" w:right="720" w:hanging="720"/>
      </w:pPr>
      <w:r>
        <w:t xml:space="preserve">A.</w:t>
      </w:r>
      <w:r>
        <w:t xml:space="preserve"> </w:t>
      </w:r>
      <w:r>
        <w:t xml:space="preserve">Even</w:t>
      </w:r>
      <w:r>
        <w:t xml:space="preserve"> </w:t>
      </w:r>
      <w:r>
        <w:t xml:space="preserve">if</w:t>
      </w:r>
      <w:r>
        <w:t xml:space="preserve"> </w:t>
      </w:r>
      <w:r>
        <w:t xml:space="preserve">the</w:t>
      </w:r>
      <w:r>
        <w:t xml:space="preserve"> </w:t>
      </w:r>
      <w:r>
        <w:t xml:space="preserve">State</w:t>
      </w:r>
      <w:r>
        <w:t xml:space="preserve"> </w:t>
      </w:r>
      <w:r>
        <w:t xml:space="preserve">is</w:t>
      </w:r>
      <w:r>
        <w:t xml:space="preserve"> </w:t>
      </w:r>
      <w:r>
        <w:t xml:space="preserve">Correct</w:t>
      </w:r>
      <w:r>
        <w:t xml:space="preserve"> </w:t>
      </w:r>
      <w:r>
        <w:t xml:space="preserve">That</w:t>
      </w:r>
      <w:r>
        <w:t xml:space="preserve"> </w:t>
      </w:r>
      <w:r>
        <w:t xml:space="preserve">the</w:t>
      </w:r>
      <w:r>
        <w:t xml:space="preserve"> </w:t>
      </w:r>
      <w:r>
        <w:t xml:space="preserve">Trial</w:t>
      </w:r>
      <w:r>
        <w:t xml:space="preserve"> </w:t>
      </w:r>
      <w:r>
        <w:t xml:space="preserve">Court</w:t>
      </w:r>
      <w:r>
        <w:t xml:space="preserve"> </w:t>
      </w:r>
      <w:r>
        <w:t xml:space="preserve">Considered</w:t>
      </w:r>
      <w:r>
        <w:t xml:space="preserve"> </w:t>
      </w:r>
      <w:r>
        <w:t xml:space="preserve">the</w:t>
      </w:r>
      <w:r>
        <w:t xml:space="preserve"> </w:t>
      </w:r>
      <w:r>
        <w:t xml:space="preserve">Issue</w:t>
      </w:r>
      <w:r>
        <w:t xml:space="preserve"> </w:t>
      </w:r>
      <w:r>
        <w:t xml:space="preserve">of</w:t>
      </w:r>
      <w:r>
        <w:t xml:space="preserve"> </w:t>
      </w:r>
      <w:r>
        <w:t xml:space="preserve">Mr.</w:t>
      </w:r>
      <w:r>
        <w:t xml:space="preserve"> </w:t>
      </w:r>
      <w:r>
        <w:t xml:space="preserve">Bernstein’s</w:t>
      </w:r>
      <w:r>
        <w:t xml:space="preserve"> </w:t>
      </w:r>
      <w:r>
        <w:t xml:space="preserve">Intent,</w:t>
      </w:r>
      <w:r>
        <w:t xml:space="preserve"> </w:t>
      </w:r>
      <w:r>
        <w:t xml:space="preserve">it</w:t>
      </w:r>
      <w:r>
        <w:t xml:space="preserve"> </w:t>
      </w:r>
      <w:r>
        <w:t xml:space="preserve">was</w:t>
      </w:r>
      <w:r>
        <w:t xml:space="preserve"> </w:t>
      </w:r>
      <w:r>
        <w:t xml:space="preserve">Error</w:t>
      </w:r>
      <w:r>
        <w:t xml:space="preserve"> </w:t>
      </w:r>
      <w:r>
        <w:t xml:space="preserve">for</w:t>
      </w:r>
      <w:r>
        <w:t xml:space="preserve"> </w:t>
      </w:r>
      <w:r>
        <w:t xml:space="preserve">the</w:t>
      </w:r>
      <w:r>
        <w:t xml:space="preserve"> </w:t>
      </w:r>
      <w:r>
        <w:t xml:space="preserve">Judge</w:t>
      </w:r>
      <w:r>
        <w:t xml:space="preserve"> </w:t>
      </w:r>
      <w:r>
        <w:t xml:space="preserve">to</w:t>
      </w:r>
      <w:r>
        <w:t xml:space="preserve"> </w:t>
      </w:r>
      <w:r>
        <w:t xml:space="preserve">Refuse</w:t>
      </w:r>
      <w:r>
        <w:t xml:space="preserve"> </w:t>
      </w:r>
      <w:r>
        <w:t xml:space="preserve">to</w:t>
      </w:r>
      <w:r>
        <w:t xml:space="preserve"> </w:t>
      </w:r>
      <w:r>
        <w:t xml:space="preserve">Admit</w:t>
      </w:r>
      <w:r>
        <w:t xml:space="preserve"> </w:t>
      </w:r>
      <w:r>
        <w:t xml:space="preserve">Mr.</w:t>
      </w:r>
      <w:r>
        <w:t xml:space="preserve"> </w:t>
      </w:r>
      <w:r>
        <w:t xml:space="preserve">Bernstein’s</w:t>
      </w:r>
      <w:r>
        <w:t xml:space="preserve"> </w:t>
      </w:r>
      <w:r>
        <w:t xml:space="preserve">Testimony</w:t>
      </w:r>
      <w:r>
        <w:t xml:space="preserve"> </w:t>
      </w:r>
      <w:r>
        <w:t xml:space="preserve">and</w:t>
      </w:r>
      <w:r>
        <w:t xml:space="preserve"> </w:t>
      </w:r>
      <w:r>
        <w:t xml:space="preserve">Proffered</w:t>
      </w:r>
      <w:r>
        <w:t xml:space="preserve"> </w:t>
      </w:r>
      <w:r>
        <w:t xml:space="preserve">Exhibit</w:t>
      </w:r>
      <w:r>
        <w:t xml:space="preserve"> </w:t>
      </w:r>
      <w:r>
        <w:t xml:space="preserve">A.</w:t>
      </w:r>
      <w:r>
        <w:t xml:space="preserve">   </w:t>
      </w:r>
      <w:r>
        <w:tab/>
      </w:r>
      <w:r>
        <w:t xml:space="preserve">4</w:t>
      </w:r>
    </w:p>
    <w:p>
      <w:pPr>
        <w:keepLines/>
        <w:tabs>
          <w:tab w:val="right" w:leader="dot" w:pos="8640"/>
        </w:tabs>
        <w:spacing w:before="168" w:after="0" w:line="276" w:lineRule="exact"/>
        <w:ind w:left="1080" w:right="720" w:hanging="720"/>
      </w:pPr>
      <w:r>
        <w:t xml:space="preserve">B.</w:t>
      </w:r>
      <w:r>
        <w:t xml:space="preserve"> </w:t>
      </w:r>
      <w:r>
        <w:t xml:space="preserve">The</w:t>
      </w:r>
      <w:r>
        <w:t xml:space="preserve"> </w:t>
      </w:r>
      <w:r>
        <w:t xml:space="preserve">Proffered</w:t>
      </w:r>
      <w:r>
        <w:t xml:space="preserve"> </w:t>
      </w:r>
      <w:r>
        <w:t xml:space="preserve">Evidence</w:t>
      </w:r>
      <w:r>
        <w:t xml:space="preserve"> </w:t>
      </w:r>
      <w:r>
        <w:t xml:space="preserve">was</w:t>
      </w:r>
      <w:r>
        <w:t xml:space="preserve"> </w:t>
      </w:r>
      <w:r>
        <w:t xml:space="preserve">not</w:t>
      </w:r>
      <w:r>
        <w:t xml:space="preserve"> </w:t>
      </w:r>
      <w:r>
        <w:t xml:space="preserve">Inadmissible</w:t>
      </w:r>
      <w:r>
        <w:t xml:space="preserve"> </w:t>
      </w:r>
      <w:r>
        <w:t xml:space="preserve">Hearsay.</w:t>
      </w:r>
      <w:r>
        <w:t xml:space="preserve">   </w:t>
      </w:r>
      <w:r>
        <w:tab/>
      </w:r>
      <w:r>
        <w:t xml:space="preserve">5</w:t>
      </w:r>
    </w:p>
    <w:p>
      <w:pPr>
        <w:keepLines/>
        <w:tabs>
          <w:tab w:val="right" w:leader="dot" w:pos="8640"/>
        </w:tabs>
        <w:spacing w:before="168" w:after="0" w:line="276" w:lineRule="exact"/>
        <w:ind w:left="720" w:right="720" w:hanging="720"/>
      </w:pPr>
      <w:r>
        <w:t xml:space="preserve">II.</w:t>
      </w:r>
      <w:r>
        <w:t xml:space="preserve"> </w:t>
      </w:r>
      <w:r>
        <w:t xml:space="preserve">CONCLUSION</w:t>
      </w:r>
      <w:r>
        <w:t xml:space="preserve">   </w:t>
      </w:r>
      <w:r>
        <w:tab/>
      </w:r>
      <w:r>
        <w:t xml:space="preserve">6</w:t>
      </w:r>
    </w:p>
    <w:p>
      <w:pPr>
        <w:keepLines/>
        <w:tabs>
          <w:tab w:val="right" w:leader="dot" w:pos="8640"/>
        </w:tabs>
        <w:spacing w:before="168" w:after="0" w:line="276" w:lineRule="exact"/>
        <w:ind w:left="720" w:right="720" w:hanging="720"/>
      </w:pPr>
      <w:r>
        <w:t xml:space="preserve">CERTIFICATE</w:t>
      </w:r>
      <w:r>
        <w:t xml:space="preserve"> </w:t>
      </w:r>
      <w:r>
        <w:t xml:space="preserve">OF</w:t>
      </w:r>
      <w:r>
        <w:t xml:space="preserve"> </w:t>
      </w:r>
      <w:r>
        <w:t xml:space="preserve">ELECTRONIC</w:t>
      </w:r>
      <w:r>
        <w:t xml:space="preserve"> </w:t>
      </w:r>
      <w:r>
        <w:t xml:space="preserve">FILING</w:t>
      </w:r>
      <w:r>
        <w:t xml:space="preserve"> </w:t>
      </w:r>
      <w:r>
        <w:t xml:space="preserve">AND</w:t>
      </w:r>
      <w:r>
        <w:t xml:space="preserve"> </w:t>
      </w:r>
      <w:r>
        <w:t xml:space="preserve">ELECTRONIC</w:t>
      </w:r>
      <w:r>
        <w:t xml:space="preserve"> </w:t>
      </w:r>
      <w:r>
        <w:t xml:space="preserve">SERVICE</w:t>
      </w:r>
      <w:r>
        <w:t xml:space="preserve">   </w:t>
      </w:r>
      <w:r>
        <w:tab/>
      </w:r>
      <w:r>
        <w:t xml:space="preserve">7</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60" w:line="276" w:lineRule="exact"/>
        <w:ind w:left="0" w:firstLine="0"/>
        <w:jc w:val="left"/>
      </w:pPr>
      <w:r>
        <w:rPr>
          <w:b/>
          <w:bCs/>
        </w:rPr>
        <w:t xml:space="preserve">Cases:</w:t>
      </w:r>
    </w:p>
    <w:p>
      <w:pPr>
        <w:keepLines/>
        <w:tabs>
          <w:tab w:val="right" w:leader="dot" w:pos="8640"/>
        </w:tabs>
        <w:spacing w:before="168" w:after="0" w:line="276" w:lineRule="exact"/>
        <w:ind w:left="720" w:right="1120" w:hanging="720"/>
      </w:pPr>
      <w:r>
        <w:rPr>
          <w:i/>
          <w:iCs/>
        </w:rPr>
        <w:t xml:space="preserve">Hydrite</w:t>
      </w:r>
      <w:r>
        <w:rPr>
          <w:i/>
          <w:iCs/>
        </w:rPr>
        <w:t xml:space="preserve"> </w:t>
      </w:r>
      <w:r>
        <w:rPr>
          <w:i/>
          <w:iCs/>
        </w:rPr>
        <w:t xml:space="preserve">Chem.</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Calumet</w:t>
      </w:r>
      <w:r>
        <w:rPr>
          <w:i/>
          <w:iCs/>
        </w:rPr>
        <w:t xml:space="preserve"> </w:t>
      </w:r>
      <w:r>
        <w:rPr>
          <w:i/>
          <w:iCs/>
        </w:rPr>
        <w:t xml:space="preserve">Lubricants</w:t>
      </w:r>
      <w:r>
        <w:rPr>
          <w:i/>
          <w:iCs/>
        </w:rPr>
        <w:t xml:space="preserve"> </w:t>
      </w:r>
      <w:r>
        <w:rPr>
          <w:i/>
          <w:iCs/>
        </w:rPr>
        <w:t xml:space="preserve">Co.</w:t>
      </w:r>
      <w:r>
        <w:t xml:space="preserve">,</w:t>
      </w:r>
      <w:r>
        <w:t xml:space="preserve"> </w:t>
      </w:r>
      <w:r>
        <w:t xml:space="preserve">(7th</w:t>
      </w:r>
      <w:r>
        <w:t xml:space="preserve"> </w:t>
      </w:r>
      <w:r>
        <w:t xml:space="preserve">Cir.</w:t>
      </w:r>
      <w:r>
        <w:t xml:space="preserve"> </w:t>
      </w:r>
      <w:r>
        <w:t xml:space="preserve">1995)</w:t>
      </w:r>
      <w:r>
        <w:t xml:space="preserve">   </w:t>
      </w:r>
      <w:r>
        <w:tab/>
      </w:r>
      <w:r>
        <w:t xml:space="preserve">6</w:t>
      </w:r>
    </w:p>
    <w:p>
      <w:pPr>
        <w:keepLines/>
        <w:tabs>
          <w:tab w:val="right" w:leader="dot" w:pos="8640"/>
        </w:tabs>
        <w:spacing w:before="168"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Welker</w:t>
      </w:r>
      <w:r>
        <w:t xml:space="preserve">,</w:t>
      </w:r>
      <w:r>
        <w:t xml:space="preserve"> </w:t>
      </w:r>
      <w:r>
        <w:t xml:space="preserve">536</w:t>
      </w:r>
      <w:r>
        <w:t xml:space="preserve"> </w:t>
      </w:r>
      <w:r>
        <w:t xml:space="preserve">So.</w:t>
      </w:r>
      <w:r>
        <w:t xml:space="preserve"> </w:t>
      </w:r>
      <w:r>
        <w:t xml:space="preserve">2d</w:t>
      </w:r>
      <w:r>
        <w:t xml:space="preserve"> </w:t>
      </w:r>
      <w:r>
        <w:t xml:space="preserve">1017,</w:t>
      </w:r>
      <w:r>
        <w:t xml:space="preserve"> </w:t>
      </w:r>
      <w:r>
        <w:t xml:space="preserve">1019-⁠20</w:t>
      </w:r>
      <w:r>
        <w:t xml:space="preserve"> </w:t>
      </w:r>
      <w:r>
        <w:t xml:space="preserve">(Fla.</w:t>
      </w:r>
      <w:r>
        <w:t xml:space="preserve"> </w:t>
      </w:r>
      <w:r>
        <w:t xml:space="preserve">1988)</w:t>
      </w:r>
      <w:r>
        <w:t xml:space="preserve">   </w:t>
      </w:r>
      <w:r>
        <w:tab/>
      </w:r>
      <w:r>
        <w:t xml:space="preserve">6</w:t>
      </w:r>
    </w:p>
    <w:p>
      <w:pPr>
        <w:keepLines/>
        <w:tabs>
          <w:tab w:val="right" w:leader="dot" w:pos="8640"/>
        </w:tabs>
        <w:spacing w:before="168"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Moreno</w:t>
      </w:r>
      <w:r>
        <w:t xml:space="preserve">,</w:t>
      </w:r>
      <w:r>
        <w:t xml:space="preserve"> </w:t>
      </w:r>
      <w:r>
        <w:t xml:space="preserve">233</w:t>
      </w:r>
      <w:r>
        <w:t xml:space="preserve"> </w:t>
      </w:r>
      <w:r>
        <w:t xml:space="preserve">F.3d</w:t>
      </w:r>
      <w:r>
        <w:t xml:space="preserve"> </w:t>
      </w:r>
      <w:r>
        <w:t xml:space="preserve">937,</w:t>
      </w:r>
      <w:r>
        <w:t xml:space="preserve"> </w:t>
      </w:r>
      <w:r>
        <w:t xml:space="preserve">940</w:t>
      </w:r>
      <w:r>
        <w:t xml:space="preserve"> </w:t>
      </w:r>
      <w:r>
        <w:t xml:space="preserve">(7th</w:t>
      </w:r>
      <w:r>
        <w:t xml:space="preserve"> </w:t>
      </w:r>
      <w:r>
        <w:t xml:space="preserve">Cir.</w:t>
      </w:r>
      <w:r>
        <w:t xml:space="preserve"> </w:t>
      </w:r>
      <w:r>
        <w:t xml:space="preserve">2000)</w:t>
      </w:r>
      <w:r>
        <w:t xml:space="preserve">   </w:t>
      </w:r>
      <w:r>
        <w:tab/>
      </w:r>
      <w:r>
        <w:t xml:space="preserve">5</w:t>
      </w:r>
    </w:p>
    <w:p>
      <w:pPr>
        <w:keepNext/>
        <w:keepLines/>
        <w:spacing w:before="264" w:after="60" w:line="276" w:lineRule="exact"/>
        <w:ind w:left="0" w:firstLine="0"/>
        <w:jc w:val="left"/>
      </w:pPr>
      <w:r>
        <w:rPr>
          <w:b/>
          <w:bCs/>
        </w:rPr>
        <w:t xml:space="preserve">Rules:</w:t>
      </w:r>
    </w:p>
    <w:p>
      <w:pPr>
        <w:keepLines/>
        <w:tabs>
          <w:tab w:val="right" w:leader="dot" w:pos="8640"/>
        </w:tabs>
        <w:spacing w:before="168" w:after="0" w:line="276" w:lineRule="exact"/>
        <w:ind w:left="720" w:right="1120" w:hanging="720"/>
      </w:pPr>
      <w:r>
        <w:t xml:space="preserve">North</w:t>
      </w:r>
      <w:r>
        <w:t xml:space="preserve"> </w:t>
      </w:r>
      <w:r>
        <w:t xml:space="preserve">Dakota</w:t>
      </w:r>
      <w:r>
        <w:t xml:space="preserve"> </w:t>
      </w:r>
      <w:r>
        <w:t xml:space="preserve">Rule</w:t>
      </w:r>
      <w:r>
        <w:t xml:space="preserve"> </w:t>
      </w:r>
      <w:r>
        <w:t xml:space="preserve">of</w:t>
      </w:r>
      <w:r>
        <w:t xml:space="preserve"> </w:t>
      </w:r>
      <w:r>
        <w:t xml:space="preserve">Evidence</w:t>
      </w:r>
      <w:r>
        <w:t xml:space="preserve"> </w:t>
      </w:r>
      <w:r>
        <w:t xml:space="preserve">801(c)</w:t>
      </w:r>
      <w:r>
        <w:t xml:space="preserve">   </w:t>
      </w:r>
      <w:r>
        <w:tab/>
      </w:r>
      <w:r>
        <w:t xml:space="preserve">5</w:t>
      </w:r>
    </w:p>
    <w:p>
      <w:pPr>
        <w:pageBreakBefore/>
        <w:spacing w:before="0" w:after="0" w:line="1" w:lineRule="exact"/>
      </w:pPr>
    </w:p>
    <w:p>
      <w:pPr>
        <w:keepNext/>
        <w:keepLines/>
        <w:spacing w:before="0" w:after="240" w:line="276" w:lineRule="exact"/>
        <w:ind w:left="0" w:firstLine="0"/>
        <w:jc w:val="center"/>
      </w:pPr>
      <w:r>
        <w:rPr>
          <w:b/>
          <w:bCs/>
        </w:rPr>
        <w:t xml:space="preserve">I.</w:t>
      </w:r>
      <w:r>
        <w:rPr>
          <w:b/>
          <w:bCs/>
        </w:rPr>
        <w:t xml:space="preserve"> </w:t>
      </w:r>
      <w:r>
        <w:rPr>
          <w:b/>
          <w:bCs/>
        </w:rPr>
        <w:t xml:space="preserve">ARGUMENT</w:t>
      </w:r>
    </w:p>
    <w:p>
      <w:pPr>
        <w:pStyle w:val="BodyText"/>
      </w:pPr>
      <w:r>
        <w:t xml:space="preserve">This reply to the argument contained in the State’s submission to this Court will be succinct. Even if the trial court did, as the State argues, consider the element of Mr. Bernstein’s intent, the State’s brief fails to address the problem of whether the Court’s determination that the proffered evidence, which directly bore on Mr. Bernstein’s intent, was irrelevant and inadmissible.</w:t>
      </w:r>
    </w:p>
    <w:p>
      <w:pPr>
        <w:keepNext/>
        <w:keepLines/>
        <w:spacing w:before="240" w:after="192" w:line="276" w:lineRule="exact"/>
        <w:ind w:left="720" w:hanging="720"/>
        <w:jc w:val="left"/>
      </w:pPr>
      <w:r>
        <w:rPr>
          <w:b/>
          <w:bCs/>
        </w:rPr>
        <w:t xml:space="preserve">A.</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is</w:t>
      </w:r>
      <w:r>
        <w:rPr>
          <w:b/>
          <w:bCs/>
        </w:rPr>
        <w:t xml:space="preserve"> </w:t>
      </w:r>
      <w:r>
        <w:rPr>
          <w:b/>
          <w:bCs/>
        </w:rPr>
        <w:t xml:space="preserve">Correct</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Considered</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Bernstein’s</w:t>
      </w:r>
      <w:r>
        <w:rPr>
          <w:b/>
          <w:bCs/>
        </w:rPr>
        <w:t xml:space="preserve"> </w:t>
      </w:r>
      <w:r>
        <w:rPr>
          <w:b/>
          <w:bCs/>
        </w:rPr>
        <w:t xml:space="preserve">Intent,</w:t>
      </w:r>
      <w:r>
        <w:rPr>
          <w:b/>
          <w:bCs/>
        </w:rPr>
        <w:t xml:space="preserve"> </w:t>
      </w:r>
      <w:r>
        <w:rPr>
          <w:b/>
          <w:bCs/>
        </w:rPr>
        <w:t xml:space="preserve">it</w:t>
      </w:r>
      <w:r>
        <w:rPr>
          <w:b/>
          <w:bCs/>
        </w:rPr>
        <w:t xml:space="preserve"> </w:t>
      </w:r>
      <w:r>
        <w:rPr>
          <w:b/>
          <w:bCs/>
        </w:rPr>
        <w:t xml:space="preserve">was</w:t>
      </w:r>
      <w:r>
        <w:rPr>
          <w:b/>
          <w:bCs/>
        </w:rPr>
        <w:t xml:space="preserve"> </w:t>
      </w:r>
      <w:r>
        <w:rPr>
          <w:b/>
          <w:bCs/>
        </w:rPr>
        <w:t xml:space="preserve">Error</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Judge</w:t>
      </w:r>
      <w:r>
        <w:rPr>
          <w:b/>
          <w:bCs/>
        </w:rPr>
        <w:t xml:space="preserve"> </w:t>
      </w:r>
      <w:r>
        <w:rPr>
          <w:b/>
          <w:bCs/>
        </w:rPr>
        <w:t xml:space="preserve">to</w:t>
      </w:r>
      <w:r>
        <w:rPr>
          <w:b/>
          <w:bCs/>
        </w:rPr>
        <w:t xml:space="preserve"> </w:t>
      </w:r>
      <w:r>
        <w:rPr>
          <w:b/>
          <w:bCs/>
        </w:rPr>
        <w:t xml:space="preserve">Refuse</w:t>
      </w:r>
      <w:r>
        <w:rPr>
          <w:b/>
          <w:bCs/>
        </w:rPr>
        <w:t xml:space="preserve"> </w:t>
      </w:r>
      <w:r>
        <w:rPr>
          <w:b/>
          <w:bCs/>
        </w:rPr>
        <w:t xml:space="preserve">to</w:t>
      </w:r>
      <w:r>
        <w:rPr>
          <w:b/>
          <w:bCs/>
        </w:rPr>
        <w:t xml:space="preserve"> </w:t>
      </w:r>
      <w:r>
        <w:rPr>
          <w:b/>
          <w:bCs/>
        </w:rPr>
        <w:t xml:space="preserve">Admit</w:t>
      </w:r>
      <w:r>
        <w:rPr>
          <w:b/>
          <w:bCs/>
        </w:rPr>
        <w:t xml:space="preserve"> </w:t>
      </w:r>
      <w:r>
        <w:rPr>
          <w:b/>
          <w:bCs/>
        </w:rPr>
        <w:t xml:space="preserve">Mr.</w:t>
      </w:r>
      <w:r>
        <w:rPr>
          <w:b/>
          <w:bCs/>
        </w:rPr>
        <w:t xml:space="preserve"> </w:t>
      </w:r>
      <w:r>
        <w:rPr>
          <w:b/>
          <w:bCs/>
        </w:rPr>
        <w:t xml:space="preserve">Bernstein’s</w:t>
      </w:r>
      <w:r>
        <w:rPr>
          <w:b/>
          <w:bCs/>
        </w:rPr>
        <w:t xml:space="preserve"> </w:t>
      </w:r>
      <w:r>
        <w:rPr>
          <w:b/>
          <w:bCs/>
        </w:rPr>
        <w:t xml:space="preserve">Testimony</w:t>
      </w:r>
      <w:r>
        <w:rPr>
          <w:b/>
          <w:bCs/>
        </w:rPr>
        <w:t xml:space="preserve"> </w:t>
      </w:r>
      <w:r>
        <w:rPr>
          <w:b/>
          <w:bCs/>
        </w:rPr>
        <w:t xml:space="preserve">and</w:t>
      </w:r>
      <w:r>
        <w:rPr>
          <w:b/>
          <w:bCs/>
        </w:rPr>
        <w:t xml:space="preserve"> </w:t>
      </w:r>
      <w:r>
        <w:rPr>
          <w:b/>
          <w:bCs/>
        </w:rPr>
        <w:t xml:space="preserve">Proffered</w:t>
      </w:r>
      <w:r>
        <w:rPr>
          <w:b/>
          <w:bCs/>
        </w:rPr>
        <w:t xml:space="preserve"> </w:t>
      </w:r>
      <w:r>
        <w:rPr>
          <w:b/>
          <w:bCs/>
        </w:rPr>
        <w:t xml:space="preserve">Exhibit</w:t>
      </w:r>
      <w:r>
        <w:rPr>
          <w:b/>
          <w:bCs/>
        </w:rPr>
        <w:t xml:space="preserve"> </w:t>
      </w:r>
      <w:r>
        <w:rPr>
          <w:b/>
          <w:bCs/>
        </w:rPr>
        <w:t xml:space="preserve">A.</w:t>
      </w:r>
    </w:p>
    <w:p>
      <w:pPr>
        <w:pStyle w:val="BodyText"/>
      </w:pPr>
      <w:r>
        <w:t xml:space="preserve">The State takes the somewhat untenable position that the</w:t>
      </w:r>
      <w:r>
        <w:t xml:space="preserve"> </w:t>
      </w:r>
      <w:r>
        <w:t xml:space="preserve">“Trial Court considered all relevant evidence presented,”</w:t>
      </w:r>
      <w:r>
        <w:t xml:space="preserve"> </w:t>
      </w:r>
      <w:r>
        <w:t xml:space="preserve">Appellee’s Brief 4:14 (Appellee), and, further, that the trial judge adequately considered the intent element of the crime.</w:t>
      </w:r>
      <w:r>
        <w:t xml:space="preserve"> </w:t>
      </w:r>
      <w:r>
        <w:rPr>
          <w:i/>
          <w:iCs/>
        </w:rPr>
        <w:t xml:space="preserve">Id.</w:t>
      </w:r>
      <w:r>
        <w:t xml:space="preserve"> </w:t>
      </w:r>
      <w:r>
        <w:t xml:space="preserve">at 5:3-⁠5. In addition, the State seems to believe that Mr. Bernstein’s argument centers on a contention that he actually had license or privilege to enter the premises at issue.</w:t>
      </w:r>
      <w:r>
        <w:t xml:space="preserve"> </w:t>
      </w:r>
      <w:r>
        <w:rPr>
          <w:i/>
          <w:iCs/>
        </w:rPr>
        <w:t xml:space="preserve">Id.</w:t>
      </w:r>
      <w:r>
        <w:t xml:space="preserve"> </w:t>
      </w:r>
      <w:r>
        <w:t xml:space="preserve">at 5:10-⁠12.</w:t>
      </w:r>
    </w:p>
    <w:p>
      <w:pPr>
        <w:pStyle w:val="BodyText"/>
      </w:pPr>
      <w:r>
        <w:t xml:space="preserve">First, and getting back to a clear statement of the issue before this Court, the question is whether the excluded evidence was relevant to any element of the charged crime. The true state of affairs as to the actual existence of license or privilege is not dispositive of the issue of intent.</w:t>
      </w:r>
    </w:p>
    <w:p>
      <w:pPr>
        <w:pStyle w:val="BodyText"/>
      </w:pPr>
      <w:r>
        <w:t xml:space="preserve">In his Opening Brief, Mr. Bernstein rather convincingly showed intent was an element of the charged crime to be proven by the State at trial. The State seems to concede this point. Appellee 5:7-⁠9.</w:t>
      </w:r>
    </w:p>
    <w:p>
      <w:pPr>
        <w:pStyle w:val="BodyText"/>
      </w:pPr>
      <w:r>
        <w:t xml:space="preserve">What the State fails to address is, then, how, even assuming the element of intent was considered by the trial judge in the form of Mr. Bernstein’s reasonable belief as to his right of entry into his father’s house or otherwise, it could have been legally correct to determine that evidence directly bearing on Mr. Bernstein’s state-of-mind was irrelevant to his intent in entering the subject property.</w:t>
      </w:r>
    </w:p>
    <w:p>
      <w:pPr>
        <w:pStyle w:val="BodyText"/>
      </w:pPr>
      <w:r>
        <w:t xml:space="preserve">Thus, even if this Court accepts the State’s argument that the trial court considered the element of intent in finding Mr. Bernstein guilty, it must still reverse the judgment of guilt, as the finder-of-fact failed to consider all offered evidence relevant to that issue.</w:t>
      </w:r>
    </w:p>
    <w:p>
      <w:pPr>
        <w:pStyle w:val="BodyTextNote"/>
      </w:pPr>
      <w:r>
        <w:t xml:space="preserve">When the trial judge excluded the state-of-mind evidence as being irrelevant, he committed reversible error.</w:t>
      </w:r>
      <w:r>
        <w:rPr>
          <w:rStyle w:val="FootnoteReference"/>
        </w:rPr>
        <w:footnoteReference w:id="9"/>
      </w:r>
    </w:p>
    <w:p>
      <w:pPr>
        <w:keepNext/>
        <w:keepLines/>
        <w:spacing w:before="240"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Proffered</w:t>
      </w:r>
      <w:r>
        <w:rPr>
          <w:b/>
          <w:bCs/>
        </w:rPr>
        <w:t xml:space="preserve"> </w:t>
      </w:r>
      <w:r>
        <w:rPr>
          <w:b/>
          <w:bCs/>
        </w:rPr>
        <w:t xml:space="preserve">Evidence</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Inadmissible</w:t>
      </w:r>
      <w:r>
        <w:rPr>
          <w:b/>
          <w:bCs/>
        </w:rPr>
        <w:t xml:space="preserve"> </w:t>
      </w:r>
      <w:r>
        <w:rPr>
          <w:b/>
          <w:bCs/>
        </w:rPr>
        <w:t xml:space="preserve">Hearsay.</w:t>
      </w:r>
    </w:p>
    <w:p>
      <w:pPr>
        <w:pStyle w:val="BodyText"/>
      </w:pPr>
      <w:r>
        <w:t xml:space="preserve">As a fall back position, the State weakly argues the proffered evidence, even if relevant, was inadmissible hearsay. Appellee 6:22-⁠7:2. This, also, is a flawed argument.</w:t>
      </w:r>
    </w:p>
    <w:p>
      <w:pPr>
        <w:pStyle w:val="BodyText"/>
      </w:pPr>
      <w:r>
        <w:t xml:space="preserve">Hearsay is, as all lawyers and judges know from memory, an out of court statement offered in evidence for the purpose of proving the truth of the matter asserted. N.D.R.Ev. 801(c)⁠(West</w:t>
      </w:r>
      <w:r>
        <w:t xml:space="preserve"> </w:t>
      </w:r>
      <w:r>
        <w:t xml:space="preserve">2005). The evidence at issue in this case was not offered to prove its substantive truth. Rather, the out-of-court statements of Mr. Bernstein’s father were offered to show their effect on Mr. Bernstein’s state-of-mind in entering his father’s house.</w:t>
      </w:r>
    </w:p>
    <w:p>
      <w:pPr>
        <w:pStyle w:val="BodyText"/>
      </w:pPr>
      <w:r>
        <w:t xml:space="preserve">Further, the evidence was substantively admissible as well. The proffered out-of-court statements were what are commonly known in the law of hearsay as</w:t>
      </w:r>
      <w:r>
        <w:t xml:space="preserve"> </w:t>
      </w:r>
      <w:r>
        <w:t xml:space="preserve">“verbal acts.”</w:t>
      </w:r>
      <w:r>
        <w:t xml:space="preserve"> </w:t>
      </w:r>
      <w:r>
        <w:t xml:space="preserve">Verbal acts are statements that, when made, change the legal relationship of the declarant and his or her listener.</w:t>
      </w:r>
      <w:r>
        <w:t xml:space="preserve"> </w:t>
      </w:r>
      <w:r>
        <w:rPr>
          <w:i/>
          <w:iCs/>
        </w:rPr>
        <w:t xml:space="preserve">United States v. Moreno</w:t>
      </w:r>
      <w:r>
        <w:t xml:space="preserve">, 233 F.3d 937, 940 (7th Cir. 2000)⁠(consent to search residence admissible as verbal act);</w:t>
      </w:r>
      <w:r>
        <w:t xml:space="preserve"> </w:t>
      </w:r>
      <w:r>
        <w:rPr>
          <w:i/>
          <w:iCs/>
        </w:rPr>
        <w:t xml:space="preserve">Hydrite</w:t>
      </w:r>
      <w:r>
        <w:rPr>
          <w:i/>
          <w:iCs/>
        </w:rPr>
        <w:t xml:space="preserve"> </w:t>
      </w:r>
      <w:r>
        <w:rPr>
          <w:i/>
          <w:iCs/>
        </w:rPr>
        <w:t xml:space="preserve">Chem. Co. v. Calumet Lubricants Co.</w:t>
      </w:r>
      <w:r>
        <w:t xml:space="preserve">, (7th Cir. 1995)⁠(offer and acceptance of contract admissible);</w:t>
      </w:r>
      <w:r>
        <w:t xml:space="preserve"> </w:t>
      </w:r>
      <w:r>
        <w:rPr>
          <w:i/>
          <w:iCs/>
        </w:rPr>
        <w:t xml:space="preserve">State v. Welker</w:t>
      </w:r>
      <w:r>
        <w:t xml:space="preserve">, 536 So. 2d 1017, 1019-⁠20 (Fla. 1988)⁠(consent to record telephone conversation admissible).</w:t>
      </w:r>
    </w:p>
    <w:p>
      <w:pPr>
        <w:pStyle w:val="BodyText"/>
      </w:pPr>
      <w:r>
        <w:t xml:space="preserve">Therefore, the State’s argument in this regard also fails.</w:t>
      </w:r>
    </w:p>
    <w:p>
      <w:pPr>
        <w:keepNext/>
        <w:keepLines/>
        <w:spacing w:before="288" w:after="240" w:line="276" w:lineRule="exact"/>
        <w:ind w:left="0" w:firstLine="0"/>
        <w:jc w:val="center"/>
      </w:pPr>
      <w:r>
        <w:rPr>
          <w:b/>
          <w:bCs/>
        </w:rPr>
        <w:t xml:space="preserve">II.</w:t>
      </w:r>
      <w:r>
        <w:rPr>
          <w:b/>
          <w:bCs/>
        </w:rPr>
        <w:t xml:space="preserve"> </w:t>
      </w:r>
      <w:r>
        <w:rPr>
          <w:b/>
          <w:bCs/>
        </w:rPr>
        <w:t xml:space="preserve">CONCLUSION</w:t>
      </w:r>
    </w:p>
    <w:p>
      <w:pPr>
        <w:pStyle w:val="BodyText"/>
      </w:pPr>
      <w:r>
        <w:t xml:space="preserve">For the reasons stated above, as well as for those contained in the Appellant’s Opening Brief, the State’s position should not be accepted by this Court and Loren Bernstein’s conviction should be reversed.</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Dated</w:t>
            </w:r>
            <w:r>
              <w:t xml:space="preserve"> </w:t>
            </w:r>
            <w:r>
              <w:t xml:space="preserve">this</w:t>
            </w:r>
            <w:r>
              <w:t xml:space="preserve"> </w:t>
            </w:r>
            <w:r>
              <w:t xml:space="preserve">7th</w:t>
            </w:r>
            <w:r>
              <w:t xml:space="preserve"> </w:t>
            </w:r>
            <w:r>
              <w:t xml:space="preserve">day</w:t>
            </w:r>
            <w:r>
              <w:t xml:space="preserve"> </w:t>
            </w:r>
            <w:r>
              <w:t xml:space="preserve">of</w:t>
            </w:r>
            <w:r>
              <w:t xml:space="preserve"> </w:t>
            </w:r>
            <w:r>
              <w:t xml:space="preserve">March,</w:t>
            </w:r>
            <w:r>
              <w:t xml:space="preserve"> </w:t>
            </w:r>
            <w:r>
              <w:t xml:space="preserve">2005.</w:t>
            </w:r>
          </w:p>
          <w:p>
            <w:pPr>
              <w:spacing w:before="144" w:after="0" w:line="276" w:lineRule="exact"/>
              <w:ind w:left="4608" w:firstLine="0"/>
              <w:jc w:val="left"/>
            </w:pPr>
            <w:r>
              <w:rPr>
                <w:u w:val="single"/>
              </w:rPr>
              <w:t xml:space="preserve">/s/</w:t>
            </w:r>
            <w:r>
              <w:rPr>
                <w:u w:val="single"/>
              </w:rPr>
              <w:t xml:space="preserve"> </w:t>
            </w:r>
            <w:r>
              <w:rPr>
                <w:u w:val="single"/>
              </w:rPr>
              <w:t xml:space="preserve">James</w:t>
            </w:r>
            <w:r>
              <w:rPr>
                <w:u w:val="single"/>
              </w:rPr>
              <w:t xml:space="preserve"> </w:t>
            </w:r>
            <w:r>
              <w:rPr>
                <w:u w:val="single"/>
              </w:rPr>
              <w:t xml:space="preserve">G.</w:t>
            </w:r>
            <w:r>
              <w:rPr>
                <w:u w:val="single"/>
              </w:rPr>
              <w:t xml:space="preserve"> </w:t>
            </w:r>
            <w:r>
              <w:rPr>
                <w:u w:val="single"/>
              </w:rPr>
              <w:t xml:space="preserve">Wolff</w:t>
            </w:r>
          </w:p>
          <w:p>
            <w:pPr>
              <w:spacing w:before="0" w:after="0" w:line="276" w:lineRule="exact"/>
              <w:ind w:left="4608" w:firstLine="0"/>
              <w:jc w:val="left"/>
            </w:pPr>
            <w:r>
              <w:t xml:space="preserve">Attorney</w:t>
            </w:r>
            <w:r>
              <w:t xml:space="preserve"> </w:t>
            </w:r>
            <w:r>
              <w:t xml:space="preserve">for</w:t>
            </w:r>
            <w:r>
              <w:t xml:space="preserve"> </w:t>
            </w:r>
            <w:r>
              <w:t xml:space="preserve">Appellant</w:t>
            </w:r>
            <w:r>
              <w:t xml:space="preserve"> </w:t>
            </w:r>
            <w:r>
              <w:t xml:space="preserve">Loren</w:t>
            </w:r>
            <w:r>
              <w:t xml:space="preserve"> </w:t>
            </w:r>
            <w:r>
              <w:t xml:space="preserve">Bernstein</w:t>
            </w:r>
          </w:p>
        </w:tc>
      </w:tr>
    </w:tbl>
    <w:p>
      <w:pPr>
        <w:pageBreakBefore/>
        <w:spacing w:before="0" w:after="0" w:line="1" w:lineRule="exact"/>
      </w:pPr>
    </w:p>
    <w:p>
      <w:pPr>
        <w:keepNext/>
        <w:keepLines/>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ELECTRONIC</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ELECTRONIC</w:t>
      </w:r>
      <w:r>
        <w:rPr>
          <w:b/>
          <w:bCs/>
        </w:rPr>
        <w:t xml:space="preserve"> </w:t>
      </w:r>
      <w:r>
        <w:rPr>
          <w:b/>
          <w:bCs/>
        </w:rPr>
        <w:t xml:space="preserve">SERVICE</w:t>
      </w:r>
    </w:p>
    <w:p>
      <w:pPr>
        <w:pStyle w:val="XdTail"/>
      </w:pPr>
      <w:r>
        <w:t xml:space="preserve">I certify that on the 7th day of March, 2005, I transmitted, via electronic mail, the foregoing Appellant’s Reply Brief in Adobe Portable Document Format and directed the document to:</w:t>
      </w:r>
    </w:p>
    <w:p>
      <w:pPr>
        <w:pStyle w:val="XdTail"/>
      </w:pPr>
      <w:r>
        <w:t xml:space="preserve">Penny Miller, Clerk of the Supreme Court, e-mail address: SupClerkofCourt@NDCourts.com</w:t>
      </w:r>
    </w:p>
    <w:p>
      <w:pPr>
        <w:pStyle w:val="XdTail"/>
      </w:pPr>
      <w:r>
        <w:t xml:space="preserve">and to;</w:t>
      </w:r>
    </w:p>
    <w:p>
      <w:pPr>
        <w:pStyle w:val="XdTail"/>
      </w:pPr>
      <w:r>
        <w:t xml:space="preserve">Anthony Swain Benson, Assistant State’s Attorney, e-mail address: benlaw@utma.com</w:t>
      </w:r>
    </w:p>
    <w:p>
      <w:pPr>
        <w:pStyle w:val="XdTail"/>
      </w:pPr>
      <w:r>
        <w:t xml:space="preserve">ss/​James G. Wolff, James G. Wolff</w:t>
      </w:r>
    </w:p>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State does not appear to contend the error was harmless.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552"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44"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