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tr-none.xml" ContentType="application/vnd.openxmlformats-officedocument.wordprocessingml.footer+xml"/>
  <Override PartName="/word/ftr-page.xml" ContentType="application/vnd.openxmlformats-officedocument.wordprocessingml.footer+xml"/>
  <Override PartName="/word/ftr-add.xml" ContentType="application/vnd.openxmlformats-officedocument.wordprocessingml.footer+xml"/>
  <Override PartName="/word/ftr-own1.xml" ContentType="application/vnd.openxmlformats-officedocument.wordprocessingml.footer+xml"/>
  <Override PartName="/word/ftr-own2.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276" w:lineRule="exact"/>
        <w:ind w:left="0" w:firstLine="0"/>
        <w:jc w:val="center"/>
      </w:pPr>
      <w:r>
        <w:rPr>
          <w:b/>
          <w:bCs/>
        </w:rPr>
        <w:t xml:space="preserve">IN</w:t>
      </w:r>
      <w:r>
        <w:rPr>
          <w:b/>
          <w:bCs/>
        </w:rPr>
        <w:t xml:space="preserve"> </w:t>
      </w:r>
      <w:r>
        <w:rPr>
          <w:b/>
          <w:bCs/>
        </w:rPr>
        <w:t xml:space="preserve">THE</w:t>
      </w:r>
      <w:r>
        <w:rPr>
          <w:b/>
          <w:bCs/>
        </w:rPr>
        <w:t xml:space="preserve"> </w:t>
      </w:r>
      <w:r>
        <w:rPr>
          <w:b/>
          <w:bCs/>
        </w:rPr>
        <w:t xml:space="preserve">SUPREME</w:t>
      </w:r>
      <w:r>
        <w:rPr>
          <w:b/>
          <w:bCs/>
        </w:rPr>
        <w:t xml:space="preserve"> </w:t>
      </w:r>
      <w:r>
        <w:rPr>
          <w:b/>
          <w:bCs/>
        </w:rPr>
        <w:t xml:space="preserve">COURT</w:t>
      </w:r>
    </w:p>
    <w:p>
      <w:pPr>
        <w:spacing w:before="0" w:after="0" w:line="276" w:lineRule="exact"/>
        <w:ind w:left="0" w:firstLine="0"/>
        <w:jc w:val="center"/>
      </w:pPr>
      <w:r>
        <w:rPr>
          <w:b/>
          <w:bCs/>
        </w:rPr>
        <w:t xml:space="preserve">STATE</w:t>
      </w:r>
      <w:r>
        <w:rPr>
          <w:b/>
          <w:bCs/>
        </w:rPr>
        <w:t xml:space="preserve"> </w:t>
      </w:r>
      <w:r>
        <w:rPr>
          <w:b/>
          <w:bCs/>
        </w:rPr>
        <w:t xml:space="preserve">OF</w:t>
      </w:r>
      <w:r>
        <w:rPr>
          <w:b/>
          <w:bCs/>
        </w:rPr>
        <w:t xml:space="preserve"> </w:t>
      </w:r>
      <w:r>
        <w:rPr>
          <w:b/>
          <w:bCs/>
        </w:rPr>
        <w:t xml:space="preserve">NORTH</w:t>
      </w:r>
      <w:r>
        <w:rPr>
          <w:b/>
          <w:bCs/>
        </w:rPr>
        <w:t xml:space="preserve"> </w:t>
      </w:r>
      <w:r>
        <w:rPr>
          <w:b/>
          <w:bCs/>
        </w:rPr>
        <w:t xml:space="preserve">DAKOTA</w:t>
      </w:r>
    </w:p>
    <w:p>
      <w:pPr>
        <w:spacing w:before="276" w:after="0" w:line="276" w:lineRule="exact"/>
        <w:ind w:left="0" w:firstLine="0"/>
        <w:jc w:val="center"/>
      </w:pPr>
      <w:r>
        <w:rPr>
          <w:b/>
          <w:bCs/>
        </w:rPr>
        <w:t xml:space="preserve">Supreme</w:t>
      </w:r>
      <w:r>
        <w:rPr>
          <w:b/>
          <w:bCs/>
        </w:rPr>
        <w:t xml:space="preserve"> </w:t>
      </w:r>
      <w:r>
        <w:rPr>
          <w:b/>
          <w:bCs/>
        </w:rPr>
        <w:t xml:space="preserve">Court</w:t>
      </w:r>
      <w:r>
        <w:rPr>
          <w:b/>
          <w:bCs/>
        </w:rPr>
        <w:t xml:space="preserve"> </w:t>
      </w:r>
      <w:r>
        <w:rPr>
          <w:b/>
          <w:bCs/>
        </w:rPr>
        <w:t xml:space="preserve">No.</w:t>
      </w:r>
      <w:r>
        <w:rPr>
          <w:b/>
          <w:bCs/>
        </w:rPr>
        <w:t xml:space="preserve"> </w:t>
      </w:r>
      <w:r>
        <w:rPr>
          <w:b/>
          <w:bCs/>
        </w:rPr>
        <w:t xml:space="preserve">20260059</w:t>
      </w:r>
    </w:p>
    <w:p>
      <w:pPr>
        <w:spacing w:before="0" w:after="0" w:line="276" w:lineRule="exact"/>
        <w:ind w:left="0" w:firstLine="0"/>
        <w:jc w:val="center"/>
      </w:pPr>
      <w:r>
        <w:rPr>
          <w:b/>
          <w:bCs/>
        </w:rPr>
        <w:t xml:space="preserve">Burleigh</w:t>
      </w:r>
      <w:r>
        <w:rPr>
          <w:b/>
          <w:bCs/>
        </w:rPr>
        <w:t xml:space="preserve"> </w:t>
      </w:r>
      <w:r>
        <w:rPr>
          <w:b/>
          <w:bCs/>
        </w:rPr>
        <w:t xml:space="preserve">County</w:t>
      </w:r>
      <w:r>
        <w:rPr>
          <w:b/>
          <w:bCs/>
        </w:rPr>
        <w:t xml:space="preserve"> </w:t>
      </w:r>
      <w:r>
        <w:rPr>
          <w:b/>
          <w:bCs/>
        </w:rPr>
        <w:t xml:space="preserve">No.</w:t>
      </w:r>
      <w:r>
        <w:rPr>
          <w:b/>
          <w:bCs/>
        </w:rPr>
        <w:t xml:space="preserve"> </w:t>
      </w:r>
      <w:r>
        <w:rPr>
          <w:b/>
          <w:bCs/>
        </w:rPr>
        <w:t xml:space="preserve">08-⁠2025-CV-⁠02068</w:t>
      </w:r>
    </w:p>
    <w:p>
      <w:pPr>
        <w:spacing w:before="0" w:after="0" w:line="276" w:lineRule="exact"/>
        <w:ind w:left="0" w:firstLine="0"/>
        <w:jc w:val="center"/>
      </w:pPr>
      <w:r>
        <w:rPr>
          <w:b/>
          <w:bCs/>
        </w:rPr>
        <w:t xml:space="preserve">Hon.</w:t>
      </w:r>
      <w:r>
        <w:rPr>
          <w:b/>
          <w:bCs/>
        </w:rPr>
        <w:t xml:space="preserve"> </w:t>
      </w:r>
      <w:r>
        <w:rPr>
          <w:b/>
          <w:bCs/>
        </w:rPr>
        <w:t xml:space="preserve">Bobbi</w:t>
      </w:r>
      <w:r>
        <w:rPr>
          <w:b/>
          <w:bCs/>
        </w:rPr>
        <w:t xml:space="preserve"> </w:t>
      </w:r>
      <w:r>
        <w:rPr>
          <w:b/>
          <w:bCs/>
        </w:rPr>
        <w:t xml:space="preserve">Weiler</w:t>
      </w:r>
    </w:p>
    <w:p>
      <w:pPr>
        <w:spacing w:before="276" w:after="0" w:line="276" w:lineRule="exact"/>
        <w:ind w:left="0" w:firstLine="0"/>
        <w:jc w:val="center"/>
      </w:pPr>
      <w:r>
        <w:t xml:space="preserve">Wano</w:t>
      </w:r>
      <w:r>
        <w:t xml:space="preserve"> </w:t>
      </w:r>
      <w:r>
        <w:t xml:space="preserve">Township,</w:t>
      </w:r>
      <w:r>
        <w:t xml:space="preserve"> </w:t>
      </w:r>
      <w:r>
        <w:t xml:space="preserve">Willowbank</w:t>
      </w:r>
      <w:r>
        <w:t xml:space="preserve"> </w:t>
      </w:r>
      <w:r>
        <w:t xml:space="preserve">Township,</w:t>
      </w:r>
      <w:r>
        <w:t xml:space="preserve"> </w:t>
      </w:r>
      <w:r>
        <w:t xml:space="preserve">Russell</w:t>
      </w:r>
      <w:r>
        <w:t xml:space="preserve"> </w:t>
      </w:r>
      <w:r>
        <w:t xml:space="preserve">Township,</w:t>
      </w:r>
      <w:r>
        <w:t xml:space="preserve"> </w:t>
      </w:r>
      <w:r>
        <w:t xml:space="preserve">Corwin</w:t>
      </w:r>
      <w:r>
        <w:t xml:space="preserve"> </w:t>
      </w:r>
      <w:r>
        <w:t xml:space="preserve">Township,</w:t>
      </w:r>
      <w:r>
        <w:t xml:space="preserve"> </w:t>
      </w:r>
      <w:r>
        <w:t xml:space="preserve">Valley</w:t>
      </w:r>
      <w:r>
        <w:t xml:space="preserve"> </w:t>
      </w:r>
      <w:r>
        <w:t xml:space="preserve">Township,</w:t>
      </w:r>
      <w:r>
        <w:t xml:space="preserve"> </w:t>
      </w:r>
      <w:r>
        <w:t xml:space="preserve">Mike</w:t>
      </w:r>
      <w:r>
        <w:t xml:space="preserve"> </w:t>
      </w:r>
      <w:r>
        <w:t xml:space="preserve">and</w:t>
      </w:r>
      <w:r>
        <w:t xml:space="preserve"> </w:t>
      </w:r>
      <w:r>
        <w:t xml:space="preserve">Patty</w:t>
      </w:r>
      <w:r>
        <w:t xml:space="preserve"> </w:t>
      </w:r>
      <w:r>
        <w:t xml:space="preserve">Bartel,</w:t>
      </w:r>
      <w:r>
        <w:t xml:space="preserve"> </w:t>
      </w:r>
      <w:r>
        <w:t xml:space="preserve">Richard</w:t>
      </w:r>
      <w:r>
        <w:t xml:space="preserve"> </w:t>
      </w:r>
      <w:r>
        <w:t xml:space="preserve">and</w:t>
      </w:r>
      <w:r>
        <w:t xml:space="preserve"> </w:t>
      </w:r>
      <w:r>
        <w:t xml:space="preserve">Susan</w:t>
      </w:r>
      <w:r>
        <w:t xml:space="preserve"> </w:t>
      </w:r>
      <w:r>
        <w:t xml:space="preserve">R.</w:t>
      </w:r>
      <w:r>
        <w:t xml:space="preserve"> </w:t>
      </w:r>
      <w:r>
        <w:t xml:space="preserve">Long,</w:t>
      </w:r>
      <w:r>
        <w:t xml:space="preserve"> </w:t>
      </w:r>
      <w:r>
        <w:t xml:space="preserve">Steven</w:t>
      </w:r>
      <w:r>
        <w:t xml:space="preserve"> </w:t>
      </w:r>
      <w:r>
        <w:t xml:space="preserve">and</w:t>
      </w:r>
      <w:r>
        <w:t xml:space="preserve"> </w:t>
      </w:r>
      <w:r>
        <w:t xml:space="preserve">Julia</w:t>
      </w:r>
      <w:r>
        <w:t xml:space="preserve"> </w:t>
      </w:r>
      <w:r>
        <w:t xml:space="preserve">Nelson,</w:t>
      </w:r>
      <w:r>
        <w:t xml:space="preserve"> </w:t>
      </w:r>
      <w:r>
        <w:t xml:space="preserve">Phyllis</w:t>
      </w:r>
      <w:r>
        <w:t xml:space="preserve"> </w:t>
      </w:r>
      <w:r>
        <w:t xml:space="preserve">P.</w:t>
      </w:r>
      <w:r>
        <w:t xml:space="preserve"> </w:t>
      </w:r>
      <w:r>
        <w:t xml:space="preserve">Ottemess</w:t>
      </w:r>
      <w:r>
        <w:t xml:space="preserve"> </w:t>
      </w:r>
      <w:r>
        <w:t xml:space="preserve">and</w:t>
      </w:r>
      <w:r>
        <w:t xml:space="preserve"> </w:t>
      </w:r>
      <w:r>
        <w:t xml:space="preserve">Patricia</w:t>
      </w:r>
      <w:r>
        <w:t xml:space="preserve"> </w:t>
      </w:r>
      <w:r>
        <w:t xml:space="preserve">A.</w:t>
      </w:r>
      <w:r>
        <w:t xml:space="preserve"> </w:t>
      </w:r>
      <w:r>
        <w:t xml:space="preserve">Vick,</w:t>
      </w:r>
      <w:r>
        <w:t xml:space="preserve"> </w:t>
      </w:r>
      <w:r>
        <w:t xml:space="preserve">Brandon</w:t>
      </w:r>
      <w:r>
        <w:t xml:space="preserve"> </w:t>
      </w:r>
      <w:r>
        <w:t xml:space="preserve">and</w:t>
      </w:r>
      <w:r>
        <w:t xml:space="preserve"> </w:t>
      </w:r>
      <w:r>
        <w:t xml:space="preserve">Tausha</w:t>
      </w:r>
      <w:r>
        <w:t xml:space="preserve"> </w:t>
      </w:r>
      <w:r>
        <w:t xml:space="preserve">Schweigert,</w:t>
      </w:r>
      <w:r>
        <w:t xml:space="preserve"> </w:t>
      </w:r>
      <w:r>
        <w:t xml:space="preserve">Shockman</w:t>
      </w:r>
      <w:r>
        <w:t xml:space="preserve"> </w:t>
      </w:r>
      <w:r>
        <w:t xml:space="preserve">Farm</w:t>
      </w:r>
      <w:r>
        <w:t xml:space="preserve"> </w:t>
      </w:r>
      <w:r>
        <w:t xml:space="preserve">Partnership,</w:t>
      </w:r>
      <w:r>
        <w:t xml:space="preserve"> </w:t>
      </w:r>
      <w:r>
        <w:t xml:space="preserve">LLLP,</w:t>
      </w:r>
      <w:r>
        <w:t xml:space="preserve"> </w:t>
      </w:r>
      <w:r>
        <w:t xml:space="preserve">Debra</w:t>
      </w:r>
      <w:r>
        <w:t xml:space="preserve"> </w:t>
      </w:r>
      <w:r>
        <w:t xml:space="preserve">Sue</w:t>
      </w:r>
      <w:r>
        <w:t xml:space="preserve"> </w:t>
      </w:r>
      <w:r>
        <w:t xml:space="preserve">Wald,</w:t>
      </w:r>
      <w:r>
        <w:t xml:space="preserve"> </w:t>
      </w:r>
      <w:r>
        <w:t xml:space="preserve">Lucas</w:t>
      </w:r>
      <w:r>
        <w:t xml:space="preserve"> </w:t>
      </w:r>
      <w:r>
        <w:t xml:space="preserve">and</w:t>
      </w:r>
      <w:r>
        <w:t xml:space="preserve"> </w:t>
      </w:r>
      <w:r>
        <w:t xml:space="preserve">Jill</w:t>
      </w:r>
      <w:r>
        <w:t xml:space="preserve"> </w:t>
      </w:r>
      <w:r>
        <w:t xml:space="preserve">Wald,</w:t>
      </w:r>
      <w:r>
        <w:t xml:space="preserve"> </w:t>
      </w:r>
      <w:r>
        <w:t xml:space="preserve">Tim</w:t>
      </w:r>
      <w:r>
        <w:t xml:space="preserve"> </w:t>
      </w:r>
      <w:r>
        <w:t xml:space="preserve">Leppert,</w:t>
      </w:r>
      <w:r>
        <w:t xml:space="preserve"> </w:t>
      </w:r>
      <w:r>
        <w:t xml:space="preserve">Orr</w:t>
      </w:r>
      <w:r>
        <w:t xml:space="preserve"> </w:t>
      </w:r>
      <w:r>
        <w:t xml:space="preserve">Farms,</w:t>
      </w:r>
      <w:r>
        <w:t xml:space="preserve"> </w:t>
      </w:r>
      <w:r>
        <w:t xml:space="preserve">Steve</w:t>
      </w:r>
      <w:r>
        <w:t xml:space="preserve"> </w:t>
      </w:r>
      <w:r>
        <w:t xml:space="preserve">M.</w:t>
      </w:r>
      <w:r>
        <w:t xml:space="preserve"> </w:t>
      </w:r>
      <w:r>
        <w:t xml:space="preserve">and</w:t>
      </w:r>
      <w:r>
        <w:t xml:space="preserve"> </w:t>
      </w:r>
      <w:r>
        <w:t xml:space="preserve">Sandra</w:t>
      </w:r>
      <w:r>
        <w:t xml:space="preserve"> </w:t>
      </w:r>
      <w:r>
        <w:t xml:space="preserve">J.</w:t>
      </w:r>
      <w:r>
        <w:t xml:space="preserve"> </w:t>
      </w:r>
      <w:r>
        <w:t xml:space="preserve">Rupp,</w:t>
      </w:r>
      <w:r>
        <w:t xml:space="preserve"> </w:t>
      </w:r>
      <w:r>
        <w:t xml:space="preserve">David</w:t>
      </w:r>
      <w:r>
        <w:t xml:space="preserve"> </w:t>
      </w:r>
      <w:r>
        <w:t xml:space="preserve">A.</w:t>
      </w:r>
      <w:r>
        <w:t xml:space="preserve"> </w:t>
      </w:r>
      <w:r>
        <w:t xml:space="preserve">and</w:t>
      </w:r>
      <w:r>
        <w:t xml:space="preserve"> </w:t>
      </w:r>
      <w:r>
        <w:t xml:space="preserve">Denette</w:t>
      </w:r>
      <w:r>
        <w:t xml:space="preserve"> </w:t>
      </w:r>
      <w:r>
        <w:t xml:space="preserve">M.</w:t>
      </w:r>
      <w:r>
        <w:t xml:space="preserve"> </w:t>
      </w:r>
      <w:r>
        <w:t xml:space="preserve">Schweigert,</w:t>
      </w:r>
      <w:r>
        <w:t xml:space="preserve"> </w:t>
      </w:r>
      <w:r>
        <w:t xml:space="preserve">Allen</w:t>
      </w:r>
      <w:r>
        <w:t xml:space="preserve"> </w:t>
      </w:r>
      <w:r>
        <w:t xml:space="preserve">D.</w:t>
      </w:r>
      <w:r>
        <w:t xml:space="preserve"> </w:t>
      </w:r>
      <w:r>
        <w:t xml:space="preserve">and</w:t>
      </w:r>
      <w:r>
        <w:t xml:space="preserve"> </w:t>
      </w:r>
      <w:r>
        <w:t xml:space="preserve">Inna</w:t>
      </w:r>
      <w:r>
        <w:t xml:space="preserve"> </w:t>
      </w:r>
      <w:r>
        <w:t xml:space="preserve">N.</w:t>
      </w:r>
      <w:r>
        <w:t xml:space="preserve"> </w:t>
      </w:r>
      <w:r>
        <w:t xml:space="preserve">Swiontek,</w:t>
      </w:r>
      <w:r>
        <w:t xml:space="preserve"> </w:t>
      </w:r>
      <w:r>
        <w:t xml:space="preserve">David</w:t>
      </w:r>
      <w:r>
        <w:t xml:space="preserve"> </w:t>
      </w:r>
      <w:r>
        <w:t xml:space="preserve">and</w:t>
      </w:r>
      <w:r>
        <w:t xml:space="preserve"> </w:t>
      </w:r>
      <w:r>
        <w:t xml:space="preserve">Holly</w:t>
      </w:r>
      <w:r>
        <w:t xml:space="preserve"> </w:t>
      </w:r>
      <w:r>
        <w:t xml:space="preserve">Wald,</w:t>
      </w:r>
      <w:r>
        <w:t xml:space="preserve"> </w:t>
      </w:r>
      <w:r>
        <w:t xml:space="preserve">Weston</w:t>
      </w:r>
      <w:r>
        <w:t xml:space="preserve"> </w:t>
      </w:r>
      <w:r>
        <w:t xml:space="preserve">Wald,</w:t>
      </w:r>
      <w:r>
        <w:t xml:space="preserve"> </w:t>
      </w:r>
      <w:r>
        <w:t xml:space="preserve">and</w:t>
      </w:r>
      <w:r>
        <w:t xml:space="preserve"> </w:t>
      </w:r>
      <w:r>
        <w:t xml:space="preserve">Willowbank</w:t>
      </w:r>
      <w:r>
        <w:t xml:space="preserve"> </w:t>
      </w:r>
      <w:r>
        <w:t xml:space="preserve">Hutterian</w:t>
      </w:r>
      <w:r>
        <w:t xml:space="preserve"> </w:t>
      </w:r>
      <w:r>
        <w:t xml:space="preserve">Brethren</w:t>
      </w:r>
      <w:r>
        <w:t xml:space="preserve"> </w:t>
      </w:r>
      <w:r>
        <w:t xml:space="preserve">Association,</w:t>
      </w:r>
    </w:p>
    <w:p>
      <w:pPr>
        <w:spacing w:before="276" w:after="276" w:line="276" w:lineRule="exact"/>
        <w:ind w:left="0" w:firstLine="0"/>
        <w:jc w:val="center"/>
      </w:pPr>
      <w:r>
        <w:t xml:space="preserve">Appellants,</w:t>
      </w:r>
    </w:p>
    <w:p>
      <w:pPr>
        <w:spacing w:before="276" w:after="0" w:line="276" w:lineRule="exact"/>
        <w:ind w:left="0" w:firstLine="0"/>
        <w:jc w:val="center"/>
      </w:pPr>
      <w:r>
        <w:t xml:space="preserve">v.</w:t>
      </w:r>
    </w:p>
    <w:p>
      <w:pPr>
        <w:spacing w:before="0" w:after="0" w:line="276" w:lineRule="exact"/>
        <w:ind w:left="0" w:firstLine="0"/>
        <w:jc w:val="center"/>
      </w:pPr>
      <w:r>
        <w:t xml:space="preserve">North</w:t>
      </w:r>
      <w:r>
        <w:t xml:space="preserve"> </w:t>
      </w:r>
      <w:r>
        <w:t xml:space="preserve">Dakota</w:t>
      </w:r>
      <w:r>
        <w:t xml:space="preserve"> </w:t>
      </w:r>
      <w:r>
        <w:t xml:space="preserve">Public</w:t>
      </w:r>
      <w:r>
        <w:t xml:space="preserve"> </w:t>
      </w:r>
      <w:r>
        <w:t xml:space="preserve">Service</w:t>
      </w:r>
      <w:r>
        <w:t xml:space="preserve"> </w:t>
      </w:r>
      <w:r>
        <w:t xml:space="preserve">Commission,</w:t>
      </w:r>
      <w:r>
        <w:t xml:space="preserve"> </w:t>
      </w:r>
      <w:r>
        <w:t xml:space="preserve">Otter</w:t>
      </w:r>
      <w:r>
        <w:t xml:space="preserve"> </w:t>
      </w:r>
      <w:r>
        <w:t xml:space="preserve">Tail</w:t>
      </w:r>
      <w:r>
        <w:t xml:space="preserve"> </w:t>
      </w:r>
      <w:r>
        <w:t xml:space="preserve">Power</w:t>
      </w:r>
      <w:r>
        <w:t xml:space="preserve"> </w:t>
      </w:r>
      <w:r>
        <w:t xml:space="preserve">Company,</w:t>
      </w:r>
      <w:r>
        <w:t xml:space="preserve"> </w:t>
      </w:r>
      <w:r>
        <w:t xml:space="preserve">and</w:t>
      </w:r>
      <w:r>
        <w:t xml:space="preserve"> </w:t>
      </w:r>
      <w:r>
        <w:t xml:space="preserve">Montana-Dakota</w:t>
      </w:r>
      <w:r>
        <w:t xml:space="preserve"> </w:t>
      </w:r>
      <w:r>
        <w:t xml:space="preserve">Utilities</w:t>
      </w:r>
      <w:r>
        <w:t xml:space="preserve"> </w:t>
      </w:r>
      <w:r>
        <w:t xml:space="preserve">Co.,</w:t>
      </w:r>
    </w:p>
    <w:p>
      <w:pPr>
        <w:spacing w:before="276" w:after="276" w:line="276" w:lineRule="exact"/>
        <w:ind w:left="0" w:firstLine="0"/>
        <w:jc w:val="center"/>
      </w:pPr>
      <w:r>
        <w:t xml:space="preserve">Appellees.</w:t>
      </w:r>
    </w:p>
    <w:p>
      <w:pPr>
        <w:spacing w:before="576" w:after="0" w:line="276" w:lineRule="exact"/>
        <w:ind w:left="0" w:firstLine="0"/>
        <w:jc w:val="center"/>
      </w:pPr>
      <w:r>
        <w:rPr>
          <w:b/>
          <w:bCs/>
        </w:rPr>
        <w:t xml:space="preserve">APPELLANTS’</w:t>
      </w:r>
      <w:r>
        <w:rPr>
          <w:b/>
          <w:bCs/>
        </w:rPr>
        <w:t xml:space="preserve"> </w:t>
      </w:r>
      <w:r>
        <w:rPr>
          <w:b/>
          <w:bCs/>
        </w:rPr>
        <w:t xml:space="preserve">REPLY</w:t>
      </w:r>
      <w:r>
        <w:rPr>
          <w:b/>
          <w:bCs/>
        </w:rPr>
        <w:t xml:space="preserve"> </w:t>
      </w:r>
      <w:r>
        <w:rPr>
          <w:b/>
          <w:bCs/>
        </w:rPr>
        <w:t xml:space="preserve">BRIEF</w:t>
      </w:r>
    </w:p>
    <w:p>
      <w:pPr>
        <w:spacing w:before="0" w:after="0" w:line="576" w:lineRule="exact"/>
      </w:pPr>
    </w:p>
    <w:tbl>
      <w:tblPr>
        <w:tblW w:w="8640" w:type="dxa"/>
        <w:tblLayout w:type="fixed"/>
        <w:tblCellMar>
          <w:top w:w="0" w:type="dxa"/>
          <w:left w:w="0" w:type="dxa"/>
          <w:bottom w:w="0" w:type="dxa"/>
          <w:right w:w="0" w:type="dxa"/>
        </w:tblCellMar>
        <w:tblLook w:val="0000" w:firstRow="0" w:lastRow="0" w:firstColumn="0" w:lastColumn="0" w:noHBand="0" w:noVBand="0"/>
      </w:tblPr>
      <w:tblGrid>
        <w:gridCol w:w="4200"/>
        <w:gridCol w:w="4440"/>
      </w:tblGrid>
      <w:tr>
        <w:trPr>
          <w:cantSplit/>
        </w:trPr>
        <w:tc>
          <w:tcPr>
            <w:tcW w:w="4200" w:type="dxa"/>
          </w:tcPr>
          <w:p>
            <w:pPr>
              <w:spacing w:before="0" w:after="0" w:line="276" w:lineRule="exact"/>
              <w:ind w:left="0" w:firstLine="0"/>
              <w:jc w:val="left"/>
            </w:pPr>
            <w:r>
              <w:t xml:space="preserve">Steven</w:t>
            </w:r>
            <w:r>
              <w:t xml:space="preserve"> </w:t>
            </w:r>
            <w:r>
              <w:t xml:space="preserve">J.</w:t>
            </w:r>
            <w:r>
              <w:t xml:space="preserve"> </w:t>
            </w:r>
            <w:r>
              <w:t xml:space="preserve">Leibel</w:t>
            </w:r>
            <w:r>
              <w:t xml:space="preserve"> </w:t>
            </w:r>
            <w:r>
              <w:t xml:space="preserve">(ND#</w:t>
            </w:r>
            <w:r>
              <w:t xml:space="preserve"> </w:t>
            </w:r>
            <w:r>
              <w:t xml:space="preserve">07361)</w:t>
            </w:r>
          </w:p>
          <w:p>
            <w:pPr>
              <w:spacing w:before="0" w:after="0" w:line="276" w:lineRule="exact"/>
              <w:ind w:left="0" w:firstLine="0"/>
              <w:jc w:val="left"/>
            </w:pPr>
            <w:r>
              <w:t xml:space="preserve">KNOLL</w:t>
            </w:r>
            <w:r>
              <w:t xml:space="preserve"> </w:t>
            </w:r>
            <w:r>
              <w:t xml:space="preserve">LEIBEL</w:t>
            </w:r>
            <w:r>
              <w:t xml:space="preserve"> </w:t>
            </w:r>
            <w:r>
              <w:t xml:space="preserve">LLP</w:t>
            </w:r>
          </w:p>
          <w:p>
            <w:pPr>
              <w:spacing w:before="0" w:after="0" w:line="276" w:lineRule="exact"/>
              <w:ind w:left="0" w:firstLine="0"/>
              <w:jc w:val="left"/>
            </w:pPr>
            <w:r>
              <w:t xml:space="preserve">P.O.</w:t>
            </w:r>
            <w:r>
              <w:t xml:space="preserve"> </w:t>
            </w:r>
            <w:r>
              <w:t xml:space="preserve">Box</w:t>
            </w:r>
            <w:r>
              <w:t xml:space="preserve"> </w:t>
            </w:r>
            <w:r>
              <w:t xml:space="preserve">858</w:t>
            </w:r>
          </w:p>
          <w:p>
            <w:pPr>
              <w:spacing w:before="0" w:after="0" w:line="276" w:lineRule="exact"/>
              <w:ind w:left="0" w:firstLine="0"/>
              <w:jc w:val="left"/>
            </w:pPr>
            <w:r>
              <w:t xml:space="preserve">1915</w:t>
            </w:r>
            <w:r>
              <w:t xml:space="preserve"> </w:t>
            </w:r>
            <w:r>
              <w:t xml:space="preserve">N.</w:t>
            </w:r>
            <w:r>
              <w:t xml:space="preserve"> </w:t>
            </w:r>
            <w:r>
              <w:t xml:space="preserve">Kavaney</w:t>
            </w:r>
            <w:r>
              <w:t xml:space="preserve"> </w:t>
            </w:r>
            <w:r>
              <w:t xml:space="preserve">Drive,</w:t>
            </w:r>
            <w:r>
              <w:t xml:space="preserve"> </w:t>
            </w:r>
            <w:r>
              <w:t xml:space="preserve">Ste.</w:t>
            </w:r>
            <w:r>
              <w:t xml:space="preserve"> </w:t>
            </w:r>
            <w:r>
              <w:t xml:space="preserve">3</w:t>
            </w:r>
          </w:p>
          <w:p>
            <w:pPr>
              <w:spacing w:before="0" w:after="0" w:line="276" w:lineRule="exact"/>
              <w:ind w:left="0" w:firstLine="0"/>
              <w:jc w:val="left"/>
            </w:pPr>
            <w:r>
              <w:t xml:space="preserve">Bismarck,</w:t>
            </w:r>
            <w:r>
              <w:t xml:space="preserve"> </w:t>
            </w:r>
            <w:r>
              <w:t xml:space="preserve">ND</w:t>
            </w:r>
            <w:r>
              <w:t xml:space="preserve"> </w:t>
            </w:r>
            <w:r>
              <w:t xml:space="preserve">58501</w:t>
            </w:r>
          </w:p>
          <w:p>
            <w:pPr>
              <w:spacing w:before="0" w:after="0" w:line="276" w:lineRule="exact"/>
              <w:ind w:left="0" w:firstLine="0"/>
              <w:jc w:val="left"/>
            </w:pPr>
            <w:r>
              <w:t xml:space="preserve">(701)</w:t>
            </w:r>
            <w:r>
              <w:t xml:space="preserve"> </w:t>
            </w:r>
            <w:r>
              <w:t xml:space="preserve">255-⁠2010</w:t>
            </w:r>
          </w:p>
          <w:p>
            <w:pPr>
              <w:spacing w:before="0" w:after="0" w:line="276" w:lineRule="exact"/>
              <w:ind w:left="0" w:firstLine="0"/>
              <w:jc w:val="left"/>
            </w:pPr>
            <w:r>
              <w:t xml:space="preserve">steve@bismarck-attomeys.com</w:t>
            </w:r>
          </w:p>
        </w:tc>
        <w:tc>
          <w:tcPr>
            <w:tcW w:w="4440" w:type="dxa"/>
            <w:tcMar>
              <w:left w:w="240" w:type="dxa"/>
            </w:tcMar>
          </w:tcPr>
          <w:p>
            <w:pPr>
              <w:spacing w:before="0" w:after="0" w:line="276" w:lineRule="exact"/>
              <w:ind w:left="0" w:firstLine="0"/>
              <w:jc w:val="left"/>
            </w:pPr>
            <w:r>
              <w:t xml:space="preserve">Douglas</w:t>
            </w:r>
            <w:r>
              <w:t xml:space="preserve"> </w:t>
            </w:r>
            <w:r>
              <w:t xml:space="preserve">J.</w:t>
            </w:r>
            <w:r>
              <w:t xml:space="preserve"> </w:t>
            </w:r>
            <w:r>
              <w:t xml:space="preserve">Nill</w:t>
            </w:r>
            <w:r>
              <w:t xml:space="preserve"> </w:t>
            </w:r>
            <w:r>
              <w:t xml:space="preserve">(ND#</w:t>
            </w:r>
            <w:r>
              <w:t xml:space="preserve"> </w:t>
            </w:r>
            <w:r>
              <w:t xml:space="preserve">P00392)</w:t>
            </w:r>
          </w:p>
          <w:p>
            <w:pPr>
              <w:spacing w:before="0" w:after="0" w:line="276" w:lineRule="exact"/>
              <w:ind w:left="0" w:firstLine="0"/>
              <w:jc w:val="left"/>
            </w:pPr>
            <w:r>
              <w:t xml:space="preserve">DOUGLAS</w:t>
            </w:r>
            <w:r>
              <w:t xml:space="preserve"> </w:t>
            </w:r>
            <w:r>
              <w:t xml:space="preserve">J.</w:t>
            </w:r>
            <w:r>
              <w:t xml:space="preserve"> </w:t>
            </w:r>
            <w:r>
              <w:t xml:space="preserve">NILL,</w:t>
            </w:r>
            <w:r>
              <w:t xml:space="preserve"> </w:t>
            </w:r>
            <w:r>
              <w:t xml:space="preserve">PLLC</w:t>
            </w:r>
          </w:p>
          <w:p>
            <w:pPr>
              <w:spacing w:before="0" w:after="0" w:line="276" w:lineRule="exact"/>
              <w:ind w:left="0" w:firstLine="0"/>
              <w:jc w:val="left"/>
            </w:pPr>
            <w:r>
              <w:t xml:space="preserve">SPS</w:t>
            </w:r>
            <w:r>
              <w:t xml:space="preserve"> </w:t>
            </w:r>
            <w:r>
              <w:t xml:space="preserve">Tower,</w:t>
            </w:r>
            <w:r>
              <w:t xml:space="preserve"> </w:t>
            </w:r>
            <w:r>
              <w:t xml:space="preserve">Suite</w:t>
            </w:r>
            <w:r>
              <w:t xml:space="preserve"> </w:t>
            </w:r>
            <w:r>
              <w:t xml:space="preserve">2600</w:t>
            </w:r>
          </w:p>
          <w:p>
            <w:pPr>
              <w:spacing w:before="0" w:after="0" w:line="276" w:lineRule="exact"/>
              <w:ind w:left="0" w:firstLine="0"/>
              <w:jc w:val="left"/>
            </w:pPr>
            <w:r>
              <w:t xml:space="preserve">333</w:t>
            </w:r>
            <w:r>
              <w:t xml:space="preserve"> </w:t>
            </w:r>
            <w:r>
              <w:t xml:space="preserve">South</w:t>
            </w:r>
            <w:r>
              <w:t xml:space="preserve"> </w:t>
            </w:r>
            <w:r>
              <w:t xml:space="preserve">Seventh</w:t>
            </w:r>
            <w:r>
              <w:t xml:space="preserve"> </w:t>
            </w:r>
            <w:r>
              <w:t xml:space="preserve">Street</w:t>
            </w:r>
          </w:p>
          <w:p>
            <w:pPr>
              <w:spacing w:before="0" w:after="0" w:line="276" w:lineRule="exact"/>
              <w:ind w:left="0" w:firstLine="0"/>
              <w:jc w:val="left"/>
            </w:pPr>
            <w:r>
              <w:t xml:space="preserve">Minneapolis,</w:t>
            </w:r>
            <w:r>
              <w:t xml:space="preserve"> </w:t>
            </w:r>
            <w:r>
              <w:t xml:space="preserve">MN</w:t>
            </w:r>
            <w:r>
              <w:t xml:space="preserve"> </w:t>
            </w:r>
            <w:r>
              <w:t xml:space="preserve">55402</w:t>
            </w:r>
          </w:p>
          <w:p>
            <w:pPr>
              <w:spacing w:before="0" w:after="0" w:line="276" w:lineRule="exact"/>
              <w:ind w:left="0" w:firstLine="0"/>
              <w:jc w:val="left"/>
            </w:pPr>
            <w:r>
              <w:t xml:space="preserve">(612)</w:t>
            </w:r>
            <w:r>
              <w:t xml:space="preserve"> </w:t>
            </w:r>
            <w:r>
              <w:t xml:space="preserve">573-⁠3669</w:t>
            </w:r>
          </w:p>
          <w:p>
            <w:pPr>
              <w:spacing w:before="0" w:after="0" w:line="276" w:lineRule="exact"/>
              <w:ind w:left="0" w:firstLine="0"/>
              <w:jc w:val="left"/>
            </w:pPr>
            <w:r>
              <w:t xml:space="preserve">dnill@farmlaw.com</w:t>
            </w:r>
          </w:p>
          <w:p>
            <w:pPr>
              <w:spacing w:before="0" w:after="0" w:line="276" w:lineRule="exact"/>
              <w:ind w:left="0" w:firstLine="0"/>
              <w:jc w:val="left"/>
            </w:pPr>
            <w:r>
              <w:rPr>
                <w:i/>
                <w:iCs/>
              </w:rPr>
              <w:t xml:space="preserve">Attorneys</w:t>
            </w:r>
            <w:r>
              <w:rPr>
                <w:i/>
                <w:iCs/>
              </w:rPr>
              <w:t xml:space="preserve"> </w:t>
            </w:r>
            <w:r>
              <w:rPr>
                <w:i/>
                <w:iCs/>
              </w:rPr>
              <w:t xml:space="preserve">for</w:t>
            </w:r>
            <w:r>
              <w:rPr>
                <w:i/>
                <w:iCs/>
              </w:rPr>
              <w:t xml:space="preserve"> </w:t>
            </w:r>
            <w:r>
              <w:rPr>
                <w:i/>
                <w:iCs/>
              </w:rPr>
              <w:t xml:space="preserve">the</w:t>
            </w:r>
            <w:r>
              <w:rPr>
                <w:i/>
                <w:iCs/>
              </w:rPr>
              <w:t xml:space="preserve"> </w:t>
            </w:r>
            <w:r>
              <w:rPr>
                <w:i/>
                <w:iCs/>
              </w:rPr>
              <w:t xml:space="preserve">Appellants</w:t>
            </w:r>
          </w:p>
        </w:tc>
      </w:tr>
    </w:tbl>
    <w:p>
      <w:pPr>
        <w:pageBreakBefore/>
        <w:spacing w:before="0" w:after="0" w:line="1" w:lineRule="exact"/>
      </w:pPr>
    </w:p>
    <w:p>
      <w:pPr>
        <w:keepNext/>
        <w:keepLines/>
        <w:spacing w:before="0" w:after="240" w:line="276" w:lineRule="exact"/>
        <w:ind w:left="0" w:firstLine="0"/>
        <w:jc w:val="center"/>
      </w:pPr>
      <w:r>
        <w:rPr>
          <w:b/>
          <w:bCs/>
        </w:rPr>
        <w:t xml:space="preserve">TABLE</w:t>
      </w:r>
      <w:r>
        <w:rPr>
          <w:b/>
          <w:bCs/>
        </w:rPr>
        <w:t xml:space="preserve"> </w:t>
      </w:r>
      <w:r>
        <w:rPr>
          <w:b/>
          <w:bCs/>
        </w:rPr>
        <w:t xml:space="preserve">OF</w:t>
      </w:r>
      <w:r>
        <w:rPr>
          <w:b/>
          <w:bCs/>
        </w:rPr>
        <w:t xml:space="preserve"> </w:t>
      </w:r>
      <w:r>
        <w:rPr>
          <w:b/>
          <w:bCs/>
        </w:rPr>
        <w:t xml:space="preserve">CONTENTS</w:t>
      </w:r>
    </w:p>
    <w:p>
      <w:pPr>
        <w:keepLines/>
        <w:tabs>
          <w:tab w:val="right" w:leader="dot" w:pos="8640"/>
        </w:tabs>
        <w:spacing w:before="168" w:after="0" w:line="276" w:lineRule="exact"/>
        <w:ind w:left="0" w:right="720" w:firstLine="0"/>
      </w:pPr>
      <w:r>
        <w:t xml:space="preserve">ISSUE</w:t>
      </w:r>
      <w:r>
        <w:t xml:space="preserve"> </w:t>
      </w:r>
      <w:r>
        <w:t xml:space="preserve">PRESENTED.</w:t>
      </w:r>
      <w:r>
        <w:t xml:space="preserve">   </w:t>
      </w:r>
      <w:r>
        <w:tab/>
      </w:r>
      <w:r>
        <w:t xml:space="preserve">4</w:t>
      </w:r>
    </w:p>
    <w:p>
      <w:pPr>
        <w:keepLines/>
        <w:tabs>
          <w:tab w:val="right" w:leader="dot" w:pos="8640"/>
        </w:tabs>
        <w:spacing w:before="168" w:after="0" w:line="276" w:lineRule="exact"/>
        <w:ind w:left="0" w:right="720" w:firstLine="0"/>
      </w:pPr>
      <w:r>
        <w:t xml:space="preserve">ARGUMENT.</w:t>
      </w:r>
      <w:r>
        <w:t xml:space="preserve">   </w:t>
      </w:r>
      <w:r>
        <w:tab/>
      </w:r>
      <w:r>
        <w:t xml:space="preserve">5</w:t>
      </w:r>
    </w:p>
    <w:p>
      <w:pPr>
        <w:keepLines/>
        <w:tabs>
          <w:tab w:val="right" w:leader="dot" w:pos="8640"/>
        </w:tabs>
        <w:spacing w:before="168" w:after="0" w:line="276" w:lineRule="exact"/>
        <w:ind w:left="360" w:right="720" w:firstLine="0"/>
      </w:pPr>
      <w:r>
        <w:t xml:space="preserve">I.</w:t>
      </w:r>
      <w:r>
        <w:t xml:space="preserve"> </w:t>
      </w:r>
      <w:r>
        <w:t xml:space="preserve">The</w:t>
      </w:r>
      <w:r>
        <w:t xml:space="preserve"> </w:t>
      </w:r>
      <w:r>
        <w:t xml:space="preserve">Court</w:t>
      </w:r>
      <w:r>
        <w:t xml:space="preserve"> </w:t>
      </w:r>
      <w:r>
        <w:t xml:space="preserve">overlooked</w:t>
      </w:r>
      <w:r>
        <w:t xml:space="preserve"> </w:t>
      </w:r>
      <w:r>
        <w:t xml:space="preserve">that</w:t>
      </w:r>
      <w:r>
        <w:t xml:space="preserve"> </w:t>
      </w:r>
      <w:r>
        <w:t xml:space="preserve">the</w:t>
      </w:r>
      <w:r>
        <w:t xml:space="preserve"> </w:t>
      </w:r>
      <w:r>
        <w:t xml:space="preserve">governing</w:t>
      </w:r>
      <w:r>
        <w:t xml:space="preserve"> </w:t>
      </w:r>
      <w:r>
        <w:t xml:space="preserve">statutory</w:t>
      </w:r>
      <w:r>
        <w:t xml:space="preserve"> </w:t>
      </w:r>
      <w:r>
        <w:t xml:space="preserve">framework</w:t>
      </w:r>
      <w:r>
        <w:t xml:space="preserve"> </w:t>
      </w:r>
      <w:r>
        <w:t xml:space="preserve">was</w:t>
      </w:r>
      <w:r>
        <w:t xml:space="preserve"> </w:t>
      </w:r>
      <w:r>
        <w:t xml:space="preserve">logically</w:t>
      </w:r>
      <w:r>
        <w:t xml:space="preserve"> </w:t>
      </w:r>
      <w:r>
        <w:t xml:space="preserve">antecedent</w:t>
      </w:r>
      <w:r>
        <w:t xml:space="preserve"> </w:t>
      </w:r>
      <w:r>
        <w:t xml:space="preserve">to</w:t>
      </w:r>
      <w:r>
        <w:t xml:space="preserve"> </w:t>
      </w:r>
      <w:r>
        <w:t xml:space="preserve">its</w:t>
      </w:r>
      <w:r>
        <w:t xml:space="preserve"> </w:t>
      </w:r>
      <w:r>
        <w:t xml:space="preserve">determination</w:t>
      </w:r>
      <w:r>
        <w:t xml:space="preserve"> </w:t>
      </w:r>
      <w:r>
        <w:t xml:space="preserve">of</w:t>
      </w:r>
      <w:r>
        <w:t xml:space="preserve"> </w:t>
      </w:r>
      <w:r>
        <w:t xml:space="preserve">notice</w:t>
      </w:r>
      <w:r>
        <w:t xml:space="preserve"> </w:t>
      </w:r>
      <w:r>
        <w:t xml:space="preserve">and</w:t>
      </w:r>
      <w:r>
        <w:t xml:space="preserve"> </w:t>
      </w:r>
      <w:r>
        <w:t xml:space="preserve">good</w:t>
      </w:r>
      <w:r>
        <w:t xml:space="preserve"> </w:t>
      </w:r>
      <w:r>
        <w:t xml:space="preserve">cause.</w:t>
      </w:r>
      <w:r>
        <w:t xml:space="preserve">   </w:t>
      </w:r>
      <w:r>
        <w:tab/>
      </w:r>
      <w:r>
        <w:t xml:space="preserve">5</w:t>
      </w:r>
    </w:p>
    <w:p>
      <w:pPr>
        <w:keepLines/>
        <w:tabs>
          <w:tab w:val="right" w:leader="dot" w:pos="8640"/>
        </w:tabs>
        <w:spacing w:before="168" w:after="0" w:line="276" w:lineRule="exact"/>
        <w:ind w:left="360" w:right="720" w:firstLine="0"/>
      </w:pPr>
      <w:r>
        <w:t xml:space="preserve">II.</w:t>
      </w:r>
      <w:r>
        <w:t xml:space="preserve"> </w:t>
      </w:r>
      <w:r>
        <w:t xml:space="preserve">The</w:t>
      </w:r>
      <w:r>
        <w:t xml:space="preserve"> </w:t>
      </w:r>
      <w:r>
        <w:t xml:space="preserve">Court’s</w:t>
      </w:r>
      <w:r>
        <w:t xml:space="preserve"> </w:t>
      </w:r>
      <w:r>
        <w:t xml:space="preserve">paired</w:t>
      </w:r>
      <w:r>
        <w:t xml:space="preserve"> </w:t>
      </w:r>
      <w:r>
        <w:t xml:space="preserve">holdings</w:t>
      </w:r>
      <w:r>
        <w:t xml:space="preserve"> </w:t>
      </w:r>
      <w:r>
        <w:t xml:space="preserve">create</w:t>
      </w:r>
      <w:r>
        <w:t xml:space="preserve"> </w:t>
      </w:r>
      <w:r>
        <w:t xml:space="preserve">a</w:t>
      </w:r>
      <w:r>
        <w:t xml:space="preserve"> </w:t>
      </w:r>
      <w:r>
        <w:t xml:space="preserve">procedural</w:t>
      </w:r>
      <w:r>
        <w:t xml:space="preserve"> </w:t>
      </w:r>
      <w:r>
        <w:t xml:space="preserve">catch-⁠22</w:t>
      </w:r>
      <w:r>
        <w:t xml:space="preserve"> </w:t>
      </w:r>
      <w:r>
        <w:t xml:space="preserve">that</w:t>
      </w:r>
      <w:r>
        <w:t xml:space="preserve"> </w:t>
      </w:r>
      <w:r>
        <w:t xml:space="preserve">prevents</w:t>
      </w:r>
      <w:r>
        <w:t xml:space="preserve"> </w:t>
      </w:r>
      <w:r>
        <w:t xml:space="preserve">review</w:t>
      </w:r>
      <w:r>
        <w:t xml:space="preserve"> </w:t>
      </w:r>
      <w:r>
        <w:t xml:space="preserve">of</w:t>
      </w:r>
      <w:r>
        <w:t xml:space="preserve"> </w:t>
      </w:r>
      <w:r>
        <w:t xml:space="preserve">whether</w:t>
      </w:r>
      <w:r>
        <w:t xml:space="preserve"> </w:t>
      </w:r>
      <w:r>
        <w:t xml:space="preserve">the</w:t>
      </w:r>
      <w:r>
        <w:t xml:space="preserve"> </w:t>
      </w:r>
      <w:r>
        <w:t xml:space="preserve">PSC’s</w:t>
      </w:r>
      <w:r>
        <w:t xml:space="preserve"> </w:t>
      </w:r>
      <w:r>
        <w:t xml:space="preserve">chosen</w:t>
      </w:r>
      <w:r>
        <w:t xml:space="preserve"> </w:t>
      </w:r>
      <w:r>
        <w:t xml:space="preserve">procedure</w:t>
      </w:r>
      <w:r>
        <w:t xml:space="preserve"> </w:t>
      </w:r>
      <w:r>
        <w:t xml:space="preserve">caused</w:t>
      </w:r>
      <w:r>
        <w:t xml:space="preserve"> </w:t>
      </w:r>
      <w:r>
        <w:t xml:space="preserve">the</w:t>
      </w:r>
      <w:r>
        <w:t xml:space="preserve"> </w:t>
      </w:r>
      <w:r>
        <w:t xml:space="preserve">absence</w:t>
      </w:r>
      <w:r>
        <w:t xml:space="preserve"> </w:t>
      </w:r>
      <w:r>
        <w:t xml:space="preserve">of</w:t>
      </w:r>
      <w:r>
        <w:t xml:space="preserve"> </w:t>
      </w:r>
      <w:r>
        <w:t xml:space="preserve">participation.</w:t>
      </w:r>
      <w:r>
        <w:t xml:space="preserve">   </w:t>
      </w:r>
      <w:r>
        <w:tab/>
      </w:r>
      <w:r>
        <w:t xml:space="preserve">7</w:t>
      </w:r>
    </w:p>
    <w:p>
      <w:pPr>
        <w:keepLines/>
        <w:tabs>
          <w:tab w:val="right" w:leader="dot" w:pos="8640"/>
        </w:tabs>
        <w:spacing w:before="168" w:after="0" w:line="276" w:lineRule="exact"/>
        <w:ind w:left="360" w:right="720" w:firstLine="0"/>
      </w:pPr>
      <w:r>
        <w:t xml:space="preserve">III.</w:t>
      </w:r>
      <w:r>
        <w:t xml:space="preserve"> </w:t>
      </w:r>
      <w:r>
        <w:t xml:space="preserve">Paragraphs</w:t>
      </w:r>
      <w:r>
        <w:t xml:space="preserve"> </w:t>
      </w:r>
      <w:r>
        <w:t xml:space="preserve">16</w:t>
      </w:r>
      <w:r>
        <w:t xml:space="preserve"> </w:t>
      </w:r>
      <w:r>
        <w:t xml:space="preserve">and</w:t>
      </w:r>
      <w:r>
        <w:t xml:space="preserve"> </w:t>
      </w:r>
      <w:r>
        <w:t xml:space="preserve">17</w:t>
      </w:r>
      <w:r>
        <w:t xml:space="preserve"> </w:t>
      </w:r>
      <w:r>
        <w:t xml:space="preserve">do</w:t>
      </w:r>
      <w:r>
        <w:t xml:space="preserve"> </w:t>
      </w:r>
      <w:r>
        <w:t xml:space="preserve">not</w:t>
      </w:r>
      <w:r>
        <w:t xml:space="preserve"> </w:t>
      </w:r>
      <w:r>
        <w:t xml:space="preserve">cure</w:t>
      </w:r>
      <w:r>
        <w:t xml:space="preserve"> </w:t>
      </w:r>
      <w:r>
        <w:t xml:space="preserve">the</w:t>
      </w:r>
      <w:r>
        <w:t xml:space="preserve"> </w:t>
      </w:r>
      <w:r>
        <w:t xml:space="preserve">procedural</w:t>
      </w:r>
      <w:r>
        <w:t xml:space="preserve"> </w:t>
      </w:r>
      <w:r>
        <w:t xml:space="preserve">bar</w:t>
      </w:r>
      <w:r>
        <w:t xml:space="preserve"> </w:t>
      </w:r>
      <w:r>
        <w:t xml:space="preserve">created</w:t>
      </w:r>
      <w:r>
        <w:t xml:space="preserve"> </w:t>
      </w:r>
      <w:r>
        <w:t xml:space="preserve">by</w:t>
      </w:r>
      <w:r>
        <w:t xml:space="preserve"> </w:t>
      </w:r>
      <w:r>
        <w:t xml:space="preserve">the</w:t>
      </w:r>
      <w:r>
        <w:t xml:space="preserve"> </w:t>
      </w:r>
      <w:r>
        <w:t xml:space="preserve">Court’s</w:t>
      </w:r>
      <w:r>
        <w:t xml:space="preserve"> </w:t>
      </w:r>
      <w:r>
        <w:t xml:space="preserve">standing</w:t>
      </w:r>
      <w:r>
        <w:t xml:space="preserve"> </w:t>
      </w:r>
      <w:r>
        <w:t xml:space="preserve">and</w:t>
      </w:r>
      <w:r>
        <w:t xml:space="preserve"> </w:t>
      </w:r>
      <w:r>
        <w:t xml:space="preserve">intervention</w:t>
      </w:r>
      <w:r>
        <w:t xml:space="preserve"> </w:t>
      </w:r>
      <w:r>
        <w:t xml:space="preserve">holdings.</w:t>
      </w:r>
      <w:r>
        <w:t xml:space="preserve">   </w:t>
      </w:r>
      <w:r>
        <w:tab/>
      </w:r>
      <w:r>
        <w:t xml:space="preserve">9</w:t>
      </w:r>
    </w:p>
    <w:p>
      <w:pPr>
        <w:keepLines/>
        <w:tabs>
          <w:tab w:val="right" w:leader="dot" w:pos="8640"/>
        </w:tabs>
        <w:spacing w:before="168" w:after="0" w:line="276" w:lineRule="exact"/>
        <w:ind w:left="0" w:right="720" w:firstLine="0"/>
      </w:pPr>
      <w:r>
        <w:t xml:space="preserve">CONCLUSION.</w:t>
      </w:r>
      <w:r>
        <w:t xml:space="preserve">   </w:t>
      </w:r>
      <w:r>
        <w:tab/>
      </w:r>
      <w:r>
        <w:t xml:space="preserve">10</w:t>
      </w:r>
    </w:p>
    <w:p>
      <w:pPr>
        <w:keepLines/>
        <w:tabs>
          <w:tab w:val="right" w:leader="dot" w:pos="8640"/>
        </w:tabs>
        <w:spacing w:before="168" w:after="0" w:line="276" w:lineRule="exact"/>
        <w:ind w:left="0" w:right="720" w:firstLine="0"/>
      </w:pPr>
      <w:r>
        <w:t xml:space="preserve">CERTIFICATE</w:t>
      </w:r>
      <w:r>
        <w:t xml:space="preserve"> </w:t>
      </w:r>
      <w:r>
        <w:t xml:space="preserve">OF</w:t>
      </w:r>
      <w:r>
        <w:t xml:space="preserve"> </w:t>
      </w:r>
      <w:r>
        <w:t xml:space="preserve">COMPLIANCE</w:t>
      </w:r>
      <w:r>
        <w:t xml:space="preserve">   </w:t>
      </w:r>
      <w:r>
        <w:tab/>
      </w:r>
      <w:r>
        <w:t xml:space="preserve">10</w:t>
      </w:r>
    </w:p>
    <w:p>
      <w:pPr>
        <w:pageBreakBefore/>
        <w:spacing w:before="0" w:after="0" w:line="1" w:lineRule="exact"/>
      </w:pPr>
    </w:p>
    <w:p>
      <w:pPr>
        <w:keepNext/>
        <w:keepLines/>
        <w:spacing w:before="0" w:after="240" w:line="276" w:lineRule="exact"/>
        <w:ind w:left="0" w:firstLine="0"/>
        <w:jc w:val="center"/>
      </w:pPr>
      <w:r>
        <w:rPr>
          <w:b/>
          <w:bCs/>
        </w:rPr>
        <w:t xml:space="preserve">TABLE</w:t>
      </w:r>
      <w:r>
        <w:rPr>
          <w:b/>
          <w:bCs/>
        </w:rPr>
        <w:t xml:space="preserve"> </w:t>
      </w:r>
      <w:r>
        <w:rPr>
          <w:b/>
          <w:bCs/>
        </w:rPr>
        <w:t xml:space="preserve">OF</w:t>
      </w:r>
      <w:r>
        <w:rPr>
          <w:b/>
          <w:bCs/>
        </w:rPr>
        <w:t xml:space="preserve"> </w:t>
      </w:r>
      <w:r>
        <w:rPr>
          <w:b/>
          <w:bCs/>
        </w:rPr>
        <w:t xml:space="preserve">AUTHORITIES</w:t>
      </w:r>
    </w:p>
    <w:p>
      <w:pPr>
        <w:keepNext/>
        <w:keepLines/>
        <w:spacing w:before="264" w:after="96" w:line="276" w:lineRule="exact"/>
        <w:ind w:left="0" w:firstLine="0"/>
        <w:jc w:val="left"/>
      </w:pPr>
      <w:r>
        <w:rPr>
          <w:b/>
          <w:bCs/>
        </w:rPr>
        <w:t xml:space="preserve">Cases</w:t>
      </w:r>
    </w:p>
    <w:p>
      <w:pPr>
        <w:keepLines/>
        <w:tabs>
          <w:tab w:val="right" w:leader="dot" w:pos="8640"/>
        </w:tabs>
        <w:spacing w:before="168" w:after="0" w:line="276" w:lineRule="exact"/>
        <w:ind w:left="720" w:right="1120" w:hanging="720"/>
      </w:pPr>
      <w:r>
        <w:rPr>
          <w:i/>
          <w:iCs/>
        </w:rPr>
        <w:t xml:space="preserve">Eckre</w:t>
      </w:r>
      <w:r>
        <w:rPr>
          <w:i/>
          <w:iCs/>
        </w:rPr>
        <w:t xml:space="preserve"> </w:t>
      </w:r>
      <w:r>
        <w:rPr>
          <w:i/>
          <w:iCs/>
        </w:rPr>
        <w:t xml:space="preserve">v.</w:t>
      </w:r>
      <w:r>
        <w:rPr>
          <w:i/>
          <w:iCs/>
        </w:rPr>
        <w:t xml:space="preserve"> </w:t>
      </w:r>
      <w:r>
        <w:rPr>
          <w:i/>
          <w:iCs/>
        </w:rPr>
        <w:t xml:space="preserve">Public</w:t>
      </w:r>
      <w:r>
        <w:rPr>
          <w:i/>
          <w:iCs/>
        </w:rPr>
        <w:t xml:space="preserve"> </w:t>
      </w:r>
      <w:r>
        <w:rPr>
          <w:i/>
          <w:iCs/>
        </w:rPr>
        <w:t xml:space="preserve">Service</w:t>
      </w:r>
      <w:r>
        <w:rPr>
          <w:i/>
          <w:iCs/>
        </w:rPr>
        <w:t xml:space="preserve"> </w:t>
      </w:r>
      <w:r>
        <w:rPr>
          <w:i/>
          <w:iCs/>
        </w:rPr>
        <w:t xml:space="preserve">Commission</w:t>
      </w:r>
      <w:r>
        <w:t xml:space="preserve">,</w:t>
      </w:r>
      <w:r>
        <w:t xml:space="preserve"> </w:t>
      </w:r>
      <w:r>
        <w:t xml:space="preserve">247</w:t>
      </w:r>
      <w:r>
        <w:t xml:space="preserve"> </w:t>
      </w:r>
      <w:r>
        <w:t xml:space="preserve">N.W.2d</w:t>
      </w:r>
      <w:r>
        <w:t xml:space="preserve"> </w:t>
      </w:r>
      <w:r>
        <w:t xml:space="preserve">656</w:t>
      </w:r>
      <w:r>
        <w:t xml:space="preserve"> </w:t>
      </w:r>
      <w:r>
        <w:t xml:space="preserve">(N.D.</w:t>
      </w:r>
      <w:r>
        <w:t xml:space="preserve"> </w:t>
      </w:r>
      <w:r>
        <w:t xml:space="preserve">1976)</w:t>
      </w:r>
      <w:r>
        <w:t xml:space="preserve">   </w:t>
      </w:r>
      <w:r>
        <w:tab/>
      </w:r>
      <w:r>
        <w:t xml:space="preserve">5</w:t>
      </w:r>
    </w:p>
    <w:p>
      <w:pPr>
        <w:keepLines/>
        <w:tabs>
          <w:tab w:val="right" w:leader="dot" w:pos="8640"/>
        </w:tabs>
        <w:spacing w:before="168" w:after="0" w:line="276" w:lineRule="exact"/>
        <w:ind w:left="720" w:right="1120" w:hanging="720"/>
      </w:pPr>
      <w:r>
        <w:rPr>
          <w:i/>
          <w:iCs/>
        </w:rPr>
        <w:t xml:space="preserve">Energy</w:t>
      </w:r>
      <w:r>
        <w:rPr>
          <w:i/>
          <w:iCs/>
        </w:rPr>
        <w:t xml:space="preserve"> </w:t>
      </w:r>
      <w:r>
        <w:rPr>
          <w:i/>
          <w:iCs/>
        </w:rPr>
        <w:t xml:space="preserve">Transfer</w:t>
      </w:r>
      <w:r>
        <w:rPr>
          <w:i/>
          <w:iCs/>
        </w:rPr>
        <w:t xml:space="preserve"> </w:t>
      </w:r>
      <w:r>
        <w:rPr>
          <w:i/>
          <w:iCs/>
        </w:rPr>
        <w:t xml:space="preserve">LP</w:t>
      </w:r>
      <w:r>
        <w:rPr>
          <w:i/>
          <w:iCs/>
        </w:rPr>
        <w:t xml:space="preserve"> </w:t>
      </w:r>
      <w:r>
        <w:rPr>
          <w:i/>
          <w:iCs/>
        </w:rPr>
        <w:t xml:space="preserve">v.</w:t>
      </w:r>
      <w:r>
        <w:rPr>
          <w:i/>
          <w:iCs/>
        </w:rPr>
        <w:t xml:space="preserve"> </w:t>
      </w:r>
      <w:r>
        <w:rPr>
          <w:i/>
          <w:iCs/>
        </w:rPr>
        <w:t xml:space="preserve">N.D.</w:t>
      </w:r>
      <w:r>
        <w:rPr>
          <w:i/>
          <w:iCs/>
        </w:rPr>
        <w:t xml:space="preserve"> </w:t>
      </w:r>
      <w:r>
        <w:rPr>
          <w:i/>
          <w:iCs/>
        </w:rPr>
        <w:t xml:space="preserve">Private</w:t>
      </w:r>
      <w:r>
        <w:rPr>
          <w:i/>
          <w:iCs/>
        </w:rPr>
        <w:t xml:space="preserve"> </w:t>
      </w:r>
      <w:r>
        <w:rPr>
          <w:i/>
          <w:iCs/>
        </w:rPr>
        <w:t xml:space="preserve">Investigative</w:t>
      </w:r>
      <w:r>
        <w:rPr>
          <w:i/>
          <w:iCs/>
        </w:rPr>
        <w:t xml:space="preserve"> </w:t>
      </w:r>
      <w:r>
        <w:rPr>
          <w:i/>
          <w:iCs/>
        </w:rPr>
        <w:t xml:space="preserve">&amp;</w:t>
      </w:r>
      <w:r>
        <w:rPr>
          <w:i/>
          <w:iCs/>
        </w:rPr>
        <w:t xml:space="preserve"> </w:t>
      </w:r>
      <w:r>
        <w:rPr>
          <w:i/>
          <w:iCs/>
        </w:rPr>
        <w:t xml:space="preserve">Security</w:t>
      </w:r>
      <w:r>
        <w:rPr>
          <w:i/>
          <w:iCs/>
        </w:rPr>
        <w:t xml:space="preserve"> </w:t>
      </w:r>
      <w:r>
        <w:rPr>
          <w:i/>
          <w:iCs/>
        </w:rPr>
        <w:t xml:space="preserve">Bd.</w:t>
      </w:r>
      <w:r>
        <w:t xml:space="preserve">,</w:t>
      </w:r>
      <w:r>
        <w:t xml:space="preserve"> </w:t>
      </w:r>
      <w:r>
        <w:t xml:space="preserve">2022</w:t>
      </w:r>
      <w:r>
        <w:t xml:space="preserve"> </w:t>
      </w:r>
      <w:r>
        <w:t xml:space="preserve">ND</w:t>
      </w:r>
      <w:r>
        <w:t xml:space="preserve"> </w:t>
      </w:r>
      <w:r>
        <w:t xml:space="preserve">85,</w:t>
      </w:r>
      <w:r>
        <w:t xml:space="preserve"> </w:t>
      </w:r>
      <w:r>
        <w:t xml:space="preserve">973</w:t>
      </w:r>
      <w:r>
        <w:t xml:space="preserve"> </w:t>
      </w:r>
      <w:r>
        <w:t xml:space="preserve">N.W.2d</w:t>
      </w:r>
      <w:r>
        <w:t xml:space="preserve"> </w:t>
      </w:r>
      <w:r>
        <w:t xml:space="preserve">394</w:t>
      </w:r>
      <w:r>
        <w:t xml:space="preserve">   </w:t>
      </w:r>
      <w:r>
        <w:tab/>
      </w:r>
      <w:r>
        <w:t xml:space="preserve">5, 7</w:t>
      </w:r>
    </w:p>
    <w:p>
      <w:pPr>
        <w:keepLines/>
        <w:tabs>
          <w:tab w:val="right" w:leader="dot" w:pos="8640"/>
        </w:tabs>
        <w:spacing w:before="168" w:after="0" w:line="276" w:lineRule="exact"/>
        <w:ind w:left="720" w:right="1120" w:hanging="720"/>
      </w:pPr>
      <w:r>
        <w:rPr>
          <w:i/>
          <w:iCs/>
        </w:rPr>
        <w:t xml:space="preserve">Minn-Kota</w:t>
      </w:r>
      <w:r>
        <w:rPr>
          <w:i/>
          <w:iCs/>
        </w:rPr>
        <w:t xml:space="preserve"> </w:t>
      </w:r>
      <w:r>
        <w:rPr>
          <w:i/>
          <w:iCs/>
        </w:rPr>
        <w:t xml:space="preserve">Ag</w:t>
      </w:r>
      <w:r>
        <w:rPr>
          <w:i/>
          <w:iCs/>
        </w:rPr>
        <w:t xml:space="preserve"> </w:t>
      </w:r>
      <w:r>
        <w:rPr>
          <w:i/>
          <w:iCs/>
        </w:rPr>
        <w:t xml:space="preserve">Prods.,</w:t>
      </w:r>
      <w:r>
        <w:rPr>
          <w:i/>
          <w:iCs/>
        </w:rPr>
        <w:t xml:space="preserve"> </w:t>
      </w:r>
      <w:r>
        <w:rPr>
          <w:i/>
          <w:iCs/>
        </w:rPr>
        <w:t xml:space="preserve">Inc.</w:t>
      </w:r>
      <w:r>
        <w:rPr>
          <w:i/>
          <w:iCs/>
        </w:rPr>
        <w:t xml:space="preserve"> </w:t>
      </w:r>
      <w:r>
        <w:rPr>
          <w:i/>
          <w:iCs/>
        </w:rPr>
        <w:t xml:space="preserve">v.</w:t>
      </w:r>
      <w:r>
        <w:rPr>
          <w:i/>
          <w:iCs/>
        </w:rPr>
        <w:t xml:space="preserve"> </w:t>
      </w:r>
      <w:r>
        <w:rPr>
          <w:i/>
          <w:iCs/>
        </w:rPr>
        <w:t xml:space="preserve">N.D.</w:t>
      </w:r>
      <w:r>
        <w:rPr>
          <w:i/>
          <w:iCs/>
        </w:rPr>
        <w:t xml:space="preserve"> </w:t>
      </w:r>
      <w:r>
        <w:rPr>
          <w:i/>
          <w:iCs/>
        </w:rPr>
        <w:t xml:space="preserve">Pub.</w:t>
      </w:r>
      <w:r>
        <w:rPr>
          <w:i/>
          <w:iCs/>
        </w:rPr>
        <w:t xml:space="preserve"> </w:t>
      </w:r>
      <w:r>
        <w:rPr>
          <w:i/>
          <w:iCs/>
        </w:rPr>
        <w:t xml:space="preserve">Serv.</w:t>
      </w:r>
      <w:r>
        <w:rPr>
          <w:i/>
          <w:iCs/>
        </w:rPr>
        <w:t xml:space="preserve"> </w:t>
      </w:r>
      <w:r>
        <w:rPr>
          <w:i/>
          <w:iCs/>
        </w:rPr>
        <w:t xml:space="preserve">Comm’n</w:t>
      </w:r>
      <w:r>
        <w:t xml:space="preserve">,</w:t>
      </w:r>
      <w:r>
        <w:t xml:space="preserve"> </w:t>
      </w:r>
      <w:r>
        <w:t xml:space="preserve">2020</w:t>
      </w:r>
      <w:r>
        <w:t xml:space="preserve"> </w:t>
      </w:r>
      <w:r>
        <w:t xml:space="preserve">ND</w:t>
      </w:r>
      <w:r>
        <w:t xml:space="preserve"> </w:t>
      </w:r>
      <w:r>
        <w:t xml:space="preserve">12,</w:t>
      </w:r>
      <w:r>
        <w:t xml:space="preserve"> </w:t>
      </w:r>
      <w:r>
        <w:t xml:space="preserve">938</w:t>
      </w:r>
      <w:r>
        <w:t xml:space="preserve"> </w:t>
      </w:r>
      <w:r>
        <w:t xml:space="preserve">N.W.2d</w:t>
      </w:r>
      <w:r>
        <w:t xml:space="preserve"> </w:t>
      </w:r>
      <w:r>
        <w:t xml:space="preserve">118</w:t>
      </w:r>
      <w:r>
        <w:t xml:space="preserve">   </w:t>
      </w:r>
      <w:r>
        <w:tab/>
      </w:r>
      <w:r>
        <w:t xml:space="preserve">5, 7</w:t>
      </w:r>
    </w:p>
    <w:p>
      <w:pPr>
        <w:keepLines/>
        <w:tabs>
          <w:tab w:val="right" w:leader="dot" w:pos="8640"/>
        </w:tabs>
        <w:spacing w:before="168" w:after="0" w:line="276" w:lineRule="exact"/>
        <w:ind w:left="720" w:right="1120" w:hanging="720"/>
      </w:pPr>
      <w:r>
        <w:rPr>
          <w:i/>
          <w:iCs/>
        </w:rPr>
        <w:t xml:space="preserve">Wano</w:t>
      </w:r>
      <w:r>
        <w:rPr>
          <w:i/>
          <w:iCs/>
        </w:rPr>
        <w:t xml:space="preserve"> </w:t>
      </w:r>
      <w:r>
        <w:rPr>
          <w:i/>
          <w:iCs/>
        </w:rPr>
        <w:t xml:space="preserve">Township</w:t>
      </w:r>
      <w:r>
        <w:rPr>
          <w:i/>
          <w:iCs/>
        </w:rPr>
        <w:t xml:space="preserve"> </w:t>
      </w:r>
      <w:r>
        <w:rPr>
          <w:i/>
          <w:iCs/>
        </w:rPr>
        <w:t xml:space="preserve">v.</w:t>
      </w:r>
      <w:r>
        <w:rPr>
          <w:i/>
          <w:iCs/>
        </w:rPr>
        <w:t xml:space="preserve"> </w:t>
      </w:r>
      <w:r>
        <w:rPr>
          <w:i/>
          <w:iCs/>
        </w:rPr>
        <w:t xml:space="preserve">N.D.</w:t>
      </w:r>
      <w:r>
        <w:rPr>
          <w:i/>
          <w:iCs/>
        </w:rPr>
        <w:t xml:space="preserve"> </w:t>
      </w:r>
      <w:r>
        <w:rPr>
          <w:i/>
          <w:iCs/>
        </w:rPr>
        <w:t xml:space="preserve">Pub.</w:t>
      </w:r>
      <w:r>
        <w:rPr>
          <w:i/>
          <w:iCs/>
        </w:rPr>
        <w:t xml:space="preserve"> </w:t>
      </w:r>
      <w:r>
        <w:rPr>
          <w:i/>
          <w:iCs/>
        </w:rPr>
        <w:t xml:space="preserve">Serv.</w:t>
      </w:r>
      <w:r>
        <w:rPr>
          <w:i/>
          <w:iCs/>
        </w:rPr>
        <w:t xml:space="preserve"> </w:t>
      </w:r>
      <w:r>
        <w:rPr>
          <w:i/>
          <w:iCs/>
        </w:rPr>
        <w:t xml:space="preserve">Comm’n</w:t>
      </w:r>
      <w:r>
        <w:t xml:space="preserve">,</w:t>
      </w:r>
      <w:r>
        <w:t xml:space="preserve"> </w:t>
      </w:r>
      <w:r>
        <w:t xml:space="preserve">2026</w:t>
      </w:r>
      <w:r>
        <w:t xml:space="preserve"> </w:t>
      </w:r>
      <w:r>
        <w:t xml:space="preserve">ND</w:t>
      </w:r>
      <w:r>
        <w:t xml:space="preserve"> </w:t>
      </w:r>
      <w:r>
        <w:t xml:space="preserve">146</w:t>
      </w:r>
      <w:r>
        <w:t xml:space="preserve">   </w:t>
      </w:r>
      <w:r>
        <w:tab/>
      </w:r>
      <w:r>
        <w:t xml:space="preserve">4, 7</w:t>
      </w:r>
    </w:p>
    <w:p>
      <w:pPr>
        <w:keepNext/>
        <w:keepLines/>
        <w:spacing w:before="264" w:after="96" w:line="276" w:lineRule="exact"/>
        <w:ind w:left="0" w:firstLine="0"/>
        <w:jc w:val="left"/>
      </w:pPr>
      <w:r>
        <w:rPr>
          <w:b/>
          <w:bCs/>
        </w:rPr>
        <w:t xml:space="preserve">Statutes</w:t>
      </w:r>
      <w:r>
        <w:rPr>
          <w:b/>
          <w:bCs/>
        </w:rPr>
        <w:t xml:space="preserve"> </w:t>
      </w:r>
      <w:r>
        <w:rPr>
          <w:b/>
          <w:bCs/>
        </w:rPr>
        <w:t xml:space="preserve">and</w:t>
      </w:r>
      <w:r>
        <w:rPr>
          <w:b/>
          <w:bCs/>
        </w:rPr>
        <w:t xml:space="preserve"> </w:t>
      </w:r>
      <w:r>
        <w:rPr>
          <w:b/>
          <w:bCs/>
        </w:rPr>
        <w:t xml:space="preserve">Rules</w:t>
      </w:r>
    </w:p>
    <w:p>
      <w:pPr>
        <w:keepLines/>
        <w:tabs>
          <w:tab w:val="right" w:leader="dot" w:pos="8640"/>
        </w:tabs>
        <w:spacing w:before="168" w:after="0" w:line="276" w:lineRule="exact"/>
        <w:ind w:left="720" w:right="1120" w:hanging="720"/>
      </w:pPr>
      <w:r>
        <w:t xml:space="preserve">N.D.C.C.</w:t>
      </w:r>
      <w:r>
        <w:t xml:space="preserve"> </w:t>
      </w:r>
      <w:r>
        <w:t xml:space="preserve">§</w:t>
      </w:r>
      <w:r>
        <w:t xml:space="preserve"> </w:t>
      </w:r>
      <w:r>
        <w:t xml:space="preserve">28-⁠32-⁠28</w:t>
      </w:r>
      <w:r>
        <w:t xml:space="preserve">   </w:t>
      </w:r>
      <w:r>
        <w:tab/>
      </w:r>
      <w:r>
        <w:t xml:space="preserve">5</w:t>
      </w:r>
    </w:p>
    <w:p>
      <w:pPr>
        <w:keepLines/>
        <w:tabs>
          <w:tab w:val="right" w:leader="dot" w:pos="8640"/>
        </w:tabs>
        <w:spacing w:before="168" w:after="0" w:line="276" w:lineRule="exact"/>
        <w:ind w:left="720" w:right="1120" w:hanging="720"/>
      </w:pPr>
      <w:r>
        <w:t xml:space="preserve">N.D.C.C.</w:t>
      </w:r>
      <w:r>
        <w:t xml:space="preserve"> </w:t>
      </w:r>
      <w:r>
        <w:t xml:space="preserve">ch.</w:t>
      </w:r>
      <w:r>
        <w:t xml:space="preserve"> </w:t>
      </w:r>
      <w:r>
        <w:t xml:space="preserve">49-⁠03</w:t>
      </w:r>
      <w:r>
        <w:t xml:space="preserve">   </w:t>
      </w:r>
      <w:r>
        <w:tab/>
      </w:r>
      <w:r>
        <w:t xml:space="preserve">4, 6, 9</w:t>
      </w:r>
    </w:p>
    <w:p>
      <w:pPr>
        <w:keepLines/>
        <w:tabs>
          <w:tab w:val="right" w:leader="dot" w:pos="8640"/>
        </w:tabs>
        <w:spacing w:before="168" w:after="0" w:line="276" w:lineRule="exact"/>
        <w:ind w:left="720" w:right="1120" w:hanging="720"/>
      </w:pPr>
      <w:r>
        <w:t xml:space="preserve">N.D.C.C.</w:t>
      </w:r>
      <w:r>
        <w:t xml:space="preserve"> </w:t>
      </w:r>
      <w:r>
        <w:t xml:space="preserve">ch.</w:t>
      </w:r>
      <w:r>
        <w:t xml:space="preserve"> </w:t>
      </w:r>
      <w:r>
        <w:t xml:space="preserve">49-⁠22</w:t>
      </w:r>
      <w:r>
        <w:t xml:space="preserve">   </w:t>
      </w:r>
      <w:r>
        <w:tab/>
      </w:r>
      <w:r>
        <w:t xml:space="preserve">4, 6, 7, 9</w:t>
      </w:r>
    </w:p>
    <w:p>
      <w:pPr>
        <w:keepLines/>
        <w:tabs>
          <w:tab w:val="right" w:leader="dot" w:pos="8640"/>
        </w:tabs>
        <w:spacing w:before="168" w:after="0" w:line="276" w:lineRule="exact"/>
        <w:ind w:left="720" w:right="1120" w:hanging="720"/>
      </w:pPr>
      <w:r>
        <w:t xml:space="preserve">N.D.C.C.</w:t>
      </w:r>
      <w:r>
        <w:t xml:space="preserve"> </w:t>
      </w:r>
      <w:r>
        <w:t xml:space="preserve">§§</w:t>
      </w:r>
      <w:r>
        <w:t xml:space="preserve"> </w:t>
      </w:r>
      <w:r>
        <w:t xml:space="preserve">49-⁠22-⁠08,</w:t>
      </w:r>
      <w:r>
        <w:t xml:space="preserve"> </w:t>
      </w:r>
      <w:r>
        <w:t xml:space="preserve">-⁠09</w:t>
      </w:r>
      <w:r>
        <w:t xml:space="preserve">   </w:t>
      </w:r>
      <w:r>
        <w:tab/>
      </w:r>
      <w:r>
        <w:t xml:space="preserve">6</w:t>
      </w:r>
    </w:p>
    <w:p>
      <w:pPr>
        <w:keepLines/>
        <w:tabs>
          <w:tab w:val="right" w:leader="dot" w:pos="8640"/>
        </w:tabs>
        <w:spacing w:before="168" w:after="0" w:line="276" w:lineRule="exact"/>
        <w:ind w:left="720" w:right="1120" w:hanging="720"/>
      </w:pPr>
      <w:r>
        <w:t xml:space="preserve">N.D.A.C.</w:t>
      </w:r>
      <w:r>
        <w:t xml:space="preserve"> </w:t>
      </w:r>
      <w:r>
        <w:t xml:space="preserve">§</w:t>
      </w:r>
      <w:r>
        <w:t xml:space="preserve"> </w:t>
      </w:r>
      <w:r>
        <w:t xml:space="preserve">69-⁠02-⁠02-⁠05(2)</w:t>
      </w:r>
      <w:r>
        <w:t xml:space="preserve">   </w:t>
      </w:r>
      <w:r>
        <w:tab/>
      </w:r>
      <w:r>
        <w:t xml:space="preserve">5</w:t>
      </w:r>
    </w:p>
    <w:p>
      <w:pPr>
        <w:keepLines/>
        <w:tabs>
          <w:tab w:val="right" w:leader="dot" w:pos="8640"/>
        </w:tabs>
        <w:spacing w:before="168" w:after="0" w:line="276" w:lineRule="exact"/>
        <w:ind w:left="720" w:right="1120" w:hanging="720"/>
      </w:pPr>
      <w:r>
        <w:t xml:space="preserve">N.D.R.App.P.</w:t>
      </w:r>
      <w:r>
        <w:t xml:space="preserve"> </w:t>
      </w:r>
      <w:r>
        <w:t xml:space="preserve">32(d)</w:t>
      </w:r>
      <w:r>
        <w:t xml:space="preserve">   </w:t>
      </w:r>
      <w:r>
        <w:tab/>
      </w:r>
      <w:r>
        <w:t xml:space="preserve">10</w:t>
      </w:r>
    </w:p>
    <w:p>
      <w:pPr>
        <w:keepLines/>
        <w:tabs>
          <w:tab w:val="right" w:leader="dot" w:pos="8640"/>
        </w:tabs>
        <w:spacing w:before="168" w:after="0" w:line="276" w:lineRule="exact"/>
        <w:ind w:left="720" w:right="1120" w:hanging="720"/>
      </w:pPr>
      <w:r>
        <w:t xml:space="preserve">N.D.R.App.P.</w:t>
      </w:r>
      <w:r>
        <w:t xml:space="preserve"> </w:t>
      </w:r>
      <w:r>
        <w:t xml:space="preserve">40</w:t>
      </w:r>
      <w:r>
        <w:t xml:space="preserve">   </w:t>
      </w:r>
      <w:r>
        <w:tab/>
      </w:r>
      <w:r>
        <w:t xml:space="preserve">4</w:t>
      </w:r>
    </w:p>
    <w:p>
      <w:pPr>
        <w:pageBreakBefore/>
        <w:spacing w:before="0" w:after="0" w:line="1" w:lineRule="exact"/>
      </w:pPr>
    </w:p>
    <w:p>
      <w:pPr>
        <w:keepNext/>
        <w:keepLines/>
        <w:spacing w:before="0" w:after="240" w:line="276" w:lineRule="exact"/>
        <w:ind w:left="0" w:firstLine="0"/>
        <w:jc w:val="center"/>
      </w:pPr>
      <w:r>
        <w:rPr>
          <w:b/>
          <w:bCs/>
        </w:rPr>
        <w:t xml:space="preserve">ISSUE</w:t>
      </w:r>
      <w:r>
        <w:rPr>
          <w:b/>
          <w:bCs/>
        </w:rPr>
        <w:t xml:space="preserve"> </w:t>
      </w:r>
      <w:r>
        <w:rPr>
          <w:b/>
          <w:bCs/>
        </w:rPr>
        <w:t xml:space="preserve">PRESENTED.</w:t>
      </w:r>
    </w:p>
    <w:p>
      <w:pPr>
        <w:pStyle w:val="BodyText"/>
      </w:pPr>
      <w:r>
        <w:t xml:space="preserve">[¶1] Whether the Court overlooked or misapprehended the need to determine whether Chapter 49-⁠22</w:t>
      </w:r>
      <w:r>
        <w:t xml:space="preserve"> </w:t>
      </w:r>
      <w:r>
        <w:t xml:space="preserve">or Chapter 49-⁠03</w:t>
      </w:r>
      <w:r>
        <w:t xml:space="preserve"> </w:t>
      </w:r>
      <w:r>
        <w:t xml:space="preserve">governed the public-need proceeding before deciding whether publication notice was legally sufficient, whether Appellants established good cause for intervention, and whether their resulting nonparticipation could bar judicial review.</w:t>
      </w:r>
    </w:p>
    <w:p>
      <w:pPr>
        <w:pStyle w:val="BodyText"/>
      </w:pPr>
      <w:r>
        <w:t xml:space="preserve">[¶2] Appellants seek rehearing under N.D.R.App.P. 40</w:t>
      </w:r>
      <w:r>
        <w:t xml:space="preserve"> </w:t>
      </w:r>
      <w:r>
        <w:t xml:space="preserve">because the opinion’s standing and intervention holdings create a procedural catch-⁠22 that the Court did not address. This petition does not attempt to repeat every statutory and merits argument presented in Appellants’ briefs. It identifies a discrete flaw in the reasoning of paragraphs 11, 16, and 17.</w:t>
      </w:r>
    </w:p>
    <w:p>
      <w:pPr>
        <w:pStyle w:val="BodyText"/>
      </w:pPr>
      <w:r>
        <w:t xml:space="preserve">[¶3] The Court held that Appellants lacked standing to challenge the certificate of public convenience and necessity because they did not participate before the PSC issued it.</w:t>
      </w:r>
      <w:r>
        <w:t xml:space="preserve"> </w:t>
      </w:r>
      <w:r>
        <w:rPr>
          <w:i/>
          <w:iCs/>
        </w:rPr>
        <w:t xml:space="preserve">Wano Township</w:t>
      </w:r>
      <w:r>
        <w:rPr>
          <w:i/>
          <w:iCs/>
        </w:rPr>
        <w:t xml:space="preserve"> </w:t>
      </w:r>
      <w:r>
        <w:rPr>
          <w:i/>
          <w:iCs/>
        </w:rPr>
        <w:t xml:space="preserve">v. N.D. Pub. Serv. Comm’n</w:t>
      </w:r>
      <w:r>
        <w:t xml:space="preserve">, 2026 ND 146, ¶ 11. Appellants’ explanation for that nonparticipation was that the PSC used Chapter 49-⁠03,</w:t>
      </w:r>
      <w:r>
        <w:t xml:space="preserve"> </w:t>
      </w:r>
      <w:r>
        <w:t xml:space="preserve">with publication notice, rather than Chapter 49-⁠22,</w:t>
      </w:r>
      <w:r>
        <w:t xml:space="preserve"> </w:t>
      </w:r>
      <w:r>
        <w:t xml:space="preserve">which they argued required a project-specific application, direct notice to affected landowners, local hearings, evidence, and findings with reasons.</w:t>
      </w:r>
      <w:r>
        <w:t xml:space="preserve"> </w:t>
      </w:r>
      <w:r>
        <w:rPr>
          <w:i/>
          <w:iCs/>
        </w:rPr>
        <w:t xml:space="preserve">See</w:t>
      </w:r>
      <w:r>
        <w:t xml:space="preserve"> </w:t>
      </w:r>
      <w:r>
        <w:t xml:space="preserve">Appellants’ Brief, Arguments I, III, and V; Appellants’ Reply Brief, ¶¶ 2-⁠7, 26-⁠34.</w:t>
      </w:r>
    </w:p>
    <w:p>
      <w:pPr>
        <w:pStyle w:val="BodyText"/>
      </w:pPr>
      <w:r>
        <w:t xml:space="preserve">[¶4] The Court nevertheless declined to determine which statutory provisions governed.</w:t>
      </w:r>
      <w:r>
        <w:t xml:space="preserve"> </w:t>
      </w:r>
      <w:r>
        <w:rPr>
          <w:i/>
          <w:iCs/>
        </w:rPr>
        <w:t xml:space="preserve">Wano Township</w:t>
      </w:r>
      <w:r>
        <w:t xml:space="preserve">, ¶ 16. It then held that publication notice was sufficient and that the lack of notice did not establish good cause for intervention.</w:t>
      </w:r>
      <w:r>
        <w:t xml:space="preserve"> </w:t>
      </w:r>
      <w:r>
        <w:rPr>
          <w:i/>
          <w:iCs/>
        </w:rPr>
        <w:t xml:space="preserve">Id.</w:t>
      </w:r>
      <w:r>
        <w:t xml:space="preserve"> </w:t>
      </w:r>
      <w:r>
        <w:t xml:space="preserve">¶ 17. Thus, Appellants were denied review because they did not participate, without the Court deciding whether the PSC’s use of the disputed statutory process deprived them of the notice and opportunity necessary to participate.</w:t>
      </w:r>
    </w:p>
    <w:p>
      <w:pPr>
        <w:keepNext/>
        <w:keepLines/>
        <w:spacing w:before="288" w:after="240" w:line="276" w:lineRule="exact"/>
        <w:ind w:left="0" w:firstLine="0"/>
        <w:jc w:val="center"/>
      </w:pPr>
      <w:r>
        <w:rPr>
          <w:b/>
          <w:bCs/>
        </w:rPr>
        <w:t xml:space="preserve">ARGUMENT.</w:t>
      </w:r>
    </w:p>
    <w:p>
      <w:pPr>
        <w:keepNext/>
        <w:keepLines/>
        <w:spacing w:before="240" w:after="192" w:line="276" w:lineRule="exact"/>
        <w:ind w:left="720" w:hanging="720"/>
        <w:jc w:val="left"/>
      </w:pPr>
      <w:r>
        <w:rPr>
          <w:b/>
          <w:bCs/>
        </w:rPr>
        <w:t xml:space="preserve">I.</w:t>
      </w:r>
      <w:r>
        <w:rPr>
          <w:b/>
          <w:bCs/>
        </w:rPr>
        <w:t xml:space="preserve"> </w:t>
      </w:r>
      <w:r>
        <w:rPr>
          <w:b/>
          <w:bCs/>
        </w:rPr>
        <w:t xml:space="preserve">The</w:t>
      </w:r>
      <w:r>
        <w:rPr>
          <w:b/>
          <w:bCs/>
        </w:rPr>
        <w:t xml:space="preserve"> </w:t>
      </w:r>
      <w:r>
        <w:rPr>
          <w:b/>
          <w:bCs/>
        </w:rPr>
        <w:t xml:space="preserve">Court</w:t>
      </w:r>
      <w:r>
        <w:rPr>
          <w:b/>
          <w:bCs/>
        </w:rPr>
        <w:t xml:space="preserve"> </w:t>
      </w:r>
      <w:r>
        <w:rPr>
          <w:b/>
          <w:bCs/>
        </w:rPr>
        <w:t xml:space="preserve">overlooked</w:t>
      </w:r>
      <w:r>
        <w:rPr>
          <w:b/>
          <w:bCs/>
        </w:rPr>
        <w:t xml:space="preserve"> </w:t>
      </w:r>
      <w:r>
        <w:rPr>
          <w:b/>
          <w:bCs/>
        </w:rPr>
        <w:t xml:space="preserve">that</w:t>
      </w:r>
      <w:r>
        <w:rPr>
          <w:b/>
          <w:bCs/>
        </w:rPr>
        <w:t xml:space="preserve"> </w:t>
      </w:r>
      <w:r>
        <w:rPr>
          <w:b/>
          <w:bCs/>
        </w:rPr>
        <w:t xml:space="preserve">the</w:t>
      </w:r>
      <w:r>
        <w:rPr>
          <w:b/>
          <w:bCs/>
        </w:rPr>
        <w:t xml:space="preserve"> </w:t>
      </w:r>
      <w:r>
        <w:rPr>
          <w:b/>
          <w:bCs/>
        </w:rPr>
        <w:t xml:space="preserve">governing</w:t>
      </w:r>
      <w:r>
        <w:rPr>
          <w:b/>
          <w:bCs/>
        </w:rPr>
        <w:t xml:space="preserve"> </w:t>
      </w:r>
      <w:r>
        <w:rPr>
          <w:b/>
          <w:bCs/>
        </w:rPr>
        <w:t xml:space="preserve">statutory</w:t>
      </w:r>
      <w:r>
        <w:rPr>
          <w:b/>
          <w:bCs/>
        </w:rPr>
        <w:t xml:space="preserve"> </w:t>
      </w:r>
      <w:r>
        <w:rPr>
          <w:b/>
          <w:bCs/>
        </w:rPr>
        <w:t xml:space="preserve">framework</w:t>
      </w:r>
      <w:r>
        <w:rPr>
          <w:b/>
          <w:bCs/>
        </w:rPr>
        <w:t xml:space="preserve"> </w:t>
      </w:r>
      <w:r>
        <w:rPr>
          <w:b/>
          <w:bCs/>
        </w:rPr>
        <w:t xml:space="preserve">was</w:t>
      </w:r>
      <w:r>
        <w:rPr>
          <w:b/>
          <w:bCs/>
        </w:rPr>
        <w:t xml:space="preserve"> </w:t>
      </w:r>
      <w:r>
        <w:rPr>
          <w:b/>
          <w:bCs/>
        </w:rPr>
        <w:t xml:space="preserve">logically</w:t>
      </w:r>
      <w:r>
        <w:rPr>
          <w:b/>
          <w:bCs/>
        </w:rPr>
        <w:t xml:space="preserve"> </w:t>
      </w:r>
      <w:r>
        <w:rPr>
          <w:b/>
          <w:bCs/>
        </w:rPr>
        <w:t xml:space="preserve">antecedent</w:t>
      </w:r>
      <w:r>
        <w:rPr>
          <w:b/>
          <w:bCs/>
        </w:rPr>
        <w:t xml:space="preserve"> </w:t>
      </w:r>
      <w:r>
        <w:rPr>
          <w:b/>
          <w:bCs/>
        </w:rPr>
        <w:t xml:space="preserve">to</w:t>
      </w:r>
      <w:r>
        <w:rPr>
          <w:b/>
          <w:bCs/>
        </w:rPr>
        <w:t xml:space="preserve"> </w:t>
      </w:r>
      <w:r>
        <w:rPr>
          <w:b/>
          <w:bCs/>
        </w:rPr>
        <w:t xml:space="preserve">its</w:t>
      </w:r>
      <w:r>
        <w:rPr>
          <w:b/>
          <w:bCs/>
        </w:rPr>
        <w:t xml:space="preserve"> </w:t>
      </w:r>
      <w:r>
        <w:rPr>
          <w:b/>
          <w:bCs/>
        </w:rPr>
        <w:t xml:space="preserve">determination</w:t>
      </w:r>
      <w:r>
        <w:rPr>
          <w:b/>
          <w:bCs/>
        </w:rPr>
        <w:t xml:space="preserve"> </w:t>
      </w:r>
      <w:r>
        <w:rPr>
          <w:b/>
          <w:bCs/>
        </w:rPr>
        <w:t xml:space="preserve">of</w:t>
      </w:r>
      <w:r>
        <w:rPr>
          <w:b/>
          <w:bCs/>
        </w:rPr>
        <w:t xml:space="preserve"> </w:t>
      </w:r>
      <w:r>
        <w:rPr>
          <w:b/>
          <w:bCs/>
        </w:rPr>
        <w:t xml:space="preserve">notice</w:t>
      </w:r>
      <w:r>
        <w:rPr>
          <w:b/>
          <w:bCs/>
        </w:rPr>
        <w:t xml:space="preserve"> </w:t>
      </w:r>
      <w:r>
        <w:rPr>
          <w:b/>
          <w:bCs/>
        </w:rPr>
        <w:t xml:space="preserve">and</w:t>
      </w:r>
      <w:r>
        <w:rPr>
          <w:b/>
          <w:bCs/>
        </w:rPr>
        <w:t xml:space="preserve"> </w:t>
      </w:r>
      <w:r>
        <w:rPr>
          <w:b/>
          <w:bCs/>
        </w:rPr>
        <w:t xml:space="preserve">good</w:t>
      </w:r>
      <w:r>
        <w:rPr>
          <w:b/>
          <w:bCs/>
        </w:rPr>
        <w:t xml:space="preserve"> </w:t>
      </w:r>
      <w:r>
        <w:rPr>
          <w:b/>
          <w:bCs/>
        </w:rPr>
        <w:t xml:space="preserve">cause.</w:t>
      </w:r>
    </w:p>
    <w:p>
      <w:pPr>
        <w:pStyle w:val="BodyText"/>
      </w:pPr>
      <w:r>
        <w:t xml:space="preserve">[¶5] The opinion itself recognizes that an agency abuses its discretion when it</w:t>
      </w:r>
      <w:r>
        <w:t xml:space="preserve"> </w:t>
      </w:r>
      <w:r>
        <w:t xml:space="preserve">“misinterprets or misapplies the law.”</w:t>
      </w:r>
      <w:r>
        <w:t xml:space="preserve"> </w:t>
      </w:r>
      <w:r>
        <w:rPr>
          <w:i/>
          <w:iCs/>
        </w:rPr>
        <w:t xml:space="preserve">Id.</w:t>
      </w:r>
      <w:r>
        <w:t xml:space="preserve"> </w:t>
      </w:r>
      <w:r>
        <w:t xml:space="preserve">¶ 15 (quoting</w:t>
      </w:r>
      <w:r>
        <w:t xml:space="preserve"> </w:t>
      </w:r>
      <w:r>
        <w:rPr>
          <w:i/>
          <w:iCs/>
        </w:rPr>
        <w:t xml:space="preserve">Energy Transfer</w:t>
      </w:r>
      <w:r>
        <w:rPr>
          <w:i/>
          <w:iCs/>
        </w:rPr>
        <w:t xml:space="preserve"> </w:t>
      </w:r>
      <w:r>
        <w:rPr>
          <w:i/>
          <w:iCs/>
        </w:rPr>
        <w:t xml:space="preserve">LP v. N.D. Private Investigative &amp; Security Board</w:t>
      </w:r>
      <w:r>
        <w:t xml:space="preserve">, 2022 ND 85, ¶ 15, 973 N.W.2d 394). N.D.C.C. § 28-⁠32-⁠28</w:t>
      </w:r>
      <w:r>
        <w:t xml:space="preserve"> </w:t>
      </w:r>
      <w:r>
        <w:t xml:space="preserve">also directs that intervention may be allowed to promote the interests of justice when the petitioner’s legal interests may be substantially affected and intervention will not impair the orderly conduct of the proceeding. Determining whether the PSC misapplied the law in rejecting Appellants’ notice argument necessarily required identifying the law governing the proceeding.</w:t>
      </w:r>
    </w:p>
    <w:p>
      <w:pPr>
        <w:pStyle w:val="BodyText"/>
      </w:pPr>
      <w:r>
        <w:t xml:space="preserve">[¶6] The same is true of</w:t>
      </w:r>
      <w:r>
        <w:t xml:space="preserve"> </w:t>
      </w:r>
      <w:r>
        <w:t xml:space="preserve">“good cause.”</w:t>
      </w:r>
      <w:r>
        <w:t xml:space="preserve"> </w:t>
      </w:r>
      <w:r>
        <w:t xml:space="preserve">Under the PSC’s rule, a late intervention petition requires good cause. N.D.A.C. § 69-⁠02-⁠02-⁠05(2).</w:t>
      </w:r>
      <w:r>
        <w:t xml:space="preserve"> </w:t>
      </w:r>
      <w:r>
        <w:t xml:space="preserve">This Court has defined good cause as a showing why intervention should be allowed late</w:t>
      </w:r>
      <w:r>
        <w:t xml:space="preserve"> </w:t>
      </w:r>
      <w:r>
        <w:t xml:space="preserve">“under the circumstances.”</w:t>
      </w:r>
      <w:r>
        <w:t xml:space="preserve"> </w:t>
      </w:r>
      <w:r>
        <w:rPr>
          <w:i/>
          <w:iCs/>
        </w:rPr>
        <w:t xml:space="preserve">Minn-Kota</w:t>
      </w:r>
      <w:r>
        <w:rPr>
          <w:i/>
          <w:iCs/>
        </w:rPr>
        <w:t xml:space="preserve"> </w:t>
      </w:r>
      <w:r>
        <w:rPr>
          <w:i/>
          <w:iCs/>
        </w:rPr>
        <w:t xml:space="preserve">Ag Products, Inc. v. N.D. Public Service Commission</w:t>
      </w:r>
      <w:r>
        <w:t xml:space="preserve">, 2020 ND 12, ¶ 42, 938 N.W.2d 118. The most important disputed circumstance was whether the PSC had selected a statutory process that omitted the notice and hearing protections applicable to this 345-kV transmission facility.</w:t>
      </w:r>
    </w:p>
    <w:p>
      <w:pPr>
        <w:pStyle w:val="BodyText"/>
      </w:pPr>
      <w:r>
        <w:t xml:space="preserve">[¶7] Paragraph 17 relies on</w:t>
      </w:r>
      <w:r>
        <w:t xml:space="preserve"> </w:t>
      </w:r>
      <w:r>
        <w:rPr>
          <w:i/>
          <w:iCs/>
        </w:rPr>
        <w:t xml:space="preserve">Eckre</w:t>
      </w:r>
      <w:r>
        <w:rPr>
          <w:i/>
          <w:iCs/>
        </w:rPr>
        <w:t xml:space="preserve"> </w:t>
      </w:r>
      <w:r>
        <w:rPr>
          <w:i/>
          <w:iCs/>
        </w:rPr>
        <w:t xml:space="preserve">v. Public Service Commission</w:t>
      </w:r>
      <w:r>
        <w:t xml:space="preserve">, 247 N.W.2d 656, 664 (N.D. 1976), for the proposition that the reasonableness of notice depends on the</w:t>
      </w:r>
      <w:r>
        <w:t xml:space="preserve"> </w:t>
      </w:r>
      <w:r>
        <w:t xml:space="preserve">“scope and nature of the hearing.”</w:t>
      </w:r>
      <w:r>
        <w:t xml:space="preserve"> </w:t>
      </w:r>
      <w:r>
        <w:t xml:space="preserve">But the scope and nature of the legally required hearing was the very issue the Court declined to decide.</w:t>
      </w:r>
    </w:p>
    <w:p>
      <w:pPr>
        <w:pStyle w:val="BodyText"/>
      </w:pPr>
      <w:r>
        <w:t xml:space="preserve">[¶8] If Chapter 49-⁠03</w:t>
      </w:r>
      <w:r>
        <w:t xml:space="preserve"> </w:t>
      </w:r>
      <w:r>
        <w:t xml:space="preserve">supplied the governing framework, publication notice may have been the applicable statutory procedure. If Chapter 49-⁠22</w:t>
      </w:r>
      <w:r>
        <w:t xml:space="preserve"> </w:t>
      </w:r>
      <w:r>
        <w:t xml:space="preserve">governed the determination of public need, the Legislature prescribed a materially different process: an application explaining the need for the facility, notice directed to affected interests, hearings in the affected area, an opportunity to present evidence, and findings with reasons.</w:t>
      </w:r>
      <w:r>
        <w:t xml:space="preserve"> </w:t>
      </w:r>
      <w:r>
        <w:rPr>
          <w:i/>
          <w:iCs/>
        </w:rPr>
        <w:t xml:space="preserve">See</w:t>
      </w:r>
      <w:r>
        <w:t xml:space="preserve"> </w:t>
      </w:r>
      <w:r>
        <w:t xml:space="preserve">N.D.C.C. §§ 49-⁠22-⁠08</w:t>
      </w:r>
      <w:r>
        <w:t xml:space="preserve"> </w:t>
      </w:r>
      <w:r>
        <w:t xml:space="preserve">and 49-⁠22-⁠09.</w:t>
      </w:r>
    </w:p>
    <w:p>
      <w:pPr>
        <w:pStyle w:val="BodyText"/>
      </w:pPr>
      <w:r>
        <w:t xml:space="preserve">[¶9] Paragraph 17 describes the</w:t>
      </w:r>
      <w:r>
        <w:t xml:space="preserve"> </w:t>
      </w:r>
      <w:r>
        <w:t xml:space="preserve">“main purpose”</w:t>
      </w:r>
      <w:r>
        <w:t xml:space="preserve"> </w:t>
      </w:r>
      <w:r>
        <w:t xml:space="preserve">of the Chapter 49-⁠03</w:t>
      </w:r>
      <w:r>
        <w:t xml:space="preserve"> </w:t>
      </w:r>
      <w:r>
        <w:t xml:space="preserve">proceeding as determining whether the project served the public interest and concludes that publication notice was consistent with that purpose. But that reasoning assumes that the PSC could lawfully conduct the public-need determination under Chapter 49-⁠03.</w:t>
      </w:r>
      <w:r>
        <w:t xml:space="preserve"> </w:t>
      </w:r>
      <w:r>
        <w:t xml:space="preserve">It therefore assumes the answer to the statutory question that paragraph 16 declined to decide.</w:t>
      </w:r>
    </w:p>
    <w:p>
      <w:pPr>
        <w:pStyle w:val="BodyText"/>
      </w:pPr>
      <w:r>
        <w:t xml:space="preserve">[¶10] Appellants were not arguing merely that the newspaper notices were insufficiently descriptive. Their argument was that the PSC used the wrong statutory proceeding and thereby bypassed the project-specific notice, hearing, evidentiary, and decisional procedures prescribed for a new high-voltage transmission facility. The legal sufficiency of notice could not be assessed in the abstract, apart from the statute governing the proceeding.</w:t>
      </w:r>
    </w:p>
    <w:p>
      <w:pPr>
        <w:pStyle w:val="BodyText"/>
      </w:pPr>
      <w:r>
        <w:t xml:space="preserve">[¶11] The Court did not need to decide every question concerning the ultimate validity of the CPCN to resolve the intervention appeal. It could determine whether Chapter 49-⁠22</w:t>
      </w:r>
      <w:r>
        <w:t xml:space="preserve"> </w:t>
      </w:r>
      <w:r>
        <w:t xml:space="preserve">governed the public-need process for purposes of deciding whether the PSC applied the correct legal standard to notice and good cause. Alternatively, it could remand for the PSC to address intervention under the correct statutory framework.</w:t>
      </w:r>
    </w:p>
    <w:p>
      <w:pPr>
        <w:pStyle w:val="BodyText"/>
      </w:pPr>
      <w:r>
        <w:t xml:space="preserve">[¶12] Because an abuse of discretion includes a misapplication of law, the Court could not affirm the intervention ruling without resolving the legal premise on which that ruling depended.</w:t>
      </w:r>
      <w:r>
        <w:t xml:space="preserve"> </w:t>
      </w:r>
      <w:r>
        <w:rPr>
          <w:i/>
          <w:iCs/>
        </w:rPr>
        <w:t xml:space="preserve">See Energy Transfer</w:t>
      </w:r>
      <w:r>
        <w:t xml:space="preserve">, ¶ 15. Publication notice could defeat good cause only if publication was the legally applicable notice procedure.</w:t>
      </w:r>
    </w:p>
    <w:p>
      <w:pPr>
        <w:pStyle w:val="BodyText"/>
      </w:pPr>
      <w:r>
        <w:t xml:space="preserve">[¶13] Rehearing is therefore warranted to correct the conclusion in paragraph 16 that the governing-statute question was unnecessary to review of the intervention ruling.</w:t>
      </w:r>
    </w:p>
    <w:p>
      <w:pPr>
        <w:keepNext/>
        <w:keepLines/>
        <w:spacing w:before="240" w:after="192" w:line="276" w:lineRule="exact"/>
        <w:ind w:left="720" w:hanging="720"/>
        <w:jc w:val="left"/>
      </w:pPr>
      <w:r>
        <w:rPr>
          <w:b/>
          <w:bCs/>
        </w:rPr>
        <w:t xml:space="preserve">II.</w:t>
      </w:r>
      <w:r>
        <w:rPr>
          <w:b/>
          <w:bCs/>
        </w:rPr>
        <w:t xml:space="preserve"> </w:t>
      </w:r>
      <w:r>
        <w:rPr>
          <w:b/>
          <w:bCs/>
        </w:rPr>
        <w:t xml:space="preserve">The</w:t>
      </w:r>
      <w:r>
        <w:rPr>
          <w:b/>
          <w:bCs/>
        </w:rPr>
        <w:t xml:space="preserve"> </w:t>
      </w:r>
      <w:r>
        <w:rPr>
          <w:b/>
          <w:bCs/>
        </w:rPr>
        <w:t xml:space="preserve">Court’s</w:t>
      </w:r>
      <w:r>
        <w:rPr>
          <w:b/>
          <w:bCs/>
        </w:rPr>
        <w:t xml:space="preserve"> </w:t>
      </w:r>
      <w:r>
        <w:rPr>
          <w:b/>
          <w:bCs/>
        </w:rPr>
        <w:t xml:space="preserve">paired</w:t>
      </w:r>
      <w:r>
        <w:rPr>
          <w:b/>
          <w:bCs/>
        </w:rPr>
        <w:t xml:space="preserve"> </w:t>
      </w:r>
      <w:r>
        <w:rPr>
          <w:b/>
          <w:bCs/>
        </w:rPr>
        <w:t xml:space="preserve">holdings</w:t>
      </w:r>
      <w:r>
        <w:rPr>
          <w:b/>
          <w:bCs/>
        </w:rPr>
        <w:t xml:space="preserve"> </w:t>
      </w:r>
      <w:r>
        <w:rPr>
          <w:b/>
          <w:bCs/>
        </w:rPr>
        <w:t xml:space="preserve">create</w:t>
      </w:r>
      <w:r>
        <w:rPr>
          <w:b/>
          <w:bCs/>
        </w:rPr>
        <w:t xml:space="preserve"> </w:t>
      </w:r>
      <w:r>
        <w:rPr>
          <w:b/>
          <w:bCs/>
        </w:rPr>
        <w:t xml:space="preserve">a</w:t>
      </w:r>
      <w:r>
        <w:rPr>
          <w:b/>
          <w:bCs/>
        </w:rPr>
        <w:t xml:space="preserve"> </w:t>
      </w:r>
      <w:r>
        <w:rPr>
          <w:b/>
          <w:bCs/>
        </w:rPr>
        <w:t xml:space="preserve">procedural</w:t>
      </w:r>
      <w:r>
        <w:rPr>
          <w:b/>
          <w:bCs/>
        </w:rPr>
        <w:t xml:space="preserve"> </w:t>
      </w:r>
      <w:r>
        <w:rPr>
          <w:b/>
          <w:bCs/>
        </w:rPr>
        <w:t xml:space="preserve">catch-⁠22</w:t>
      </w:r>
      <w:r>
        <w:rPr>
          <w:b/>
          <w:bCs/>
        </w:rPr>
        <w:t xml:space="preserve"> </w:t>
      </w:r>
      <w:r>
        <w:rPr>
          <w:b/>
          <w:bCs/>
        </w:rPr>
        <w:t xml:space="preserve">that</w:t>
      </w:r>
      <w:r>
        <w:rPr>
          <w:b/>
          <w:bCs/>
        </w:rPr>
        <w:t xml:space="preserve"> </w:t>
      </w:r>
      <w:r>
        <w:rPr>
          <w:b/>
          <w:bCs/>
        </w:rPr>
        <w:t xml:space="preserve">prevents</w:t>
      </w:r>
      <w:r>
        <w:rPr>
          <w:b/>
          <w:bCs/>
        </w:rPr>
        <w:t xml:space="preserve"> </w:t>
      </w:r>
      <w:r>
        <w:rPr>
          <w:b/>
          <w:bCs/>
        </w:rPr>
        <w:t xml:space="preserve">review</w:t>
      </w:r>
      <w:r>
        <w:rPr>
          <w:b/>
          <w:bCs/>
        </w:rPr>
        <w:t xml:space="preserve"> </w:t>
      </w:r>
      <w:r>
        <w:rPr>
          <w:b/>
          <w:bCs/>
        </w:rPr>
        <w:t xml:space="preserve">of</w:t>
      </w:r>
      <w:r>
        <w:rPr>
          <w:b/>
          <w:bCs/>
        </w:rPr>
        <w:t xml:space="preserve"> </w:t>
      </w:r>
      <w:r>
        <w:rPr>
          <w:b/>
          <w:bCs/>
        </w:rPr>
        <w:t xml:space="preserve">whether</w:t>
      </w:r>
      <w:r>
        <w:rPr>
          <w:b/>
          <w:bCs/>
        </w:rPr>
        <w:t xml:space="preserve"> </w:t>
      </w:r>
      <w:r>
        <w:rPr>
          <w:b/>
          <w:bCs/>
        </w:rPr>
        <w:t xml:space="preserve">the</w:t>
      </w:r>
      <w:r>
        <w:rPr>
          <w:b/>
          <w:bCs/>
        </w:rPr>
        <w:t xml:space="preserve"> </w:t>
      </w:r>
      <w:r>
        <w:rPr>
          <w:b/>
          <w:bCs/>
        </w:rPr>
        <w:t xml:space="preserve">PSC’s</w:t>
      </w:r>
      <w:r>
        <w:rPr>
          <w:b/>
          <w:bCs/>
        </w:rPr>
        <w:t xml:space="preserve"> </w:t>
      </w:r>
      <w:r>
        <w:rPr>
          <w:b/>
          <w:bCs/>
        </w:rPr>
        <w:t xml:space="preserve">chosen</w:t>
      </w:r>
      <w:r>
        <w:rPr>
          <w:b/>
          <w:bCs/>
        </w:rPr>
        <w:t xml:space="preserve"> </w:t>
      </w:r>
      <w:r>
        <w:rPr>
          <w:b/>
          <w:bCs/>
        </w:rPr>
        <w:t xml:space="preserve">procedure</w:t>
      </w:r>
      <w:r>
        <w:rPr>
          <w:b/>
          <w:bCs/>
        </w:rPr>
        <w:t xml:space="preserve"> </w:t>
      </w:r>
      <w:r>
        <w:rPr>
          <w:b/>
          <w:bCs/>
        </w:rPr>
        <w:t xml:space="preserve">caused</w:t>
      </w:r>
      <w:r>
        <w:rPr>
          <w:b/>
          <w:bCs/>
        </w:rPr>
        <w:t xml:space="preserve"> </w:t>
      </w:r>
      <w:r>
        <w:rPr>
          <w:b/>
          <w:bCs/>
        </w:rPr>
        <w:t xml:space="preserve">the</w:t>
      </w:r>
      <w:r>
        <w:rPr>
          <w:b/>
          <w:bCs/>
        </w:rPr>
        <w:t xml:space="preserve"> </w:t>
      </w:r>
      <w:r>
        <w:rPr>
          <w:b/>
          <w:bCs/>
        </w:rPr>
        <w:t xml:space="preserve">absence</w:t>
      </w:r>
      <w:r>
        <w:rPr>
          <w:b/>
          <w:bCs/>
        </w:rPr>
        <w:t xml:space="preserve"> </w:t>
      </w:r>
      <w:r>
        <w:rPr>
          <w:b/>
          <w:bCs/>
        </w:rPr>
        <w:t xml:space="preserve">of</w:t>
      </w:r>
      <w:r>
        <w:rPr>
          <w:b/>
          <w:bCs/>
        </w:rPr>
        <w:t xml:space="preserve"> </w:t>
      </w:r>
      <w:r>
        <w:rPr>
          <w:b/>
          <w:bCs/>
        </w:rPr>
        <w:t xml:space="preserve">participation.</w:t>
      </w:r>
    </w:p>
    <w:p>
      <w:pPr>
        <w:pStyle w:val="BodyText"/>
      </w:pPr>
      <w:r>
        <w:t xml:space="preserve">[¶14] The Court correctly recognizes that administrative standing is broad and that the participation requirement is</w:t>
      </w:r>
      <w:r>
        <w:t xml:space="preserve"> </w:t>
      </w:r>
      <w:r>
        <w:t xml:space="preserve">“minimal.”</w:t>
      </w:r>
      <w:r>
        <w:t xml:space="preserve"> </w:t>
      </w:r>
      <w:r>
        <w:rPr>
          <w:i/>
          <w:iCs/>
        </w:rPr>
        <w:t xml:space="preserve">Wano Township</w:t>
      </w:r>
      <w:r>
        <w:t xml:space="preserve">, ¶¶ 7-⁠9;</w:t>
      </w:r>
      <w:r>
        <w:t xml:space="preserve"> </w:t>
      </w:r>
      <w:r>
        <w:rPr>
          <w:i/>
          <w:iCs/>
        </w:rPr>
        <w:t xml:space="preserve">Minn-Kota</w:t>
      </w:r>
      <w:r>
        <w:t xml:space="preserve">, ¶¶ 11, 21. Yet the opinion applies the participation requirement without deciding whether the agency’s choice of statutory process prevented the participation that the Court requires.</w:t>
      </w:r>
    </w:p>
    <w:p>
      <w:pPr>
        <w:pStyle w:val="BodyText"/>
      </w:pPr>
      <w:r>
        <w:t xml:space="preserve">[¶15] The resulting sequence is:</w:t>
      </w:r>
    </w:p>
    <w:p>
      <w:pPr>
        <w:pStyle w:val="BodyText"/>
      </w:pPr>
      <w:r>
        <w:t xml:space="preserve">(a) Appellants cannot challenge the CPCN because they did not participate before it was issued;</w:t>
      </w:r>
    </w:p>
    <w:p>
      <w:pPr>
        <w:pStyle w:val="BodyText"/>
      </w:pPr>
      <w:r>
        <w:t xml:space="preserve">(b) their nonparticipation does not establish good cause for intervention because publication notice was sufficient;</w:t>
      </w:r>
    </w:p>
    <w:p>
      <w:pPr>
        <w:pStyle w:val="BodyText"/>
      </w:pPr>
      <w:r>
        <w:t xml:space="preserve">(c) whether Chapter 49-⁠22</w:t>
      </w:r>
      <w:r>
        <w:t xml:space="preserve"> </w:t>
      </w:r>
      <w:r>
        <w:t xml:space="preserve">governed and required materially different procedures need not be decided; and</w:t>
      </w:r>
    </w:p>
    <w:p>
      <w:pPr>
        <w:pStyle w:val="BodyText"/>
      </w:pPr>
      <w:r>
        <w:t xml:space="preserve">(d) because that question is not decided, the absence of participation is attributed to Appellants rather than examined as the possible consequence of the PSC’s use of the wrong statutory procedure.</w:t>
      </w:r>
    </w:p>
    <w:p>
      <w:pPr>
        <w:pStyle w:val="BodyText"/>
      </w:pPr>
      <w:r>
        <w:t xml:space="preserve">[¶16] That is the procedural catch-⁠22. Appellants were denied review for failing to participate, without the Court deciding whether the process selected by the PSC deprived them of the notice and meaningful opportunity necessary to participate.</w:t>
      </w:r>
    </w:p>
    <w:p>
      <w:pPr>
        <w:pStyle w:val="BodyText"/>
      </w:pPr>
      <w:r>
        <w:t xml:space="preserve">[¶17] Standing doctrine ordinarily prevents a stranger who presented no position to an agency from obtaining judicial review after a decision. But Appellants are not strangers seeking to raise an issue they ignored despite receiving the process prescribed by law. They are affected Townships and landowners who contend the PSC placed the public-need question in a proceeding that was not brought to them through the notice and local-hearing framework enacted for high-voltage transmission facilities.</w:t>
      </w:r>
    </w:p>
    <w:p>
      <w:pPr>
        <w:pStyle w:val="BodyText"/>
      </w:pPr>
      <w:r>
        <w:t xml:space="preserve">[¶18] The opinion’s treatment of standing separately from the statutory notice issue gives dispositive effect to the alleged consequence of the statutory violation while refusing to determine whether the violation occurred.</w:t>
      </w:r>
    </w:p>
    <w:p>
      <w:pPr>
        <w:pStyle w:val="BodyText"/>
      </w:pPr>
      <w:r>
        <w:t xml:space="preserve">[¶19] The same problem affects due process. Appellants preserved their argument that their property interests, local governmental authority, and utility interests could not be affected without notice and a meaningful opportunity to be heard. Appellants’ Brief, Argument V. The Court’s reasoning permits an agency’s disputed choice of procedure both to cause nonparticipation and to foreclose judicial review of whether the procedure was lawful.</w:t>
      </w:r>
    </w:p>
    <w:p>
      <w:pPr>
        <w:pStyle w:val="BodyText"/>
      </w:pPr>
      <w:r>
        <w:t xml:space="preserve">[¶20] Rehearing does not require the Court to abandon the participation requirement. It requires recognition that nonparticipation cannot fairly be treated as conclusive until the Court determines whether the governing statute required the notice and opportunity that would have enabled participation.</w:t>
      </w:r>
    </w:p>
    <w:p>
      <w:pPr>
        <w:pStyle w:val="BodyText"/>
      </w:pPr>
      <w:r>
        <w:t xml:space="preserve">[¶21] The Court should therefore vacate the affirmance of the intervention ruling and remand for the PSC to reconsider good cause under the statutory framework applicable to this transmission facility.</w:t>
      </w:r>
    </w:p>
    <w:p>
      <w:pPr>
        <w:keepNext/>
        <w:keepLines/>
        <w:spacing w:before="240" w:after="192" w:line="276" w:lineRule="exact"/>
        <w:ind w:left="720" w:hanging="720"/>
        <w:jc w:val="left"/>
      </w:pPr>
      <w:r>
        <w:rPr>
          <w:b/>
          <w:bCs/>
        </w:rPr>
        <w:t xml:space="preserve">III.</w:t>
      </w:r>
      <w:r>
        <w:rPr>
          <w:b/>
          <w:bCs/>
        </w:rPr>
        <w:t xml:space="preserve"> </w:t>
      </w:r>
      <w:r>
        <w:rPr>
          <w:b/>
          <w:bCs/>
        </w:rPr>
        <w:t xml:space="preserve">Paragraphs</w:t>
      </w:r>
      <w:r>
        <w:rPr>
          <w:b/>
          <w:bCs/>
        </w:rPr>
        <w:t xml:space="preserve"> </w:t>
      </w:r>
      <w:r>
        <w:rPr>
          <w:b/>
          <w:bCs/>
        </w:rPr>
        <w:t xml:space="preserve">16</w:t>
      </w:r>
      <w:r>
        <w:rPr>
          <w:b/>
          <w:bCs/>
        </w:rPr>
        <w:t xml:space="preserve"> </w:t>
      </w:r>
      <w:r>
        <w:rPr>
          <w:b/>
          <w:bCs/>
        </w:rPr>
        <w:t xml:space="preserve">and</w:t>
      </w:r>
      <w:r>
        <w:rPr>
          <w:b/>
          <w:bCs/>
        </w:rPr>
        <w:t xml:space="preserve"> </w:t>
      </w:r>
      <w:r>
        <w:rPr>
          <w:b/>
          <w:bCs/>
        </w:rPr>
        <w:t xml:space="preserve">17</w:t>
      </w:r>
      <w:r>
        <w:rPr>
          <w:b/>
          <w:bCs/>
        </w:rPr>
        <w:t xml:space="preserve"> </w:t>
      </w:r>
      <w:r>
        <w:rPr>
          <w:b/>
          <w:bCs/>
        </w:rPr>
        <w:t xml:space="preserve">do</w:t>
      </w:r>
      <w:r>
        <w:rPr>
          <w:b/>
          <w:bCs/>
        </w:rPr>
        <w:t xml:space="preserve"> </w:t>
      </w:r>
      <w:r>
        <w:rPr>
          <w:b/>
          <w:bCs/>
        </w:rPr>
        <w:t xml:space="preserve">not</w:t>
      </w:r>
      <w:r>
        <w:rPr>
          <w:b/>
          <w:bCs/>
        </w:rPr>
        <w:t xml:space="preserve"> </w:t>
      </w:r>
      <w:r>
        <w:rPr>
          <w:b/>
          <w:bCs/>
        </w:rPr>
        <w:t xml:space="preserve">cure</w:t>
      </w:r>
      <w:r>
        <w:rPr>
          <w:b/>
          <w:bCs/>
        </w:rPr>
        <w:t xml:space="preserve"> </w:t>
      </w:r>
      <w:r>
        <w:rPr>
          <w:b/>
          <w:bCs/>
        </w:rPr>
        <w:t xml:space="preserve">the</w:t>
      </w:r>
      <w:r>
        <w:rPr>
          <w:b/>
          <w:bCs/>
        </w:rPr>
        <w:t xml:space="preserve"> </w:t>
      </w:r>
      <w:r>
        <w:rPr>
          <w:b/>
          <w:bCs/>
        </w:rPr>
        <w:t xml:space="preserve">procedural</w:t>
      </w:r>
      <w:r>
        <w:rPr>
          <w:b/>
          <w:bCs/>
        </w:rPr>
        <w:t xml:space="preserve"> </w:t>
      </w:r>
      <w:r>
        <w:rPr>
          <w:b/>
          <w:bCs/>
        </w:rPr>
        <w:t xml:space="preserve">bar</w:t>
      </w:r>
      <w:r>
        <w:rPr>
          <w:b/>
          <w:bCs/>
        </w:rPr>
        <w:t xml:space="preserve"> </w:t>
      </w:r>
      <w:r>
        <w:rPr>
          <w:b/>
          <w:bCs/>
        </w:rPr>
        <w:t xml:space="preserve">created</w:t>
      </w:r>
      <w:r>
        <w:rPr>
          <w:b/>
          <w:bCs/>
        </w:rPr>
        <w:t xml:space="preserve"> </w:t>
      </w:r>
      <w:r>
        <w:rPr>
          <w:b/>
          <w:bCs/>
        </w:rPr>
        <w:t xml:space="preserve">by</w:t>
      </w:r>
      <w:r>
        <w:rPr>
          <w:b/>
          <w:bCs/>
        </w:rPr>
        <w:t xml:space="preserve"> </w:t>
      </w:r>
      <w:r>
        <w:rPr>
          <w:b/>
          <w:bCs/>
        </w:rPr>
        <w:t xml:space="preserve">the</w:t>
      </w:r>
      <w:r>
        <w:rPr>
          <w:b/>
          <w:bCs/>
        </w:rPr>
        <w:t xml:space="preserve"> </w:t>
      </w:r>
      <w:r>
        <w:rPr>
          <w:b/>
          <w:bCs/>
        </w:rPr>
        <w:t xml:space="preserve">Court’s</w:t>
      </w:r>
      <w:r>
        <w:rPr>
          <w:b/>
          <w:bCs/>
        </w:rPr>
        <w:t xml:space="preserve"> </w:t>
      </w:r>
      <w:r>
        <w:rPr>
          <w:b/>
          <w:bCs/>
        </w:rPr>
        <w:t xml:space="preserve">standing</w:t>
      </w:r>
      <w:r>
        <w:rPr>
          <w:b/>
          <w:bCs/>
        </w:rPr>
        <w:t xml:space="preserve"> </w:t>
      </w:r>
      <w:r>
        <w:rPr>
          <w:b/>
          <w:bCs/>
        </w:rPr>
        <w:t xml:space="preserve">and</w:t>
      </w:r>
      <w:r>
        <w:rPr>
          <w:b/>
          <w:bCs/>
        </w:rPr>
        <w:t xml:space="preserve"> </w:t>
      </w:r>
      <w:r>
        <w:rPr>
          <w:b/>
          <w:bCs/>
        </w:rPr>
        <w:t xml:space="preserve">intervention</w:t>
      </w:r>
      <w:r>
        <w:rPr>
          <w:b/>
          <w:bCs/>
        </w:rPr>
        <w:t xml:space="preserve"> </w:t>
      </w:r>
      <w:r>
        <w:rPr>
          <w:b/>
          <w:bCs/>
        </w:rPr>
        <w:t xml:space="preserve">holdings.</w:t>
      </w:r>
    </w:p>
    <w:p>
      <w:pPr>
        <w:pStyle w:val="BodyText"/>
      </w:pPr>
      <w:r>
        <w:t xml:space="preserve">[¶22] Paragraph 17 states that Appellants may advance their claims when defects in the CPCN process affect their individual interests or due-process rights in the future. But before the opinion issued, Appellants advised the Court that the Chapter 49-⁠22</w:t>
      </w:r>
      <w:r>
        <w:t xml:space="preserve"> </w:t>
      </w:r>
      <w:r>
        <w:t xml:space="preserve">proceeding had culminated in a June 24, 2026 final order granting corridor certificates and route permits.</w:t>
      </w:r>
      <w:r>
        <w:t xml:space="preserve"> </w:t>
      </w:r>
      <w:r>
        <w:rPr>
          <w:i/>
          <w:iCs/>
        </w:rPr>
        <w:t xml:space="preserve">See</w:t>
      </w:r>
      <w:r>
        <w:t xml:space="preserve"> </w:t>
      </w:r>
      <w:r>
        <w:t xml:space="preserve">Appellants’ July 7, 2026 Motion for Leave to File Notice of Subsequent Agency Action Relevant to Pending Appeal, Ex. A. The Townships had submitted materials, appeared at the Edgeley hearing, and sought intervention before the PSC issued an order addressing need and preemption of local authority. The future effects identified in paragraph 17 have therefore begun to arise.</w:t>
      </w:r>
    </w:p>
    <w:p>
      <w:pPr>
        <w:pStyle w:val="BodyText"/>
      </w:pPr>
      <w:r>
        <w:t xml:space="preserve">[¶23] Paragraphs 16 and 17 nevertheless leave the underlying statutory question unresolved while permitting the CPCN to retain operative effect. If the CPCN is treated in the Chapter 49-⁠22</w:t>
      </w:r>
      <w:r>
        <w:t xml:space="preserve"> </w:t>
      </w:r>
      <w:r>
        <w:t xml:space="preserve">proceeding as conclusive or substitute proof of need, Appellants remain subject to the consequences of the disputed Chapter 49-⁠03</w:t>
      </w:r>
      <w:r>
        <w:t xml:space="preserve"> </w:t>
      </w:r>
      <w:r>
        <w:t xml:space="preserve">process without any court deciding whether that process was lawful. The possibility of raising future claims therefore does not cure the present procedural bar. Rehearing is required so the Court can decide the governing statutory framework before Appellants’ resulting nonparticipation is used to foreclose judicial review.</w:t>
      </w:r>
    </w:p>
    <w:p>
      <w:pPr>
        <w:keepNext/>
        <w:keepLines/>
        <w:spacing w:before="288" w:after="240" w:line="276" w:lineRule="exact"/>
        <w:ind w:left="0" w:firstLine="0"/>
        <w:jc w:val="center"/>
      </w:pPr>
      <w:r>
        <w:rPr>
          <w:b/>
          <w:bCs/>
        </w:rPr>
        <w:t xml:space="preserve">CONCLUSION.</w:t>
      </w:r>
    </w:p>
    <w:p>
      <w:pPr>
        <w:pStyle w:val="BodyText"/>
      </w:pPr>
      <w:r>
        <w:t xml:space="preserve">[¶24] Appellants respectfully request that the Court grant rehearing, amend paragraphs 16 through 18, reverse the affirmance of the PSC’s denial of intervention, and remand for reconsideration of intervention and good cause under the statutory framework governing this transmission facility.</w:t>
      </w:r>
    </w:p>
    <w:p>
      <w:pPr>
        <w:keepNext/>
        <w:keepLines/>
        <w:spacing w:before="288" w:after="240" w:line="276" w:lineRule="exact"/>
        <w:ind w:left="0" w:firstLine="0"/>
        <w:jc w:val="center"/>
      </w:pPr>
      <w:r>
        <w:rPr>
          <w:b/>
          <w:bCs/>
        </w:rPr>
        <w:t xml:space="preserve">CERTIFICATE</w:t>
      </w:r>
      <w:r>
        <w:rPr>
          <w:b/>
          <w:bCs/>
        </w:rPr>
        <w:t xml:space="preserve"> </w:t>
      </w:r>
      <w:r>
        <w:rPr>
          <w:b/>
          <w:bCs/>
        </w:rPr>
        <w:t xml:space="preserve">OF</w:t>
      </w:r>
      <w:r>
        <w:rPr>
          <w:b/>
          <w:bCs/>
        </w:rPr>
        <w:t xml:space="preserve"> </w:t>
      </w:r>
      <w:r>
        <w:rPr>
          <w:b/>
          <w:bCs/>
        </w:rPr>
        <w:t xml:space="preserve">COMPLIANCE</w:t>
      </w:r>
    </w:p>
    <w:p>
      <w:pPr>
        <w:pStyle w:val="BodyText"/>
      </w:pPr>
      <w:r>
        <w:t xml:space="preserve">[¶25] Pursuant to N.D.R.App.P. 32(d)</w:t>
      </w:r>
      <w:r>
        <w:t xml:space="preserve"> </w:t>
      </w:r>
      <w:r>
        <w:t xml:space="preserve">and 40(b), I certify that this Petition for Rehearing complies with the ten-page limitation. The filed electronic document totals 10 pages.</w:t>
      </w:r>
    </w:p>
    <w:p>
      <w:pPr>
        <w:spacing w:before="0" w:after="0" w:line="576" w:lineRule="exact"/>
      </w:pPr>
    </w:p>
    <w:tbl>
      <w:tblPr>
        <w:tblW w:w="8640" w:type="dxa"/>
        <w:tblLayout w:type="fixed"/>
        <w:tblCellMar>
          <w:top w:w="0" w:type="dxa"/>
          <w:left w:w="0" w:type="dxa"/>
          <w:bottom w:w="0" w:type="dxa"/>
          <w:right w:w="0" w:type="dxa"/>
        </w:tblCellMar>
        <w:tblLook w:val="0000" w:firstRow="0" w:lastRow="0" w:firstColumn="0" w:lastColumn="0" w:noHBand="0" w:noVBand="0"/>
      </w:tblPr>
      <w:tblGrid>
        <w:gridCol w:w="8640"/>
      </w:tblGrid>
      <w:tr>
        <w:trPr>
          <w:cantSplit/>
        </w:trPr>
        <w:tc>
          <w:tcPr>
            <w:tcW w:w="8640" w:type="dxa"/>
          </w:tcPr>
          <w:p>
            <w:pPr>
              <w:spacing w:before="0" w:after="0" w:line="276" w:lineRule="exact"/>
              <w:ind w:left="0" w:firstLine="0"/>
              <w:jc w:val="left"/>
            </w:pPr>
            <w:r>
              <w:t xml:space="preserve">Dated:</w:t>
            </w:r>
            <w:r>
              <w:t xml:space="preserve"> </w:t>
            </w:r>
            <w:r>
              <w:t xml:space="preserve">August</w:t>
            </w:r>
            <w:r>
              <w:t xml:space="preserve"> </w:t>
            </w:r>
            <w:r>
              <w:t xml:space="preserve">3,</w:t>
            </w:r>
            <w:r>
              <w:t xml:space="preserve"> </w:t>
            </w:r>
            <w:r>
              <w:t xml:space="preserve">2026</w:t>
            </w:r>
          </w:p>
          <w:p>
            <w:pPr>
              <w:spacing w:before="0" w:after="0" w:line="192" w:lineRule="exact"/>
            </w:pPr>
          </w:p>
          <w:tbl>
            <w:tblPr>
              <w:tblW w:w="8640" w:type="dxa"/>
              <w:tblLayout w:type="fixed"/>
              <w:tblCellMar>
                <w:top w:w="0" w:type="dxa"/>
                <w:left w:w="0" w:type="dxa"/>
                <w:bottom w:w="0" w:type="dxa"/>
                <w:right w:w="0" w:type="dxa"/>
              </w:tblCellMar>
              <w:tblLook w:val="0000" w:firstRow="0" w:lastRow="0" w:firstColumn="0" w:lastColumn="0" w:noHBand="0" w:noVBand="0"/>
            </w:tblPr>
            <w:tblGrid>
              <w:gridCol w:w="4200"/>
              <w:gridCol w:w="4440"/>
            </w:tblGrid>
            <w:tr>
              <w:trPr>
                <w:cantSplit/>
              </w:trPr>
              <w:tc>
                <w:tcPr>
                  <w:tcW w:w="4200" w:type="dxa"/>
                </w:tcPr>
                <w:p>
                  <w:pPr>
                    <w:spacing w:before="0" w:after="0" w:line="276" w:lineRule="exact"/>
                    <w:ind w:left="0" w:firstLine="0"/>
                    <w:jc w:val="left"/>
                  </w:pPr>
                  <w:r>
                    <w:t xml:space="preserve">Steven</w:t>
                  </w:r>
                  <w:r>
                    <w:t xml:space="preserve"> </w:t>
                  </w:r>
                  <w:r>
                    <w:t xml:space="preserve">J.</w:t>
                  </w:r>
                  <w:r>
                    <w:t xml:space="preserve"> </w:t>
                  </w:r>
                  <w:r>
                    <w:t xml:space="preserve">Leibel</w:t>
                  </w:r>
                  <w:r>
                    <w:t xml:space="preserve"> </w:t>
                  </w:r>
                  <w:r>
                    <w:t xml:space="preserve">(ND</w:t>
                  </w:r>
                  <w:r>
                    <w:t xml:space="preserve"> </w:t>
                  </w:r>
                  <w:r>
                    <w:t xml:space="preserve">#</w:t>
                  </w:r>
                  <w:r>
                    <w:t xml:space="preserve"> </w:t>
                  </w:r>
                  <w:r>
                    <w:t xml:space="preserve">07361)</w:t>
                  </w:r>
                </w:p>
                <w:p>
                  <w:pPr>
                    <w:spacing w:before="0" w:after="0" w:line="276" w:lineRule="exact"/>
                    <w:ind w:left="0" w:firstLine="0"/>
                    <w:jc w:val="left"/>
                  </w:pPr>
                  <w:r>
                    <w:t xml:space="preserve">KNOLL</w:t>
                  </w:r>
                  <w:r>
                    <w:t xml:space="preserve"> </w:t>
                  </w:r>
                  <w:r>
                    <w:t xml:space="preserve">LEIBEL</w:t>
                  </w:r>
                  <w:r>
                    <w:t xml:space="preserve"> </w:t>
                  </w:r>
                  <w:r>
                    <w:t xml:space="preserve">LLP</w:t>
                  </w:r>
                </w:p>
                <w:p>
                  <w:pPr>
                    <w:spacing w:before="0" w:after="0" w:line="276" w:lineRule="exact"/>
                    <w:ind w:left="0" w:firstLine="0"/>
                    <w:jc w:val="left"/>
                  </w:pPr>
                  <w:r>
                    <w:t xml:space="preserve">P.O.</w:t>
                  </w:r>
                  <w:r>
                    <w:t xml:space="preserve"> </w:t>
                  </w:r>
                  <w:r>
                    <w:t xml:space="preserve">Box</w:t>
                  </w:r>
                  <w:r>
                    <w:t xml:space="preserve"> </w:t>
                  </w:r>
                  <w:r>
                    <w:t xml:space="preserve">858</w:t>
                  </w:r>
                </w:p>
                <w:p>
                  <w:pPr>
                    <w:spacing w:before="0" w:after="0" w:line="276" w:lineRule="exact"/>
                    <w:ind w:left="0" w:firstLine="0"/>
                    <w:jc w:val="left"/>
                  </w:pPr>
                  <w:r>
                    <w:t xml:space="preserve">1915</w:t>
                  </w:r>
                  <w:r>
                    <w:t xml:space="preserve"> </w:t>
                  </w:r>
                  <w:r>
                    <w:t xml:space="preserve">N.</w:t>
                  </w:r>
                  <w:r>
                    <w:t xml:space="preserve"> </w:t>
                  </w:r>
                  <w:r>
                    <w:t xml:space="preserve">Kavaney</w:t>
                  </w:r>
                  <w:r>
                    <w:t xml:space="preserve"> </w:t>
                  </w:r>
                  <w:r>
                    <w:t xml:space="preserve">Drive,</w:t>
                  </w:r>
                  <w:r>
                    <w:t xml:space="preserve"> </w:t>
                  </w:r>
                  <w:r>
                    <w:t xml:space="preserve">Ste.</w:t>
                  </w:r>
                  <w:r>
                    <w:t xml:space="preserve"> </w:t>
                  </w:r>
                  <w:r>
                    <w:t xml:space="preserve">3</w:t>
                  </w:r>
                </w:p>
                <w:p>
                  <w:pPr>
                    <w:spacing w:before="0" w:after="0" w:line="276" w:lineRule="exact"/>
                    <w:ind w:left="0" w:firstLine="0"/>
                    <w:jc w:val="left"/>
                  </w:pPr>
                  <w:r>
                    <w:t xml:space="preserve">Bismarck,</w:t>
                  </w:r>
                  <w:r>
                    <w:t xml:space="preserve"> </w:t>
                  </w:r>
                  <w:r>
                    <w:t xml:space="preserve">ND</w:t>
                  </w:r>
                  <w:r>
                    <w:t xml:space="preserve"> </w:t>
                  </w:r>
                  <w:r>
                    <w:t xml:space="preserve">58501</w:t>
                  </w:r>
                </w:p>
                <w:p>
                  <w:pPr>
                    <w:spacing w:before="0" w:after="0" w:line="276" w:lineRule="exact"/>
                    <w:ind w:left="0" w:firstLine="0"/>
                    <w:jc w:val="left"/>
                  </w:pPr>
                  <w:r>
                    <w:t xml:space="preserve">(701)</w:t>
                  </w:r>
                  <w:r>
                    <w:t xml:space="preserve"> </w:t>
                  </w:r>
                  <w:r>
                    <w:t xml:space="preserve">255-⁠2010</w:t>
                  </w:r>
                </w:p>
                <w:p>
                  <w:pPr>
                    <w:spacing w:before="0" w:after="0" w:line="276" w:lineRule="exact"/>
                    <w:ind w:left="0" w:firstLine="0"/>
                    <w:jc w:val="left"/>
                  </w:pPr>
                  <w:r>
                    <w:t xml:space="preserve">steve@bismarck-attomeys.com</w:t>
                  </w:r>
                </w:p>
              </w:tc>
              <w:tc>
                <w:tcPr>
                  <w:tcW w:w="4440" w:type="dxa"/>
                  <w:tcMar>
                    <w:left w:w="240" w:type="dxa"/>
                  </w:tcMar>
                </w:tcPr>
                <w:p>
                  <w:pPr>
                    <w:spacing w:before="0" w:after="0" w:line="276" w:lineRule="exact"/>
                    <w:ind w:left="0" w:firstLine="0"/>
                    <w:jc w:val="left"/>
                  </w:pPr>
                  <w:r>
                    <w:rPr>
                      <w:u w:val="single"/>
                    </w:rPr>
                    <w:t xml:space="preserve">/s/</w:t>
                  </w:r>
                  <w:r>
                    <w:rPr>
                      <w:u w:val="single"/>
                    </w:rPr>
                    <w:t xml:space="preserve"> </w:t>
                  </w:r>
                  <w:r>
                    <w:rPr>
                      <w:u w:val="single"/>
                    </w:rPr>
                    <w:t xml:space="preserve">Douglas</w:t>
                  </w:r>
                  <w:r>
                    <w:rPr>
                      <w:u w:val="single"/>
                    </w:rPr>
                    <w:t xml:space="preserve"> </w:t>
                  </w:r>
                  <w:r>
                    <w:rPr>
                      <w:u w:val="single"/>
                    </w:rPr>
                    <w:t xml:space="preserve">J.</w:t>
                  </w:r>
                  <w:r>
                    <w:rPr>
                      <w:u w:val="single"/>
                    </w:rPr>
                    <w:t xml:space="preserve"> </w:t>
                  </w:r>
                  <w:r>
                    <w:rPr>
                      <w:u w:val="single"/>
                    </w:rPr>
                    <w:t xml:space="preserve">Nill</w:t>
                  </w:r>
                </w:p>
                <w:p>
                  <w:pPr>
                    <w:spacing w:before="0" w:after="0" w:line="276" w:lineRule="exact"/>
                    <w:ind w:left="0" w:firstLine="0"/>
                    <w:jc w:val="left"/>
                  </w:pPr>
                  <w:r>
                    <w:t xml:space="preserve">Douglas</w:t>
                  </w:r>
                  <w:r>
                    <w:t xml:space="preserve"> </w:t>
                  </w:r>
                  <w:r>
                    <w:t xml:space="preserve">J.</w:t>
                  </w:r>
                  <w:r>
                    <w:t xml:space="preserve"> </w:t>
                  </w:r>
                  <w:r>
                    <w:t xml:space="preserve">Nill</w:t>
                  </w:r>
                  <w:r>
                    <w:t xml:space="preserve"> </w:t>
                  </w:r>
                  <w:r>
                    <w:t xml:space="preserve">(ND</w:t>
                  </w:r>
                  <w:r>
                    <w:t xml:space="preserve"> </w:t>
                  </w:r>
                  <w:r>
                    <w:t xml:space="preserve">#</w:t>
                  </w:r>
                  <w:r>
                    <w:t xml:space="preserve"> </w:t>
                  </w:r>
                  <w:r>
                    <w:t xml:space="preserve">P00392)</w:t>
                  </w:r>
                </w:p>
                <w:p>
                  <w:pPr>
                    <w:spacing w:before="0" w:after="0" w:line="276" w:lineRule="exact"/>
                    <w:ind w:left="0" w:firstLine="0"/>
                    <w:jc w:val="left"/>
                  </w:pPr>
                  <w:r>
                    <w:t xml:space="preserve">DOUGLAS</w:t>
                  </w:r>
                  <w:r>
                    <w:t xml:space="preserve"> </w:t>
                  </w:r>
                  <w:r>
                    <w:t xml:space="preserve">J.</w:t>
                  </w:r>
                  <w:r>
                    <w:t xml:space="preserve"> </w:t>
                  </w:r>
                  <w:r>
                    <w:t xml:space="preserve">NILL,</w:t>
                  </w:r>
                  <w:r>
                    <w:t xml:space="preserve"> </w:t>
                  </w:r>
                  <w:r>
                    <w:t xml:space="preserve">PLLC</w:t>
                  </w:r>
                </w:p>
                <w:p>
                  <w:pPr>
                    <w:spacing w:before="0" w:after="0" w:line="276" w:lineRule="exact"/>
                    <w:ind w:left="0" w:firstLine="0"/>
                    <w:jc w:val="left"/>
                  </w:pPr>
                  <w:r>
                    <w:t xml:space="preserve">SPS</w:t>
                  </w:r>
                  <w:r>
                    <w:t xml:space="preserve"> </w:t>
                  </w:r>
                  <w:r>
                    <w:t xml:space="preserve">Tower,</w:t>
                  </w:r>
                  <w:r>
                    <w:t xml:space="preserve"> </w:t>
                  </w:r>
                  <w:r>
                    <w:t xml:space="preserve">Suite</w:t>
                  </w:r>
                  <w:r>
                    <w:t xml:space="preserve"> </w:t>
                  </w:r>
                  <w:r>
                    <w:t xml:space="preserve">2600</w:t>
                  </w:r>
                </w:p>
                <w:p>
                  <w:pPr>
                    <w:spacing w:before="0" w:after="0" w:line="276" w:lineRule="exact"/>
                    <w:ind w:left="0" w:firstLine="0"/>
                    <w:jc w:val="left"/>
                  </w:pPr>
                  <w:r>
                    <w:t xml:space="preserve">333</w:t>
                  </w:r>
                  <w:r>
                    <w:t xml:space="preserve"> </w:t>
                  </w:r>
                  <w:r>
                    <w:t xml:space="preserve">South</w:t>
                  </w:r>
                  <w:r>
                    <w:t xml:space="preserve"> </w:t>
                  </w:r>
                  <w:r>
                    <w:t xml:space="preserve">Seventh</w:t>
                  </w:r>
                  <w:r>
                    <w:t xml:space="preserve"> </w:t>
                  </w:r>
                  <w:r>
                    <w:t xml:space="preserve">Street</w:t>
                  </w:r>
                </w:p>
                <w:p>
                  <w:pPr>
                    <w:spacing w:before="0" w:after="0" w:line="276" w:lineRule="exact"/>
                    <w:ind w:left="0" w:firstLine="0"/>
                    <w:jc w:val="left"/>
                  </w:pPr>
                  <w:r>
                    <w:t xml:space="preserve">Minneapolis,</w:t>
                  </w:r>
                  <w:r>
                    <w:t xml:space="preserve"> </w:t>
                  </w:r>
                  <w:r>
                    <w:t xml:space="preserve">MN</w:t>
                  </w:r>
                  <w:r>
                    <w:t xml:space="preserve"> </w:t>
                  </w:r>
                  <w:r>
                    <w:t xml:space="preserve">55402</w:t>
                  </w:r>
                </w:p>
                <w:p>
                  <w:pPr>
                    <w:spacing w:before="0" w:after="0" w:line="276" w:lineRule="exact"/>
                    <w:ind w:left="0" w:firstLine="0"/>
                    <w:jc w:val="left"/>
                  </w:pPr>
                  <w:r>
                    <w:t xml:space="preserve">(612)</w:t>
                  </w:r>
                  <w:r>
                    <w:t xml:space="preserve"> </w:t>
                  </w:r>
                  <w:r>
                    <w:t xml:space="preserve">573-⁠3669</w:t>
                  </w:r>
                </w:p>
                <w:p>
                  <w:pPr>
                    <w:spacing w:before="0" w:after="0" w:line="276" w:lineRule="exact"/>
                    <w:ind w:left="0" w:firstLine="0"/>
                    <w:jc w:val="left"/>
                  </w:pPr>
                  <w:r>
                    <w:t xml:space="preserve">dnill@farmlaw.com</w:t>
                  </w:r>
                </w:p>
                <w:p>
                  <w:pPr>
                    <w:spacing w:before="0" w:after="0" w:line="276" w:lineRule="exact"/>
                    <w:ind w:left="0" w:firstLine="0"/>
                    <w:jc w:val="left"/>
                  </w:pPr>
                  <w:r>
                    <w:rPr>
                      <w:i/>
                      <w:iCs/>
                    </w:rPr>
                    <w:t xml:space="preserve">Attorneys</w:t>
                  </w:r>
                  <w:r>
                    <w:rPr>
                      <w:i/>
                      <w:iCs/>
                    </w:rPr>
                    <w:t xml:space="preserve"> </w:t>
                  </w:r>
                  <w:r>
                    <w:rPr>
                      <w:i/>
                      <w:iCs/>
                    </w:rPr>
                    <w:t xml:space="preserve">for</w:t>
                  </w:r>
                  <w:r>
                    <w:rPr>
                      <w:i/>
                      <w:iCs/>
                    </w:rPr>
                    <w:t xml:space="preserve"> </w:t>
                  </w:r>
                  <w:r>
                    <w:rPr>
                      <w:i/>
                      <w:iCs/>
                    </w:rPr>
                    <w:t xml:space="preserve">Appellants</w:t>
                  </w:r>
                </w:p>
              </w:tc>
            </w:tr>
          </w:tbl>
          <w:p>
            <w:pPr>
              <w:spacing w:before="0" w:after="0" w:line="1" w:lineRule="exact"/>
            </w:pPr>
          </w:p>
        </w:tc>
      </w:tr>
    </w:tbl>
    <w:sectPr>
      <w:footerReference w:type="default" r:id="rIdXdPage"/>
      <w:pgSz w:w="12240" w:h="15840"/>
      <w:pgMar w:top="1440" w:right="1440" w:bottom="1440" w:left="2160" w:header="720" w:footer="732"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line="276" w:lineRule="exact"/>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ftr-add.xml><?xml version="1.0" encoding="utf-8"?>
<w:ftr xmlns:w="http://schemas.openxmlformats.org/wordprocessingml/2006/main" xmlns:r="http://schemas.openxmlformats.org/officeDocument/2006/relationships">
  <w:p>
    <w:pPr>
      <w:spacing w:before="0" w:after="0"/>
      <w:jc w:val="center"/>
    </w:pPr>
    <w:r>
      <w:t>Add-</w:t>
    </w:r>
    <w:r>
      <w:fldChar w:fldCharType="begin"/>
    </w:r>
    <w:r>
      <w:instrText xml:space="preserve"> PAGE </w:instrText>
    </w:r>
    <w:r>
      <w:fldChar w:fldCharType="separate"/>
    </w:r>
    <w:r>
      <w:t>1</w:t>
    </w:r>
    <w:r>
      <w:fldChar w:fldCharType="end"/>
    </w:r>
  </w:p>
</w:ftr>
</file>

<file path=word/ftr-none.xml><?xml version="1.0" encoding="utf-8"?>
<w:ftr xmlns:w="http://schemas.openxmlformats.org/wordprocessingml/2006/main" xmlns:r="http://schemas.openxmlformats.org/officeDocument/2006/relationships">
  <w:p>
    <w:pPr>
      <w:spacing w:before="0" w:after="0"/>
      <w:jc w:val="center"/>
    </w:pPr>
  </w:p>
</w:ftr>
</file>

<file path=word/ftr-own1.xml><?xml version="1.0" encoding="utf-8"?>
<w:ftr xmlns:w="http://schemas.openxmlformats.org/wordprocessingml/2006/main" xmlns:r="http://schemas.openxmlformats.org/officeDocument/2006/relationships">
  <w:p>
    <w:pPr>
      <w:spacing w:before="0" w:after="0" w:line="276" w:lineRule="exact"/>
      <w:jc w:val="center"/>
    </w:pPr>
    <w:r>
      <w:fldChar w:fldCharType="begin"/>
    </w:r>
    <w:r>
      <w:instrText xml:space="preserve"> PAGE </w:instrText>
    </w:r>
    <w:r>
      <w:fldChar w:fldCharType="separate"/>
    </w:r>
    <w:r>
      <w:t>1</w:t>
    </w:r>
    <w:r>
      <w:fldChar w:fldCharType="end"/>
    </w:r>
  </w:p>
</w:ftr>
</file>

<file path=word/ftr-own2.xml><?xml version="1.0" encoding="utf-8"?>
<w:ftr xmlns:w="http://schemas.openxmlformats.org/wordprocessingml/2006/main" xmlns:r="http://schemas.openxmlformats.org/officeDocument/2006/relationships">
  <w:p>
    <w:pPr>
      <w:spacing w:before="0" w:after="0" w:line="276" w:lineRule="exact"/>
      <w:jc w:val="center"/>
    </w:pPr>
  </w:p>
</w:ftr>
</file>

<file path=word/ftr-page.xml><?xml version="1.0" encoding="utf-8"?>
<w:ftr xmlns:w="http://schemas.openxmlformats.org/wordprocessingml/2006/main" xmlns:r="http://schemas.openxmlformats.org/officeDocument/2006/relationships">
  <w:p>
    <w:pPr>
      <w:spacing w:before="0" w:after="0"/>
      <w:jc w:val="center"/>
    </w:pPr>
    <w:r>
      <w:fldChar w:fldCharType="begin"/>
    </w:r>
    <w:r>
      <w:instrText xml:space="preserve"> PAGE </w:instrText>
    </w:r>
    <w:r>
      <w:fldChar w:fldCharType="separate"/>
    </w:r>
    <w:r>
      <w:t>1</w:t>
    </w:r>
    <w:r>
      <w:fldChar w:fldCharType="end"/>
    </w:r>
  </w:p>
</w:ft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4"/>
        <w:szCs w:val="24"/>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552"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240" w:after="120" w:line="276" w:lineRule="exact"/>
      <w:ind w:firstLine="0"/>
      <w:jc w:val="center"/>
      <w:outlineLvl w:val="0"/>
    </w:pPr>
    <w:rPr>
      <w:rFonts w:ascii="Times New Roman" w:hAnsi="Times New Roman" w:eastAsia="Times New Roman" w:cs="Times New Roman"/>
      <w:b/>
      <w:bCs/>
      <w:caps/>
      <w:color w:val="000000"/>
      <w:sz w:val="24"/>
      <w:szCs w:val="24"/>
    </w:rPr>
  </w:style>
  <w:style w:type="paragraph" w:styleId="Heading2">
    <w:name w:val="heading 2"/>
    <w:basedOn w:val="Normal"/>
    <w:next w:val="BodyText"/>
    <w:link w:val="Heading2Char"/>
    <w:uiPriority w:val="9"/>
    <w:semiHidden/>
    <w:unhideWhenUsed/>
    <w:qFormat/>
    <w:rsid w:val="00A10FD9"/>
    <w:pPr>
      <w:keepNext/>
      <w:keepLines/>
      <w:spacing w:before="240" w:after="120" w:line="276" w:lineRule="exact"/>
      <w:ind w:firstLine="0"/>
      <w:outlineLvl w:val="1"/>
    </w:pPr>
    <w:rPr>
      <w:rFonts w:ascii="Times New Roman" w:hAnsi="Times New Roman" w:eastAsia="Times New Roman" w:cs="Times New Roman"/>
      <w:b/>
      <w:bCs/>
      <w:color w:val="000000"/>
      <w:sz w:val="24"/>
      <w:szCs w:val="24"/>
    </w:rPr>
  </w:style>
  <w:style w:type="paragraph" w:styleId="Heading3">
    <w:name w:val="heading 3"/>
    <w:basedOn w:val="Normal"/>
    <w:next w:val="BodyText"/>
    <w:link w:val="Heading3Char"/>
    <w:uiPriority w:val="9"/>
    <w:semiHidden/>
    <w:unhideWhenUsed/>
    <w:qFormat/>
    <w:rsid w:val="00A10FD9"/>
    <w:pPr>
      <w:keepNext/>
      <w:keepLines/>
      <w:spacing w:before="240" w:after="120" w:line="276" w:lineRule="exact"/>
      <w:ind w:firstLine="0"/>
      <w:outlineLvl w:val="2"/>
    </w:pPr>
    <w:rPr>
      <w:rFonts w:ascii="Times New Roman" w:hAnsi="Times New Roman" w:eastAsia="Times New Roman" w:cs="Times New Roman"/>
      <w:b/>
      <w:bCs/>
      <w:color w:val="000000"/>
      <w:sz w:val="24"/>
      <w:szCs w:val="24"/>
    </w:rPr>
  </w:style>
  <w:style w:type="paragraph" w:styleId="Heading4">
    <w:name w:val="heading 4"/>
    <w:basedOn w:val="Normal"/>
    <w:next w:val="BodyText"/>
    <w:link w:val="Heading4Char"/>
    <w:uiPriority w:val="9"/>
    <w:semiHidden/>
    <w:unhideWhenUsed/>
    <w:qFormat/>
    <w:rsid w:val="00A10FD9"/>
    <w:pPr>
      <w:keepNext/>
      <w:keepLines/>
      <w:spacing w:before="240" w:after="120" w:line="276" w:lineRule="exact"/>
      <w:ind w:firstLine="0"/>
      <w:outlineLvl w:val="3"/>
    </w:pPr>
    <w:rPr>
      <w:rFonts w:ascii="Times New Roman" w:hAnsi="Times New Roman" w:eastAsia="Times New Roman" w:cs="Times New Roman"/>
      <w:b/>
      <w:bCs/>
      <w:i/>
      <w:color w:val="000000"/>
      <w:sz w:val="24"/>
      <w:szCs w:val="24"/>
    </w:rPr>
  </w:style>
  <w:style w:type="paragraph" w:styleId="Heading5">
    <w:name w:val="heading 5"/>
    <w:basedOn w:val="Normal"/>
    <w:next w:val="BodyText"/>
    <w:link w:val="Heading5Char"/>
    <w:uiPriority w:val="9"/>
    <w:semiHidden/>
    <w:unhideWhenUsed/>
    <w:qFormat/>
    <w:rsid w:val="00A10FD9"/>
    <w:pPr>
      <w:keepNext/>
      <w:keepLines/>
      <w:spacing w:before="240" w:after="120" w:line="276" w:lineRule="exact"/>
      <w:ind w:firstLine="0"/>
      <w:outlineLvl w:val="4"/>
    </w:pPr>
    <w:rPr>
      <w:rFonts w:ascii="Times New Roman" w:hAnsi="Times New Roman" w:eastAsia="Times New Roman" w:cs="Times New Roman"/>
      <w:b/>
      <w:bCs/>
      <w:i/>
      <w:color w:val="000000"/>
      <w:sz w:val="24"/>
      <w:szCs w:val="24"/>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552" w:lineRule="exact"/>
      <w:ind w:left="720" w:hanging="720"/>
    </w:pPr>
  </w:style>
  <w:style w:type="paragraph" w:styleId="BlockText">
    <w:name w:val="Block Text"/>
    <w:basedOn w:val="BodyText"/>
    <w:next w:val="BodyText"/>
    <w:uiPriority w:val="9"/>
    <w:unhideWhenUsed/>
    <w:qFormat/>
    <w:pPr>
      <w:spacing w:before="280" w:after="280" w:line="276" w:lineRule="exact"/>
      <w:ind w:firstLine="0" w:left="720" w:right="720"/>
    </w:pPr>
  </w:style>
  <w:style w:type="paragraph" w:styleId="FootnoteText">
    <w:name w:val="Footnote Text"/>
    <w:basedOn w:val="Normal"/>
    <w:next w:val="FootnoteText"/>
    <w:uiPriority w:val="9"/>
    <w:unhideWhenUsed/>
    <w:qFormat/>
    <w:pPr>
      <w:keepLines/>
      <w:spacing w:before="46" w:after="140" w:line="552" w:lineRule="exact"/>
    </w:pPr>
    <w:rPr>
      <w:sz w:val="24"/>
      <w:szCs w:val="24"/>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BodyTextNote">
    <w:name w:val="Body Text Note"/>
    <w:basedOn w:val="BodyText"/>
    <w:qFormat/>
    <w:pPr>
      <w:widowControl w:val="0"/>
    </w:pPr>
  </w:style>
  <w:style w:type="paragraph" w:customStyle="1" w:styleId="XdQuote">
    <w:name w:val="Xd Quote"/>
    <w:basedOn w:val="Normal"/>
    <w:qFormat/>
    <w:pPr>
      <w:spacing w:before="276" w:after="276" w:line="276" w:lineRule="exact"/>
      <w:ind w:left="720" w:right="720" w:firstLine="0"/>
    </w:pPr>
  </w:style>
  <w:style w:type="paragraph" w:customStyle="1" w:styleId="XdQuoteFirst">
    <w:name w:val="Xd Quote First"/>
    <w:basedOn w:val="Normal"/>
    <w:qFormat/>
    <w:pPr>
      <w:spacing w:before="144" w:after="276" w:line="276" w:lineRule="exact"/>
      <w:ind w:left="720" w:right="720" w:firstLine="0"/>
    </w:pPr>
  </w:style>
  <w:style w:type="paragraph" w:customStyle="1" w:styleId="XdQuoteLast">
    <w:name w:val="Xd Quote Last"/>
    <w:basedOn w:val="Normal"/>
    <w:qFormat/>
    <w:pPr>
      <w:spacing w:before="276" w:after="240" w:line="276" w:lineRule="exact"/>
      <w:ind w:left="720" w:right="720" w:firstLine="0"/>
    </w:pPr>
  </w:style>
  <w:style w:type="paragraph" w:customStyle="1" w:styleId="XdQuoteOnly">
    <w:name w:val="Xd Quote Only"/>
    <w:basedOn w:val="Normal"/>
    <w:qFormat/>
    <w:pPr>
      <w:spacing w:before="144" w:after="240" w:line="276" w:lineRule="exact"/>
      <w:ind w:left="720" w:right="720" w:firstLine="0"/>
    </w:pPr>
  </w:style>
  <w:style w:type="paragraph" w:customStyle="1" w:styleId="XdTail">
    <w:name w:val="Xd Tail"/>
    <w:basedOn w:val="Normal"/>
    <w:qFormat/>
    <w:pPr>
      <w:spacing w:before="0" w:after="0" w:line="276" w:lineRule="exact"/>
      <w:ind w:firstLine="0"/>
    </w:pPr>
  </w:style>
  <w:style w:type="paragraph" w:customStyle="1" w:styleId="XdList1">
    <w:name w:val="XdList 1"/>
    <w:basedOn w:val="Normal"/>
    <w:qFormat/>
    <w:pPr>
      <w:spacing w:before="0" w:after="0" w:line="552" w:lineRule="exact"/>
      <w:ind w:left="720" w:hanging="720"/>
    </w:pPr>
  </w:style>
  <w:style w:type="paragraph" w:customStyle="1" w:styleId="XdList2">
    <w:name w:val="XdList 2"/>
    <w:basedOn w:val="Normal"/>
    <w:qFormat/>
    <w:pPr>
      <w:spacing w:before="0" w:after="0" w:line="552" w:lineRule="exact"/>
      <w:ind w:left="1440" w:hanging="720"/>
    </w:pPr>
  </w:style>
  <w:style w:type="paragraph" w:customStyle="1" w:styleId="XdList3">
    <w:name w:val="XdList 3"/>
    <w:basedOn w:val="Normal"/>
    <w:qFormat/>
    <w:pPr>
      <w:spacing w:before="0" w:after="0" w:line="552" w:lineRule="exact"/>
      <w:ind w:left="2160" w:hanging="720"/>
    </w:pPr>
  </w:style>
  <w:style w:type="paragraph" w:customStyle="1" w:styleId="XdTailList1">
    <w:name w:val="XdTailList 1"/>
    <w:basedOn w:val="Normal"/>
    <w:qFormat/>
    <w:pPr>
      <w:spacing w:before="0" w:after="0" w:line="276" w:lineRule="exact"/>
      <w:ind w:left="720" w:hanging="720"/>
    </w:pPr>
  </w:style>
  <w:style w:type="paragraph" w:customStyle="1" w:styleId="XdTailList2">
    <w:name w:val="XdTailList 2"/>
    <w:basedOn w:val="Normal"/>
    <w:qFormat/>
    <w:pPr>
      <w:spacing w:before="0" w:after="0" w:line="276" w:lineRule="exact"/>
      <w:ind w:left="1440" w:hanging="720"/>
    </w:pPr>
  </w:style>
  <w:style w:type="paragraph" w:customStyle="1" w:styleId="XdTailList3">
    <w:name w:val="XdTailList 3"/>
    <w:basedOn w:val="Normal"/>
    <w:qFormat/>
    <w:pPr>
      <w:spacing w:before="0" w:after="0" w:line="276" w:lineRule="exact"/>
      <w:ind w:left="2160" w:hanging="720"/>
    </w:pPr>
  </w:style>
  <w:style w:type="paragraph" w:customStyle="1" w:styleId="XdQuoteList1">
    <w:name w:val="Xd Quote List 1"/>
    <w:basedOn w:val="Normal"/>
    <w:qFormat/>
    <w:pPr>
      <w:spacing w:before="0" w:after="0" w:line="276" w:lineRule="exact"/>
      <w:ind w:left="1440" w:right="720" w:hanging="720"/>
    </w:pPr>
  </w:style>
  <w:style w:type="paragraph" w:customStyle="1" w:styleId="XdQuoteList2">
    <w:name w:val="Xd Quote List 2"/>
    <w:basedOn w:val="Normal"/>
    <w:qFormat/>
    <w:pPr>
      <w:spacing w:before="0" w:after="0" w:line="276" w:lineRule="exact"/>
      <w:ind w:left="2160" w:right="720" w:hanging="720"/>
    </w:pPr>
  </w:style>
  <w:style w:type="paragraph" w:customStyle="1" w:styleId="XdQuoteList3">
    <w:name w:val="Xd Quote List 3"/>
    <w:basedOn w:val="Normal"/>
    <w:qFormat/>
    <w:pPr>
      <w:spacing w:before="0" w:after="0" w:line="276" w:lineRule="exact"/>
      <w:ind w:left="2880" w:right="720" w:hanging="720"/>
    </w:p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 Type="http://schemas.openxmlformats.org/officeDocument/2006/relationships/footer" Id="rIdFtrNone" Target="ftr-none.xml"/><Relationship Type="http://schemas.openxmlformats.org/officeDocument/2006/relationships/footer" Id="rIdFtrPage" Target="ftr-page.xml"/><Relationship Type="http://schemas.openxmlformats.org/officeDocument/2006/relationships/footer" Id="rIdFtrAdd" Target="ftr-add.xml"/><Relationship Type="http://schemas.openxmlformats.org/officeDocument/2006/relationships/footer" Id="rIdXdPage" Target="ftr-own1.xml"/><Relationship Type="http://schemas.openxmlformats.org/officeDocument/2006/relationships/footer" Id="rIdXdNone" Target="ftr-own2.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