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rPr>
          <w:b/>
          <w:bCs/>
        </w:rPr>
        <w:t xml:space="preserve">No.</w:t>
      </w:r>
      <w:r>
        <w:rPr>
          <w:b/>
          <w:bCs/>
        </w:rPr>
        <w:t xml:space="preserve"> </w:t>
      </w:r>
      <w:r>
        <w:rPr>
          <w:b/>
          <w:bCs/>
        </w:rPr>
        <w:t xml:space="preserve">1200230</w:t>
      </w:r>
    </w:p>
    <w:p>
      <w:pPr>
        <w:spacing w:before="336"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ALABAMA</w:t>
      </w:r>
    </w:p>
    <w:p>
      <w:pPr>
        <w:spacing w:before="448" w:after="0" w:line="336" w:lineRule="exact"/>
        <w:ind w:left="0" w:firstLine="0"/>
        <w:jc w:val="center"/>
      </w:pPr>
      <w:r>
        <w:t xml:space="preserve">EX</w:t>
      </w:r>
      <w:r>
        <w:t xml:space="preserve"> </w:t>
      </w:r>
      <w:r>
        <w:t xml:space="preserve">PARTE:</w:t>
      </w:r>
      <w:r>
        <w:t xml:space="preserve"> </w:t>
      </w:r>
      <w:r>
        <w:t xml:space="preserve">JEFFERSON</w:t>
      </w:r>
      <w:r>
        <w:t xml:space="preserve"> </w:t>
      </w:r>
      <w:r>
        <w:t xml:space="preserve">COUNTY</w:t>
      </w:r>
      <w:r>
        <w:t xml:space="preserve"> </w:t>
      </w:r>
      <w:r>
        <w:t xml:space="preserve">BOARD</w:t>
      </w:r>
      <w:r>
        <w:t xml:space="preserve"> </w:t>
      </w:r>
      <w:r>
        <w:t xml:space="preserve">OF</w:t>
      </w:r>
      <w:r>
        <w:t xml:space="preserve"> </w:t>
      </w:r>
      <w:r>
        <w:t xml:space="preserve">EDUCATION,</w:t>
      </w:r>
      <w:r>
        <w:t xml:space="preserve"> </w:t>
      </w:r>
      <w:r>
        <w:t xml:space="preserve">et</w:t>
      </w:r>
      <w:r>
        <w:t xml:space="preserve"> </w:t>
      </w:r>
      <w:r>
        <w:t xml:space="preserve">al.,</w:t>
      </w:r>
    </w:p>
    <w:p>
      <w:pPr>
        <w:spacing w:before="0" w:after="0" w:line="336" w:lineRule="exact"/>
        <w:ind w:left="0" w:firstLine="0"/>
        <w:jc w:val="center"/>
      </w:pPr>
      <w:r>
        <w:rPr>
          <w:i/>
          <w:iCs/>
        </w:rPr>
        <w:t xml:space="preserve">Petitioner.</w:t>
      </w:r>
    </w:p>
    <w:p>
      <w:pPr>
        <w:spacing w:before="448" w:after="0" w:line="336" w:lineRule="exact"/>
        <w:ind w:left="0" w:firstLine="0"/>
        <w:jc w:val="center"/>
      </w:pPr>
      <w:r>
        <w:t xml:space="preserve">RE:</w:t>
      </w:r>
      <w:r>
        <w:t xml:space="preserve"> </w:t>
      </w:r>
      <w:r>
        <w:t xml:space="preserve">ALABAMA</w:t>
      </w:r>
      <w:r>
        <w:t xml:space="preserve"> </w:t>
      </w:r>
      <w:r>
        <w:t xml:space="preserve">LOCKERS,</w:t>
      </w:r>
      <w:r>
        <w:t xml:space="preserve"> </w:t>
      </w:r>
      <w:r>
        <w:t xml:space="preserve">LLC</w:t>
      </w:r>
      <w:r>
        <w:t xml:space="preserve"> </w:t>
      </w:r>
      <w:r>
        <w:t xml:space="preserve">V.</w:t>
      </w:r>
      <w:r>
        <w:t xml:space="preserve"> </w:t>
      </w:r>
      <w:r>
        <w:t xml:space="preserve">JEFFERSON</w:t>
      </w:r>
      <w:r>
        <w:t xml:space="preserve"> </w:t>
      </w:r>
      <w:r>
        <w:t xml:space="preserve">COUNTY</w:t>
      </w:r>
      <w:r>
        <w:t xml:space="preserve"> </w:t>
      </w:r>
      <w:r>
        <w:t xml:space="preserve">BOARD</w:t>
      </w:r>
      <w:r>
        <w:t xml:space="preserve"> </w:t>
      </w:r>
      <w:r>
        <w:t xml:space="preserve">OF</w:t>
      </w:r>
      <w:r>
        <w:t xml:space="preserve"> </w:t>
      </w:r>
      <w:r>
        <w:t xml:space="preserve">EDUCATION,</w:t>
      </w:r>
      <w:r>
        <w:t xml:space="preserve"> </w:t>
      </w:r>
      <w:r>
        <w:t xml:space="preserve">Jefferson</w:t>
      </w:r>
      <w:r>
        <w:t xml:space="preserve"> </w:t>
      </w:r>
      <w:r>
        <w:t xml:space="preserve">County</w:t>
      </w:r>
      <w:r>
        <w:t xml:space="preserve"> </w:t>
      </w:r>
      <w:r>
        <w:t xml:space="preserve">Circuit</w:t>
      </w:r>
      <w:r>
        <w:t xml:space="preserve"> </w:t>
      </w:r>
      <w:r>
        <w:t xml:space="preserve">Court,</w:t>
      </w:r>
      <w:r>
        <w:t xml:space="preserve"> </w:t>
      </w:r>
      <w:r>
        <w:t xml:space="preserve">01-CV-⁠2020-⁠902676</w:t>
      </w:r>
    </w:p>
    <w:p>
      <w:pPr>
        <w:spacing w:before="0" w:after="0" w:line="2772" w:lineRule="exact"/>
      </w:pPr>
    </w:p>
    <w:p>
      <w:pPr>
        <w:spacing w:before="0" w:after="0" w:line="336" w:lineRule="exact"/>
        <w:ind w:left="0" w:firstLine="0"/>
        <w:jc w:val="center"/>
      </w:pPr>
      <w:r>
        <w:rPr>
          <w:b/>
          <w:bCs/>
        </w:rPr>
        <w:t xml:space="preserve">CORRECTED</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WRIT</w:t>
      </w:r>
      <w:r>
        <w:rPr>
          <w:b/>
          <w:bCs/>
        </w:rPr>
        <w:t xml:space="preserve"> </w:t>
      </w:r>
      <w:r>
        <w:rPr>
          <w:b/>
          <w:bCs/>
        </w:rPr>
        <w:t xml:space="preserve">OF</w:t>
      </w:r>
      <w:r>
        <w:rPr>
          <w:b/>
          <w:bCs/>
        </w:rPr>
        <w:t xml:space="preserve"> </w:t>
      </w:r>
      <w:r>
        <w:rPr>
          <w:b/>
          <w:bCs/>
        </w:rPr>
        <w:t xml:space="preserve">MANDAMUS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10TH</w:t>
      </w:r>
      <w:r>
        <w:rPr>
          <w:b/>
          <w:bCs/>
        </w:rPr>
        <w:t xml:space="preserve"> </w:t>
      </w:r>
      <w:r>
        <w:rPr>
          <w:b/>
          <w:bCs/>
        </w:rPr>
        <w:t xml:space="preserve">JUDICIAL</w:t>
      </w:r>
      <w:r>
        <w:rPr>
          <w:b/>
          <w:bCs/>
        </w:rPr>
        <w:t xml:space="preserve"> </w:t>
      </w:r>
      <w:r>
        <w:rPr>
          <w:b/>
          <w:bCs/>
        </w:rPr>
        <w:t xml:space="preserve">CIRCUIT</w:t>
      </w:r>
      <w:r>
        <w:rPr>
          <w:b/>
          <w:bCs/>
        </w:rPr>
        <w:t xml:space="preserve"> </w:t>
      </w:r>
      <w:r>
        <w:rPr>
          <w:b/>
          <w:bCs/>
        </w:rPr>
        <w:t xml:space="preserve">COURT,</w:t>
      </w:r>
      <w:r>
        <w:rPr>
          <w:b/>
          <w:bCs/>
        </w:rPr>
        <w:t xml:space="preserve"> </w:t>
      </w:r>
      <w:r>
        <w:rPr>
          <w:b/>
          <w:bCs/>
        </w:rPr>
        <w:t xml:space="preserve">JEFFERSON</w:t>
      </w:r>
      <w:r>
        <w:rPr>
          <w:b/>
          <w:bCs/>
        </w:rPr>
        <w:t xml:space="preserve"> </w:t>
      </w:r>
      <w:r>
        <w:rPr>
          <w:b/>
          <w:bCs/>
        </w:rPr>
        <w:t xml:space="preserve">COUNTY</w:t>
      </w:r>
      <w:r>
        <w:rPr>
          <w:b/>
          <w:bCs/>
        </w:rPr>
        <w:t xml:space="preserve"> </w:t>
      </w:r>
      <w:r>
        <w:rPr>
          <w:b/>
          <w:bCs/>
        </w:rPr>
        <w:t xml:space="preserve">(BIRMINGHAM</w:t>
      </w:r>
      <w:r>
        <w:rPr>
          <w:b/>
          <w:bCs/>
        </w:rPr>
        <w:t xml:space="preserve"> </w:t>
      </w:r>
      <w:r>
        <w:rPr>
          <w:b/>
          <w:bCs/>
        </w:rPr>
        <w:t xml:space="preserve">DIVISION)</w:t>
      </w:r>
    </w:p>
    <w:p>
      <w:pPr>
        <w:spacing w:before="0" w:after="0" w:line="2772" w:lineRule="exact"/>
      </w:pPr>
    </w:p>
    <w:p>
      <w:pPr>
        <w:spacing w:before="0" w:after="0" w:line="336" w:lineRule="exact"/>
        <w:ind w:left="4608" w:firstLine="0"/>
        <w:jc w:val="left"/>
      </w:pPr>
      <w:r>
        <w:rPr>
          <w:b/>
          <w:bCs/>
        </w:rPr>
        <w:t xml:space="preserve">Andrew</w:t>
      </w:r>
      <w:r>
        <w:rPr>
          <w:b/>
          <w:bCs/>
        </w:rPr>
        <w:t xml:space="preserve"> </w:t>
      </w:r>
      <w:r>
        <w:rPr>
          <w:b/>
          <w:bCs/>
        </w:rPr>
        <w:t xml:space="preserve">E.</w:t>
      </w:r>
      <w:r>
        <w:rPr>
          <w:b/>
          <w:bCs/>
        </w:rPr>
        <w:t xml:space="preserve"> </w:t>
      </w:r>
      <w:r>
        <w:rPr>
          <w:b/>
          <w:bCs/>
        </w:rPr>
        <w:t xml:space="preserve">Rudloff</w:t>
      </w:r>
    </w:p>
    <w:p>
      <w:pPr>
        <w:spacing w:before="0" w:after="0" w:line="336" w:lineRule="exact"/>
        <w:ind w:left="4608" w:firstLine="0"/>
        <w:jc w:val="left"/>
      </w:pPr>
      <w:r>
        <w:t xml:space="preserve">Bishop,</w:t>
      </w:r>
      <w:r>
        <w:t xml:space="preserve"> </w:t>
      </w:r>
      <w:r>
        <w:t xml:space="preserve">Colvin,</w:t>
      </w:r>
      <w:r>
        <w:t xml:space="preserve"> </w:t>
      </w:r>
      <w:r>
        <w:t xml:space="preserve">Johnson</w:t>
      </w:r>
      <w:r>
        <w:t xml:space="preserve"> </w:t>
      </w:r>
      <w:r>
        <w:t xml:space="preserve">&amp;</w:t>
      </w:r>
      <w:r>
        <w:t xml:space="preserve"> </w:t>
      </w:r>
      <w:r>
        <w:t xml:space="preserve">Kent,</w:t>
      </w:r>
      <w:r>
        <w:t xml:space="preserve"> </w:t>
      </w:r>
      <w:r>
        <w:t xml:space="preserve">LLC</w:t>
      </w:r>
    </w:p>
    <w:p>
      <w:pPr>
        <w:spacing w:before="0" w:after="0" w:line="336" w:lineRule="exact"/>
        <w:ind w:left="4608" w:firstLine="0"/>
        <w:jc w:val="left"/>
      </w:pPr>
      <w:r>
        <w:t xml:space="preserve">1910</w:t>
      </w:r>
      <w:r>
        <w:t xml:space="preserve"> </w:t>
      </w:r>
      <w:r>
        <w:t xml:space="preserve">First</w:t>
      </w:r>
      <w:r>
        <w:t xml:space="preserve"> </w:t>
      </w:r>
      <w:r>
        <w:t xml:space="preserve">Avenue</w:t>
      </w:r>
      <w:r>
        <w:t xml:space="preserve"> </w:t>
      </w:r>
      <w:r>
        <w:t xml:space="preserve">North</w:t>
      </w:r>
    </w:p>
    <w:p>
      <w:pPr>
        <w:spacing w:before="0" w:after="0" w:line="336" w:lineRule="exact"/>
        <w:ind w:left="4608" w:firstLine="0"/>
        <w:jc w:val="left"/>
      </w:pPr>
      <w:r>
        <w:t xml:space="preserve">Birmingham,</w:t>
      </w:r>
      <w:r>
        <w:t xml:space="preserve"> </w:t>
      </w:r>
      <w:r>
        <w:t xml:space="preserve">Alabama</w:t>
      </w:r>
      <w:r>
        <w:t xml:space="preserve"> </w:t>
      </w:r>
      <w:r>
        <w:t xml:space="preserve">35203</w:t>
      </w:r>
    </w:p>
    <w:p>
      <w:pPr>
        <w:spacing w:before="0" w:after="0" w:line="336" w:lineRule="exact"/>
        <w:ind w:left="4608" w:firstLine="0"/>
        <w:jc w:val="left"/>
      </w:pPr>
      <w:r>
        <w:t xml:space="preserve">P:</w:t>
      </w:r>
      <w:r>
        <w:t xml:space="preserve"> </w:t>
      </w:r>
      <w:r>
        <w:t xml:space="preserve">(205)</w:t>
      </w:r>
      <w:r>
        <w:t xml:space="preserve"> </w:t>
      </w:r>
      <w:r>
        <w:t xml:space="preserve">251-⁠2881</w:t>
      </w:r>
    </w:p>
    <w:p>
      <w:pPr>
        <w:spacing w:before="0" w:after="0" w:line="336" w:lineRule="exact"/>
        <w:ind w:left="4608" w:firstLine="0"/>
        <w:jc w:val="left"/>
      </w:pPr>
      <w:r>
        <w:t xml:space="preserve">F:</w:t>
      </w:r>
      <w:r>
        <w:t xml:space="preserve"> </w:t>
      </w:r>
      <w:r>
        <w:t xml:space="preserve">(205)</w:t>
      </w:r>
      <w:r>
        <w:t xml:space="preserve"> </w:t>
      </w:r>
      <w:r>
        <w:t xml:space="preserve">254-⁠3987</w:t>
      </w:r>
    </w:p>
    <w:p>
      <w:pPr>
        <w:spacing w:before="0" w:after="0" w:line="336" w:lineRule="exact"/>
        <w:ind w:left="4608" w:firstLine="0"/>
        <w:jc w:val="left"/>
      </w:pPr>
      <w:r>
        <w:t xml:space="preserve">E:</w:t>
      </w:r>
      <w:r>
        <w:t xml:space="preserve"> </w:t>
      </w:r>
      <w:r>
        <w:t xml:space="preserve">arudloff@bishopcolvin.com</w:t>
      </w:r>
    </w:p>
    <w:p>
      <w:pPr>
        <w:spacing w:before="0" w:after="0" w:line="336"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Petitioner</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6</w:t>
      </w:r>
    </w:p>
    <w:p>
      <w:pPr>
        <w:keepLines/>
        <w:tabs>
          <w:tab w:val="right" w:leader="dot" w:pos="9360"/>
        </w:tabs>
        <w:spacing w:before="252" w:after="0" w:line="336" w:lineRule="exact"/>
        <w:ind w:left="1560" w:right="720" w:hanging="720"/>
      </w:pPr>
      <w:r>
        <w:t xml:space="preserve">A.</w:t>
      </w:r>
      <w:r>
        <w:tab/>
      </w:r>
      <w:r>
        <w:t xml:space="preserve">Nature</w:t>
      </w:r>
      <w:r>
        <w:t xml:space="preserve"> </w:t>
      </w:r>
      <w:r>
        <w:t xml:space="preserve">of</w:t>
      </w:r>
      <w:r>
        <w:t xml:space="preserve"> </w:t>
      </w:r>
      <w:r>
        <w:t xml:space="preserve">the</w:t>
      </w:r>
      <w:r>
        <w:t xml:space="preserve"> </w:t>
      </w:r>
      <w:r>
        <w:t xml:space="preserve">Case</w:t>
      </w:r>
      <w:r>
        <w:t xml:space="preserve">   </w:t>
      </w:r>
      <w:r>
        <w:tab/>
      </w:r>
      <w:r>
        <w:t xml:space="preserve">6</w:t>
      </w:r>
    </w:p>
    <w:p>
      <w:pPr>
        <w:keepLines/>
        <w:tabs>
          <w:tab w:val="right" w:leader="dot" w:pos="9360"/>
        </w:tabs>
        <w:spacing w:before="252" w:after="0" w:line="336" w:lineRule="exact"/>
        <w:ind w:left="1560" w:right="720" w:hanging="720"/>
      </w:pPr>
      <w:r>
        <w:t xml:space="preserve">B.</w:t>
      </w:r>
      <w:r>
        <w:tab/>
      </w:r>
      <w:r>
        <w:t xml:space="preserve">Course</w:t>
      </w:r>
      <w:r>
        <w:t xml:space="preserve"> </w:t>
      </w:r>
      <w:r>
        <w:t xml:space="preserve">of</w:t>
      </w:r>
      <w:r>
        <w:t xml:space="preserve"> </w:t>
      </w:r>
      <w:r>
        <w:t xml:space="preserve">Proceedings</w:t>
      </w:r>
      <w:r>
        <w:t xml:space="preserve"> </w:t>
      </w:r>
      <w:r>
        <w:t xml:space="preserve">and</w:t>
      </w:r>
      <w:r>
        <w:t xml:space="preserve"> </w:t>
      </w:r>
      <w:r>
        <w:t xml:space="preserve">Disposition</w:t>
      </w:r>
      <w:r>
        <w:t xml:space="preserve">   </w:t>
      </w:r>
      <w:r>
        <w:tab/>
      </w:r>
      <w:r>
        <w:t xml:space="preserve">7</w:t>
      </w:r>
    </w:p>
    <w:p>
      <w:pPr>
        <w:keepLines/>
        <w:tabs>
          <w:tab w:val="right" w:leader="dot" w:pos="9360"/>
        </w:tabs>
        <w:spacing w:before="252" w:after="0" w:line="336" w:lineRule="exact"/>
        <w:ind w:left="1560" w:right="720" w:hanging="720"/>
      </w:pPr>
      <w:r>
        <w:t xml:space="preserve">C.</w:t>
      </w:r>
      <w:r>
        <w:tab/>
      </w:r>
      <w:r>
        <w:t xml:space="preserve">Statement</w:t>
      </w:r>
      <w:r>
        <w:t xml:space="preserve"> </w:t>
      </w:r>
      <w:r>
        <w:t xml:space="preserve">Regarding</w:t>
      </w:r>
      <w:r>
        <w:t xml:space="preserve"> </w:t>
      </w:r>
      <w:r>
        <w:t xml:space="preserve">Timing</w:t>
      </w:r>
      <w:r>
        <w:t xml:space="preserve"> </w:t>
      </w:r>
      <w:r>
        <w:t xml:space="preserve">of</w:t>
      </w:r>
      <w:r>
        <w:t xml:space="preserve"> </w:t>
      </w:r>
      <w:r>
        <w:t xml:space="preserve">the</w:t>
      </w:r>
      <w:r>
        <w:t xml:space="preserve"> </w:t>
      </w:r>
      <w:r>
        <w:t xml:space="preserve">Petition</w:t>
      </w:r>
      <w:r>
        <w:t xml:space="preserve">   </w:t>
      </w:r>
      <w:r>
        <w:tab/>
      </w:r>
      <w:r>
        <w:t xml:space="preserve">11</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UNDISPUTED</w:t>
      </w:r>
      <w:r>
        <w:t xml:space="preserve"> </w:t>
      </w:r>
      <w:r>
        <w:t xml:space="preserve">FACTS</w:t>
      </w:r>
      <w:r>
        <w:t xml:space="preserve">   </w:t>
      </w:r>
      <w:r>
        <w:tab/>
      </w:r>
      <w:r>
        <w:t xml:space="preserve">14</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THE</w:t>
      </w:r>
      <w:r>
        <w:t xml:space="preserve"> </w:t>
      </w:r>
      <w:r>
        <w:t xml:space="preserve">ISSUE</w:t>
      </w:r>
      <w:r>
        <w:t xml:space="preserve">   </w:t>
      </w:r>
      <w:r>
        <w:tab/>
      </w:r>
      <w:r>
        <w:t xml:space="preserve">15</w:t>
      </w:r>
    </w:p>
    <w:p>
      <w:pPr>
        <w:keepLines/>
        <w:tabs>
          <w:tab w:val="right" w:leader="dot" w:pos="9360"/>
        </w:tabs>
        <w:spacing w:before="252" w:after="0" w:line="336" w:lineRule="exact"/>
        <w:ind w:left="720" w:right="720" w:hanging="720"/>
      </w:pPr>
      <w:r>
        <w:t xml:space="preserve">REASONS</w:t>
      </w:r>
      <w:r>
        <w:t xml:space="preserve"> </w:t>
      </w:r>
      <w:r>
        <w:t xml:space="preserve">WHY</w:t>
      </w:r>
      <w:r>
        <w:t xml:space="preserve"> </w:t>
      </w:r>
      <w:r>
        <w:t xml:space="preserve">THE</w:t>
      </w:r>
      <w:r>
        <w:t xml:space="preserve"> </w:t>
      </w:r>
      <w:r>
        <w:t xml:space="preserve">WRIT</w:t>
      </w:r>
      <w:r>
        <w:t xml:space="preserve"> </w:t>
      </w:r>
      <w:r>
        <w:t xml:space="preserve">SHOULD</w:t>
      </w:r>
      <w:r>
        <w:t xml:space="preserve"> </w:t>
      </w:r>
      <w:r>
        <w:t xml:space="preserve">ISSUE</w:t>
      </w:r>
      <w:r>
        <w:t xml:space="preserve">   </w:t>
      </w:r>
      <w:r>
        <w:tab/>
      </w:r>
      <w:r>
        <w:t xml:space="preserve">16</w:t>
      </w:r>
    </w:p>
    <w:p>
      <w:pPr>
        <w:keepLines/>
        <w:tabs>
          <w:tab w:val="right" w:leader="dot" w:pos="9360"/>
        </w:tabs>
        <w:spacing w:before="252" w:after="0" w:line="336" w:lineRule="exact"/>
        <w:ind w:left="720" w:right="720" w:hanging="720"/>
      </w:pPr>
      <w:r>
        <w:t xml:space="preserve">CONCLUSION</w:t>
      </w:r>
      <w:r>
        <w:t xml:space="preserve">   </w:t>
      </w:r>
      <w:r>
        <w:tab/>
      </w:r>
      <w:r>
        <w:t xml:space="preserve">23</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26</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27</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36" w:lineRule="exact"/>
        <w:ind w:left="0" w:firstLine="0"/>
        <w:jc w:val="left"/>
      </w:pPr>
      <w:r>
        <w:rPr>
          <w:b/>
          <w:bCs/>
        </w:rPr>
        <w:t xml:space="preserve">Cases</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Adams</w:t>
      </w:r>
      <w:r>
        <w:t xml:space="preserve">,</w:t>
      </w:r>
      <w:r>
        <w:t xml:space="preserve"> </w:t>
      </w:r>
      <w:r>
        <w:t xml:space="preserve">168</w:t>
      </w:r>
      <w:r>
        <w:t xml:space="preserve"> </w:t>
      </w:r>
      <w:r>
        <w:t xml:space="preserve">So.3d</w:t>
      </w:r>
      <w:r>
        <w:t xml:space="preserve"> </w:t>
      </w:r>
      <w:r>
        <w:t xml:space="preserve">40</w:t>
      </w:r>
      <w:r>
        <w:t xml:space="preserve"> </w:t>
      </w:r>
      <w:r>
        <w:t xml:space="preserve">(Ala.</w:t>
      </w:r>
      <w:r>
        <w:t xml:space="preserve"> </w:t>
      </w:r>
      <w:r>
        <w:t xml:space="preserve">2014)</w:t>
      </w:r>
      <w:r>
        <w:t xml:space="preserve">   </w:t>
      </w:r>
      <w:r>
        <w:tab/>
      </w:r>
      <w:r>
        <w:t xml:space="preserve">14</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Ala.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t xml:space="preserve">,</w:t>
      </w:r>
      <w:r>
        <w:t xml:space="preserve"> </w:t>
      </w:r>
      <w:r>
        <w:t xml:space="preserve">978</w:t>
      </w:r>
      <w:r>
        <w:t xml:space="preserve"> </w:t>
      </w:r>
      <w:r>
        <w:t xml:space="preserve">So.2d</w:t>
      </w:r>
      <w:r>
        <w:t xml:space="preserve"> </w:t>
      </w:r>
      <w:r>
        <w:t xml:space="preserve">17</w:t>
      </w:r>
      <w:r>
        <w:t xml:space="preserve"> </w:t>
      </w:r>
      <w:r>
        <w:t xml:space="preserve">(Ala.</w:t>
      </w:r>
      <w:r>
        <w:t xml:space="preserve"> </w:t>
      </w:r>
      <w:r>
        <w:t xml:space="preserve">2007)</w:t>
      </w:r>
      <w:r>
        <w:t xml:space="preserve">   </w:t>
      </w:r>
      <w:r>
        <w:tab/>
      </w:r>
      <w:r>
        <w:t xml:space="preserve">17</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Ala.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w:t>
      </w:r>
      <w:r>
        <w:t xml:space="preserve">,</w:t>
      </w:r>
      <w:r>
        <w:t xml:space="preserve"> </w:t>
      </w:r>
      <w:r>
        <w:t xml:space="preserve">6</w:t>
      </w:r>
      <w:r>
        <w:t xml:space="preserve"> </w:t>
      </w:r>
      <w:r>
        <w:t xml:space="preserve">So.3d</w:t>
      </w:r>
      <w:r>
        <w:t xml:space="preserve"> </w:t>
      </w:r>
      <w:r>
        <w:t xml:space="preserve">1126</w:t>
      </w:r>
      <w:r>
        <w:t xml:space="preserve"> </w:t>
      </w:r>
      <w:r>
        <w:t xml:space="preserve">(Ala.</w:t>
      </w:r>
      <w:r>
        <w:t xml:space="preserve"> </w:t>
      </w:r>
      <w:r>
        <w:t xml:space="preserve">2008)</w:t>
      </w:r>
      <w:r>
        <w:t xml:space="preserve">   </w:t>
      </w:r>
      <w:r>
        <w:tab/>
      </w:r>
      <w:r>
        <w:t xml:space="preserve">18</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Ala.</w:t>
      </w:r>
      <w:r>
        <w:rPr>
          <w:i/>
          <w:iCs/>
        </w:rPr>
        <w:t xml:space="preserve"> </w:t>
      </w:r>
      <w:r>
        <w:rPr>
          <w:i/>
          <w:iCs/>
        </w:rPr>
        <w:t xml:space="preserve">Peace</w:t>
      </w:r>
      <w:r>
        <w:rPr>
          <w:i/>
          <w:iCs/>
        </w:rPr>
        <w:t xml:space="preserve"> </w:t>
      </w:r>
      <w:r>
        <w:rPr>
          <w:i/>
          <w:iCs/>
        </w:rPr>
        <w:t xml:space="preserve">Officers’</w:t>
      </w:r>
      <w:r>
        <w:rPr>
          <w:i/>
          <w:iCs/>
        </w:rPr>
        <w:t xml:space="preserve"> </w:t>
      </w:r>
      <w:r>
        <w:rPr>
          <w:i/>
          <w:iCs/>
        </w:rPr>
        <w:t xml:space="preserve">Standards</w:t>
      </w:r>
      <w:r>
        <w:rPr>
          <w:i/>
          <w:iCs/>
        </w:rPr>
        <w:t xml:space="preserve"> </w:t>
      </w:r>
      <w:r>
        <w:rPr>
          <w:i/>
          <w:iCs/>
        </w:rPr>
        <w:t xml:space="preserve">&amp;</w:t>
      </w:r>
      <w:r>
        <w:rPr>
          <w:i/>
          <w:iCs/>
        </w:rPr>
        <w:t xml:space="preserve"> </w:t>
      </w:r>
      <w:r>
        <w:rPr>
          <w:i/>
          <w:iCs/>
        </w:rPr>
        <w:t xml:space="preserve">Training</w:t>
      </w:r>
      <w:r>
        <w:rPr>
          <w:i/>
          <w:iCs/>
        </w:rPr>
        <w:t xml:space="preserve"> </w:t>
      </w:r>
      <w:r>
        <w:rPr>
          <w:i/>
          <w:iCs/>
        </w:rPr>
        <w:t xml:space="preserve">Comm.</w:t>
      </w:r>
      <w:r>
        <w:t xml:space="preserve">,</w:t>
      </w:r>
      <w:r>
        <w:t xml:space="preserve"> </w:t>
      </w:r>
      <w:r>
        <w:t xml:space="preserve">275</w:t>
      </w:r>
      <w:r>
        <w:t xml:space="preserve"> </w:t>
      </w:r>
      <w:r>
        <w:t xml:space="preserve">So.3d</w:t>
      </w:r>
      <w:r>
        <w:t xml:space="preserve"> </w:t>
      </w:r>
      <w:r>
        <w:t xml:space="preserve">527</w:t>
      </w:r>
      <w:r>
        <w:t xml:space="preserve"> </w:t>
      </w:r>
      <w:r>
        <w:t xml:space="preserve">(Ala.</w:t>
      </w:r>
      <w:r>
        <w:t xml:space="preserve"> </w:t>
      </w:r>
      <w:r>
        <w:t xml:space="preserve">2018)</w:t>
      </w:r>
      <w:r>
        <w:t xml:space="preserve">   </w:t>
      </w:r>
      <w:r>
        <w:tab/>
      </w:r>
      <w:r>
        <w:t xml:space="preserve">18</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Blankenship</w:t>
      </w:r>
      <w:r>
        <w:t xml:space="preserve">,</w:t>
      </w:r>
      <w:r>
        <w:t xml:space="preserve"> </w:t>
      </w:r>
      <w:r>
        <w:t xml:space="preserve">893</w:t>
      </w:r>
      <w:r>
        <w:t xml:space="preserve"> </w:t>
      </w:r>
      <w:r>
        <w:t xml:space="preserve">So.2d</w:t>
      </w:r>
      <w:r>
        <w:t xml:space="preserve"> </w:t>
      </w:r>
      <w:r>
        <w:t xml:space="preserve">303</w:t>
      </w:r>
      <w:r>
        <w:t xml:space="preserve"> </w:t>
      </w:r>
      <w:r>
        <w:t xml:space="preserve">(Ala.</w:t>
      </w:r>
      <w:r>
        <w:t xml:space="preserve"> </w:t>
      </w:r>
      <w:r>
        <w:t xml:space="preserve">2004)</w:t>
      </w:r>
      <w:r>
        <w:t xml:space="preserve">   </w:t>
      </w:r>
      <w:r>
        <w:tab/>
      </w:r>
      <w:r>
        <w:t xml:space="preserve">18, 23</w:t>
      </w:r>
    </w:p>
    <w:p>
      <w:pPr>
        <w:keepLines/>
        <w:tabs>
          <w:tab w:val="right" w:leader="dot" w:pos="9360"/>
        </w:tabs>
        <w:spacing w:before="252" w:after="0" w:line="336" w:lineRule="exact"/>
        <w:ind w:left="420" w:right="1440" w:hanging="420"/>
      </w:pPr>
      <w:r>
        <w:rPr>
          <w:i/>
          <w:iCs/>
        </w:rPr>
        <w:t xml:space="preserve">Ala.</w:t>
      </w:r>
      <w:r>
        <w:rPr>
          <w:i/>
          <w:iCs/>
        </w:rPr>
        <w:t xml:space="preserve"> </w:t>
      </w:r>
      <w:r>
        <w:rPr>
          <w:i/>
          <w:iCs/>
        </w:rPr>
        <w:t xml:space="preserve">State</w:t>
      </w:r>
      <w:r>
        <w:rPr>
          <w:i/>
          <w:iCs/>
        </w:rPr>
        <w:t xml:space="preserve"> </w:t>
      </w:r>
      <w:r>
        <w:rPr>
          <w:i/>
          <w:iCs/>
        </w:rPr>
        <w:t xml:space="preserve">Univ.</w:t>
      </w:r>
      <w:r>
        <w:rPr>
          <w:i/>
          <w:iCs/>
        </w:rPr>
        <w:t xml:space="preserve"> </w:t>
      </w:r>
      <w:r>
        <w:rPr>
          <w:i/>
          <w:iCs/>
        </w:rPr>
        <w:t xml:space="preserve">v.</w:t>
      </w:r>
      <w:r>
        <w:rPr>
          <w:i/>
          <w:iCs/>
        </w:rPr>
        <w:t xml:space="preserve"> </w:t>
      </w:r>
      <w:r>
        <w:rPr>
          <w:i/>
          <w:iCs/>
        </w:rPr>
        <w:t xml:space="preserve">Danley</w:t>
      </w:r>
      <w:r>
        <w:t xml:space="preserve">,</w:t>
      </w:r>
      <w:r>
        <w:t xml:space="preserve"> </w:t>
      </w:r>
      <w:r>
        <w:t xml:space="preserve">212</w:t>
      </w:r>
      <w:r>
        <w:t xml:space="preserve"> </w:t>
      </w:r>
      <w:r>
        <w:t xml:space="preserve">So.3d</w:t>
      </w:r>
      <w:r>
        <w:t xml:space="preserve"> </w:t>
      </w:r>
      <w:r>
        <w:t xml:space="preserve">112</w:t>
      </w:r>
      <w:r>
        <w:t xml:space="preserve"> </w:t>
      </w:r>
      <w:r>
        <w:t xml:space="preserve">(Ala.</w:t>
      </w:r>
      <w:r>
        <w:t xml:space="preserve"> </w:t>
      </w:r>
      <w:r>
        <w:t xml:space="preserve">2016)</w:t>
      </w:r>
      <w:r>
        <w:t xml:space="preserve">   </w:t>
      </w:r>
      <w:r>
        <w:tab/>
      </w:r>
      <w:r>
        <w:t xml:space="preserve">17</w:t>
      </w:r>
    </w:p>
    <w:p>
      <w:pPr>
        <w:keepLines/>
        <w:tabs>
          <w:tab w:val="right" w:leader="dot" w:pos="9360"/>
        </w:tabs>
        <w:spacing w:before="252" w:after="0" w:line="336" w:lineRule="exact"/>
        <w:ind w:left="420" w:right="1440" w:hanging="420"/>
      </w:pPr>
      <w:r>
        <w:rPr>
          <w:i/>
          <w:iCs/>
        </w:rPr>
        <w:t xml:space="preserve">FMR</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Howard</w:t>
      </w:r>
      <w:r>
        <w:t xml:space="preserve">,</w:t>
      </w:r>
      <w:r>
        <w:t xml:space="preserve"> </w:t>
      </w:r>
      <w:r>
        <w:t xml:space="preserve">227</w:t>
      </w:r>
      <w:r>
        <w:t xml:space="preserve"> </w:t>
      </w:r>
      <w:r>
        <w:t xml:space="preserve">So.3d</w:t>
      </w:r>
      <w:r>
        <w:t xml:space="preserve"> </w:t>
      </w:r>
      <w:r>
        <w:t xml:space="preserve">444</w:t>
      </w:r>
      <w:r>
        <w:t xml:space="preserve"> </w:t>
      </w:r>
      <w:r>
        <w:t xml:space="preserve">(Ala.</w:t>
      </w:r>
      <w:r>
        <w:t xml:space="preserve"> </w:t>
      </w:r>
      <w:r>
        <w:t xml:space="preserve">2017)</w:t>
      </w:r>
      <w:r>
        <w:t xml:space="preserve">   </w:t>
      </w:r>
      <w:r>
        <w:tab/>
      </w:r>
      <w:r>
        <w:t xml:space="preserve">13</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Hale</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w:t>
      </w:r>
      <w:r>
        <w:t xml:space="preserve">,</w:t>
      </w:r>
      <w:r>
        <w:t xml:space="preserve"> </w:t>
      </w:r>
      <w:r>
        <w:t xml:space="preserve">14</w:t>
      </w:r>
      <w:r>
        <w:t xml:space="preserve"> </w:t>
      </w:r>
      <w:r>
        <w:t xml:space="preserve">So.3d</w:t>
      </w:r>
      <w:r>
        <w:t xml:space="preserve"> </w:t>
      </w:r>
      <w:r>
        <w:t xml:space="preserve">844</w:t>
      </w:r>
      <w:r>
        <w:t xml:space="preserve"> </w:t>
      </w:r>
      <w:r>
        <w:t xml:space="preserve">(Ala.</w:t>
      </w:r>
      <w:r>
        <w:t xml:space="preserve"> </w:t>
      </w:r>
      <w:r>
        <w:t xml:space="preserve">2009)</w:t>
      </w:r>
      <w:r>
        <w:t xml:space="preserve">   </w:t>
      </w:r>
      <w:r>
        <w:tab/>
      </w:r>
      <w:r>
        <w:t xml:space="preserve">18, 19, 20</w:t>
      </w:r>
    </w:p>
    <w:p>
      <w:pPr>
        <w:keepLines/>
        <w:tabs>
          <w:tab w:val="right" w:leader="dot" w:pos="9360"/>
        </w:tabs>
        <w:spacing w:before="252" w:after="0" w:line="336" w:lineRule="exact"/>
        <w:ind w:left="420" w:right="3114" w:hanging="420"/>
      </w:pPr>
      <w:r>
        <w:rPr>
          <w:i/>
          <w:iCs/>
        </w:rPr>
        <w:t xml:space="preserve">Ex</w:t>
      </w:r>
      <w:r>
        <w:rPr>
          <w:i/>
          <w:iCs/>
        </w:rPr>
        <w:t xml:space="preserve"> </w:t>
      </w:r>
      <w:r>
        <w:rPr>
          <w:i/>
          <w:iCs/>
        </w:rPr>
        <w:t xml:space="preserve">parte</w:t>
      </w:r>
      <w:r>
        <w:rPr>
          <w:i/>
          <w:iCs/>
        </w:rPr>
        <w:t xml:space="preserve"> </w:t>
      </w:r>
      <w:r>
        <w:rPr>
          <w:i/>
          <w:iCs/>
        </w:rPr>
        <w:t xml:space="preserve">Jackson</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w:t>
      </w:r>
      <w:r>
        <w:t xml:space="preserve">,</w:t>
      </w:r>
      <w:r>
        <w:t xml:space="preserve"> </w:t>
      </w:r>
      <w:r>
        <w:t xml:space="preserve">164</w:t>
      </w:r>
      <w:r>
        <w:t xml:space="preserve"> </w:t>
      </w:r>
      <w:r>
        <w:t xml:space="preserve">So.3d</w:t>
      </w:r>
      <w:r>
        <w:t xml:space="preserve"> </w:t>
      </w:r>
      <w:r>
        <w:t xml:space="preserve">532</w:t>
      </w:r>
      <w:r>
        <w:t xml:space="preserve"> </w:t>
      </w:r>
      <w:r>
        <w:t xml:space="preserve">(Ala.</w:t>
      </w:r>
      <w:r>
        <w:t xml:space="preserve"> </w:t>
      </w:r>
      <w:r>
        <w:t xml:space="preserve">2014)</w:t>
      </w:r>
      <w:r>
        <w:t xml:space="preserve">   </w:t>
      </w:r>
      <w:r>
        <w:tab/>
      </w:r>
      <w:r>
        <w:t xml:space="preserve">16, 17, 19, 20, 21, 22, 23</w:t>
      </w:r>
    </w:p>
    <w:p>
      <w:pPr>
        <w:keepLines/>
        <w:tabs>
          <w:tab w:val="right" w:leader="dot" w:pos="9360"/>
        </w:tabs>
        <w:spacing w:before="252" w:after="0" w:line="336" w:lineRule="exact"/>
        <w:ind w:left="420" w:right="1440" w:hanging="420"/>
      </w:pPr>
      <w:r>
        <w:rPr>
          <w:i/>
          <w:iCs/>
        </w:rPr>
        <w:t xml:space="preserve">Jenkins,</w:t>
      </w:r>
      <w:r>
        <w:rPr>
          <w:i/>
          <w:iCs/>
        </w:rPr>
        <w:t xml:space="preserve"> </w:t>
      </w:r>
      <w:r>
        <w:rPr>
          <w:i/>
          <w:iCs/>
        </w:rPr>
        <w:t xml:space="preserve">Weber</w:t>
      </w:r>
      <w:r>
        <w:rPr>
          <w:i/>
          <w:iCs/>
        </w:rPr>
        <w:t xml:space="preserve"> </w:t>
      </w:r>
      <w:r>
        <w:rPr>
          <w:i/>
          <w:iCs/>
        </w:rPr>
        <w:t xml:space="preserve">and</w:t>
      </w:r>
      <w:r>
        <w:rPr>
          <w:i/>
          <w:iCs/>
        </w:rPr>
        <w:t xml:space="preserve"> </w:t>
      </w:r>
      <w:r>
        <w:rPr>
          <w:i/>
          <w:iCs/>
        </w:rPr>
        <w:t xml:space="preserve">Associates</w:t>
      </w:r>
      <w:r>
        <w:rPr>
          <w:i/>
          <w:iCs/>
        </w:rPr>
        <w:t xml:space="preserve"> </w:t>
      </w:r>
      <w:r>
        <w:rPr>
          <w:i/>
          <w:iCs/>
        </w:rPr>
        <w:t xml:space="preserve">v.</w:t>
      </w:r>
      <w:r>
        <w:rPr>
          <w:i/>
          <w:iCs/>
        </w:rPr>
        <w:t xml:space="preserve"> </w:t>
      </w:r>
      <w:r>
        <w:rPr>
          <w:i/>
          <w:iCs/>
        </w:rPr>
        <w:t xml:space="preserve">Hewitt</w:t>
      </w:r>
      <w:r>
        <w:t xml:space="preserve">,</w:t>
      </w:r>
      <w:r>
        <w:t xml:space="preserve"> </w:t>
      </w:r>
      <w:r>
        <w:t xml:space="preserve">565</w:t>
      </w:r>
      <w:r>
        <w:t xml:space="preserve"> </w:t>
      </w:r>
      <w:r>
        <w:t xml:space="preserve">So.2d</w:t>
      </w:r>
      <w:r>
        <w:t xml:space="preserve"> </w:t>
      </w:r>
      <w:r>
        <w:t xml:space="preserve">616</w:t>
      </w:r>
      <w:r>
        <w:t xml:space="preserve"> </w:t>
      </w:r>
      <w:r>
        <w:t xml:space="preserve">(Ala.</w:t>
      </w:r>
      <w:r>
        <w:t xml:space="preserve"> </w:t>
      </w:r>
      <w:r>
        <w:t xml:space="preserve">1990)</w:t>
      </w:r>
      <w:r>
        <w:t xml:space="preserve">   </w:t>
      </w:r>
      <w:r>
        <w:tab/>
      </w:r>
      <w:r>
        <w:t xml:space="preserve">21</w:t>
      </w:r>
    </w:p>
    <w:p>
      <w:pPr>
        <w:keepLines/>
        <w:tabs>
          <w:tab w:val="right" w:leader="dot" w:pos="9360"/>
        </w:tabs>
        <w:spacing w:before="252" w:after="0" w:line="336" w:lineRule="exact"/>
        <w:ind w:left="420" w:right="1440" w:hanging="420"/>
      </w:pPr>
      <w:r>
        <w:rPr>
          <w:i/>
          <w:iCs/>
        </w:rPr>
        <w:t xml:space="preserve">Kimmons</w:t>
      </w:r>
      <w:r>
        <w:rPr>
          <w:i/>
          <w:iCs/>
        </w:rPr>
        <w:t xml:space="preserve"> </w:t>
      </w:r>
      <w:r>
        <w:rPr>
          <w:i/>
          <w:iCs/>
        </w:rPr>
        <w:t xml:space="preserve">v.</w:t>
      </w:r>
      <w:r>
        <w:rPr>
          <w:i/>
          <w:iCs/>
        </w:rPr>
        <w:t xml:space="preserve"> </w:t>
      </w:r>
      <w:r>
        <w:rPr>
          <w:i/>
          <w:iCs/>
        </w:rPr>
        <w:t xml:space="preserve">Jefferson</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w:t>
      </w:r>
      <w:r>
        <w:t xml:space="preserve">,</w:t>
      </w:r>
      <w:r>
        <w:t xml:space="preserve"> </w:t>
      </w:r>
      <w:r>
        <w:t xml:space="preserve">85</w:t>
      </w:r>
      <w:r>
        <w:t xml:space="preserve"> </w:t>
      </w:r>
      <w:r>
        <w:t xml:space="preserve">So.</w:t>
      </w:r>
      <w:r>
        <w:t xml:space="preserve"> </w:t>
      </w:r>
      <w:r>
        <w:t xml:space="preserve">774</w:t>
      </w:r>
      <w:r>
        <w:t xml:space="preserve"> </w:t>
      </w:r>
      <w:r>
        <w:t xml:space="preserve">(1920)</w:t>
      </w:r>
      <w:r>
        <w:t xml:space="preserve">   </w:t>
      </w:r>
      <w:r>
        <w:tab/>
      </w:r>
      <w:r>
        <w:t xml:space="preserve">18</w:t>
      </w:r>
    </w:p>
    <w:p>
      <w:pPr>
        <w:keepLines/>
        <w:tabs>
          <w:tab w:val="right" w:leader="dot" w:pos="9360"/>
        </w:tabs>
        <w:spacing w:before="252" w:after="0" w:line="336" w:lineRule="exact"/>
        <w:ind w:left="420" w:right="1440" w:hanging="420"/>
      </w:pPr>
      <w:r>
        <w:rPr>
          <w:i/>
          <w:iCs/>
        </w:rPr>
        <w:t xml:space="preserve">Louviere</w:t>
      </w:r>
      <w:r>
        <w:rPr>
          <w:i/>
          <w:iCs/>
        </w:rPr>
        <w:t xml:space="preserve"> </w:t>
      </w:r>
      <w:r>
        <w:rPr>
          <w:i/>
          <w:iCs/>
        </w:rPr>
        <w:t xml:space="preserve">v.</w:t>
      </w:r>
      <w:r>
        <w:rPr>
          <w:i/>
          <w:iCs/>
        </w:rPr>
        <w:t xml:space="preserve"> </w:t>
      </w:r>
      <w:r>
        <w:rPr>
          <w:i/>
          <w:iCs/>
        </w:rPr>
        <w:t xml:space="preserve">Mobile</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w:t>
      </w:r>
      <w:r>
        <w:t xml:space="preserve">,</w:t>
      </w:r>
      <w:r>
        <w:t xml:space="preserve"> </w:t>
      </w:r>
      <w:r>
        <w:t xml:space="preserve">670</w:t>
      </w:r>
      <w:r>
        <w:t xml:space="preserve"> </w:t>
      </w:r>
      <w:r>
        <w:t xml:space="preserve">So.2d</w:t>
      </w:r>
      <w:r>
        <w:t xml:space="preserve"> </w:t>
      </w:r>
      <w:r>
        <w:t xml:space="preserve">873</w:t>
      </w:r>
      <w:r>
        <w:t xml:space="preserve"> </w:t>
      </w:r>
      <w:r>
        <w:t xml:space="preserve">(Ala.</w:t>
      </w:r>
      <w:r>
        <w:t xml:space="preserve"> </w:t>
      </w:r>
      <w:r>
        <w:t xml:space="preserve">1995)</w:t>
      </w:r>
      <w:r>
        <w:t xml:space="preserve">   </w:t>
      </w:r>
      <w:r>
        <w:tab/>
      </w:r>
      <w:r>
        <w:t xml:space="preserve">19</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Monroe</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w:t>
      </w:r>
      <w:r>
        <w:t xml:space="preserve">,</w:t>
      </w:r>
      <w:r>
        <w:t xml:space="preserve"> </w:t>
      </w:r>
      <w:r>
        <w:t xml:space="preserve">48</w:t>
      </w:r>
      <w:r>
        <w:t xml:space="preserve"> </w:t>
      </w:r>
      <w:r>
        <w:t xml:space="preserve">So.3d</w:t>
      </w:r>
      <w:r>
        <w:t xml:space="preserve"> </w:t>
      </w:r>
      <w:r>
        <w:t xml:space="preserve">621</w:t>
      </w:r>
      <w:r>
        <w:t xml:space="preserve"> </w:t>
      </w:r>
      <w:r>
        <w:t xml:space="preserve">(Ala.</w:t>
      </w:r>
      <w:r>
        <w:t xml:space="preserve"> </w:t>
      </w:r>
      <w:r>
        <w:t xml:space="preserve">2010)</w:t>
      </w:r>
      <w:r>
        <w:t xml:space="preserve">   </w:t>
      </w:r>
      <w:r>
        <w:tab/>
      </w:r>
      <w:r>
        <w:t xml:space="preserve">20</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Montgomery</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w:t>
      </w:r>
      <w:r>
        <w:t xml:space="preserve">,</w:t>
      </w:r>
      <w:r>
        <w:t xml:space="preserve"> </w:t>
      </w:r>
      <w:r>
        <w:t xml:space="preserve">88</w:t>
      </w:r>
      <w:r>
        <w:t xml:space="preserve"> </w:t>
      </w:r>
      <w:r>
        <w:t xml:space="preserve">So.3d</w:t>
      </w:r>
      <w:r>
        <w:t xml:space="preserve"> </w:t>
      </w:r>
      <w:r>
        <w:t xml:space="preserve">837</w:t>
      </w:r>
      <w:r>
        <w:t xml:space="preserve"> </w:t>
      </w:r>
      <w:r>
        <w:t xml:space="preserve">(Ala.</w:t>
      </w:r>
      <w:r>
        <w:t xml:space="preserve"> </w:t>
      </w:r>
      <w:r>
        <w:t xml:space="preserve">2012)</w:t>
      </w:r>
      <w:r>
        <w:t xml:space="preserve">   </w:t>
      </w:r>
      <w:r>
        <w:tab/>
      </w:r>
      <w:r>
        <w:t xml:space="preserve">20</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Phenix</w:t>
      </w:r>
      <w:r>
        <w:rPr>
          <w:i/>
          <w:iCs/>
        </w:rPr>
        <w:t xml:space="preserve"> </w:t>
      </w:r>
      <w:r>
        <w:rPr>
          <w:i/>
          <w:iCs/>
        </w:rPr>
        <w:t xml:space="preserve">City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w:t>
      </w:r>
      <w:r>
        <w:t xml:space="preserve">,</w:t>
      </w:r>
      <w:r>
        <w:t xml:space="preserve"> </w:t>
      </w:r>
      <w:r>
        <w:t xml:space="preserve">109</w:t>
      </w:r>
      <w:r>
        <w:t xml:space="preserve"> </w:t>
      </w:r>
      <w:r>
        <w:t xml:space="preserve">So.3d</w:t>
      </w:r>
      <w:r>
        <w:t xml:space="preserve"> </w:t>
      </w:r>
      <w:r>
        <w:t xml:space="preserve">631</w:t>
      </w:r>
      <w:r>
        <w:t xml:space="preserve"> </w:t>
      </w:r>
      <w:r>
        <w:t xml:space="preserve">(Ala.</w:t>
      </w:r>
      <w:r>
        <w:t xml:space="preserve"> </w:t>
      </w:r>
      <w:r>
        <w:t xml:space="preserve">2012)</w:t>
      </w:r>
      <w:r>
        <w:t xml:space="preserve">   </w:t>
      </w:r>
      <w:r>
        <w:tab/>
      </w:r>
      <w:r>
        <w:t xml:space="preserve">20</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Richardson</w:t>
      </w:r>
      <w:r>
        <w:t xml:space="preserve">,</w:t>
      </w:r>
      <w:r>
        <w:t xml:space="preserve"> </w:t>
      </w:r>
      <w:r>
        <w:t xml:space="preserve">957</w:t>
      </w:r>
      <w:r>
        <w:t xml:space="preserve"> </w:t>
      </w:r>
      <w:r>
        <w:t xml:space="preserve">So.2d</w:t>
      </w:r>
      <w:r>
        <w:t xml:space="preserve"> </w:t>
      </w:r>
      <w:r>
        <w:t xml:space="preserve">1119</w:t>
      </w:r>
      <w:r>
        <w:t xml:space="preserve"> </w:t>
      </w:r>
      <w:r>
        <w:t xml:space="preserve">(Ala.</w:t>
      </w:r>
      <w:r>
        <w:t xml:space="preserve"> </w:t>
      </w:r>
      <w:r>
        <w:t xml:space="preserve">2006)</w:t>
      </w:r>
      <w:r>
        <w:t xml:space="preserve">   </w:t>
      </w:r>
      <w:r>
        <w:tab/>
      </w:r>
      <w:r>
        <w:t xml:space="preserve">16</w:t>
      </w:r>
    </w:p>
    <w:p>
      <w:pPr>
        <w:keepLines/>
        <w:tabs>
          <w:tab w:val="right" w:leader="dot" w:pos="9360"/>
        </w:tabs>
        <w:spacing w:before="252" w:after="0" w:line="336" w:lineRule="exact"/>
        <w:ind w:left="420" w:right="1440" w:hanging="420"/>
      </w:pPr>
      <w:r>
        <w:rPr>
          <w:i/>
          <w:iCs/>
        </w:rPr>
        <w:t xml:space="preserve">Southland</w:t>
      </w:r>
      <w:r>
        <w:rPr>
          <w:i/>
          <w:iCs/>
        </w:rPr>
        <w:t xml:space="preserve"> </w:t>
      </w:r>
      <w:r>
        <w:rPr>
          <w:i/>
          <w:iCs/>
        </w:rPr>
        <w:t xml:space="preserve">Quality</w:t>
      </w:r>
      <w:r>
        <w:rPr>
          <w:i/>
          <w:iCs/>
        </w:rPr>
        <w:t xml:space="preserve"> </w:t>
      </w:r>
      <w:r>
        <w:rPr>
          <w:i/>
          <w:iCs/>
        </w:rPr>
        <w:t xml:space="preserve">Homes,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Williams</w:t>
      </w:r>
      <w:r>
        <w:t xml:space="preserve">,</w:t>
      </w:r>
      <w:r>
        <w:t xml:space="preserve"> </w:t>
      </w:r>
      <w:r>
        <w:t xml:space="preserve">781</w:t>
      </w:r>
      <w:r>
        <w:t xml:space="preserve"> </w:t>
      </w:r>
      <w:r>
        <w:t xml:space="preserve">So.2d</w:t>
      </w:r>
      <w:r>
        <w:t xml:space="preserve"> </w:t>
      </w:r>
      <w:r>
        <w:t xml:space="preserve">949</w:t>
      </w:r>
      <w:r>
        <w:t xml:space="preserve"> </w:t>
      </w:r>
      <w:r>
        <w:t xml:space="preserve">(Ala.</w:t>
      </w:r>
      <w:r>
        <w:t xml:space="preserve"> </w:t>
      </w:r>
      <w:r>
        <w:t xml:space="preserve">2000)</w:t>
      </w:r>
      <w:r>
        <w:t xml:space="preserve">   </w:t>
      </w:r>
      <w:r>
        <w:tab/>
      </w:r>
      <w:r>
        <w:t xml:space="preserve">13</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Wilcox</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w:t>
      </w:r>
      <w:r>
        <w:t xml:space="preserve">,</w:t>
      </w:r>
      <w:r>
        <w:t xml:space="preserve"> </w:t>
      </w:r>
      <w:r>
        <w:t xml:space="preserve">279</w:t>
      </w:r>
      <w:r>
        <w:t xml:space="preserve"> </w:t>
      </w:r>
      <w:r>
        <w:t xml:space="preserve">So.3d</w:t>
      </w:r>
      <w:r>
        <w:t xml:space="preserve"> </w:t>
      </w:r>
      <w:r>
        <w:t xml:space="preserve">1135</w:t>
      </w:r>
      <w:r>
        <w:t xml:space="preserve"> </w:t>
      </w:r>
      <w:r>
        <w:t xml:space="preserve">(Ala.</w:t>
      </w:r>
      <w:r>
        <w:t xml:space="preserve"> </w:t>
      </w:r>
      <w:r>
        <w:t xml:space="preserve">2018)</w:t>
      </w:r>
      <w:r>
        <w:t xml:space="preserve">   </w:t>
      </w:r>
      <w:r>
        <w:tab/>
      </w:r>
      <w:r>
        <w:t xml:space="preserve">20, 22, 23</w:t>
      </w:r>
    </w:p>
    <w:p>
      <w:pPr>
        <w:keepLines/>
        <w:tabs>
          <w:tab w:val="right" w:leader="dot" w:pos="9360"/>
        </w:tabs>
        <w:spacing w:before="252" w:after="0" w:line="336" w:lineRule="exact"/>
        <w:ind w:left="420" w:right="1713" w:hanging="420"/>
      </w:pPr>
      <w:r>
        <w:rPr>
          <w:i/>
          <w:iCs/>
        </w:rPr>
        <w:t xml:space="preserve">Ex</w:t>
      </w:r>
      <w:r>
        <w:rPr>
          <w:i/>
          <w:iCs/>
        </w:rPr>
        <w:t xml:space="preserve"> </w:t>
      </w:r>
      <w:r>
        <w:rPr>
          <w:i/>
          <w:iCs/>
        </w:rPr>
        <w:t xml:space="preserve">parte</w:t>
      </w:r>
      <w:r>
        <w:rPr>
          <w:i/>
          <w:iCs/>
        </w:rPr>
        <w:t xml:space="preserve"> </w:t>
      </w:r>
      <w:r>
        <w:rPr>
          <w:i/>
          <w:iCs/>
        </w:rPr>
        <w:t xml:space="preserve">Wilcox</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w:t>
      </w:r>
      <w:r>
        <w:t xml:space="preserve">,</w:t>
      </w:r>
      <w:r>
        <w:t xml:space="preserve"> </w:t>
      </w:r>
      <w:r>
        <w:t xml:space="preserve">285</w:t>
      </w:r>
      <w:r>
        <w:t xml:space="preserve"> </w:t>
      </w:r>
      <w:r>
        <w:t xml:space="preserve">So.3d</w:t>
      </w:r>
      <w:r>
        <w:t xml:space="preserve"> </w:t>
      </w:r>
      <w:r>
        <w:t xml:space="preserve">765</w:t>
      </w:r>
      <w:r>
        <w:t xml:space="preserve"> </w:t>
      </w:r>
      <w:r>
        <w:t xml:space="preserve">(Ala.</w:t>
      </w:r>
      <w:r>
        <w:t xml:space="preserve"> </w:t>
      </w:r>
      <w:r>
        <w:t xml:space="preserve">2019)</w:t>
      </w:r>
      <w:r>
        <w:t xml:space="preserve">   </w:t>
      </w:r>
      <w:r>
        <w:tab/>
      </w:r>
      <w:r>
        <w:t xml:space="preserve">16, 18, 20, 23</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Wood</w:t>
      </w:r>
      <w:r>
        <w:t xml:space="preserve">,</w:t>
      </w:r>
      <w:r>
        <w:t xml:space="preserve"> </w:t>
      </w:r>
      <w:r>
        <w:t xml:space="preserve">852</w:t>
      </w:r>
      <w:r>
        <w:t xml:space="preserve"> </w:t>
      </w:r>
      <w:r>
        <w:t xml:space="preserve">So.2d</w:t>
      </w:r>
      <w:r>
        <w:t xml:space="preserve"> </w:t>
      </w:r>
      <w:r>
        <w:t xml:space="preserve">705</w:t>
      </w:r>
      <w:r>
        <w:t xml:space="preserve"> </w:t>
      </w:r>
      <w:r>
        <w:t xml:space="preserve">(Ala.</w:t>
      </w:r>
      <w:r>
        <w:t xml:space="preserve"> </w:t>
      </w:r>
      <w:r>
        <w:t xml:space="preserve">2002)</w:t>
      </w:r>
      <w:r>
        <w:t xml:space="preserve">   </w:t>
      </w:r>
      <w:r>
        <w:tab/>
      </w:r>
      <w:r>
        <w:t xml:space="preserve">16</w:t>
      </w:r>
    </w:p>
    <w:p>
      <w:pPr>
        <w:keepLines/>
        <w:tabs>
          <w:tab w:val="right" w:leader="dot" w:pos="9360"/>
        </w:tabs>
        <w:spacing w:before="252" w:after="0" w:line="336" w:lineRule="exact"/>
        <w:ind w:left="420" w:right="1440" w:hanging="420"/>
      </w:pPr>
      <w:r>
        <w:rPr>
          <w:i/>
          <w:iCs/>
        </w:rPr>
        <w:t xml:space="preserve">Crest</w:t>
      </w:r>
      <w:r>
        <w:rPr>
          <w:i/>
          <w:iCs/>
        </w:rPr>
        <w:t xml:space="preserve"> </w:t>
      </w:r>
      <w:r>
        <w:rPr>
          <w:i/>
          <w:iCs/>
        </w:rPr>
        <w:t xml:space="preserve">Const.</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Shelby</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w:t>
      </w:r>
      <w:r>
        <w:t xml:space="preserve">,</w:t>
      </w:r>
      <w:r>
        <w:t xml:space="preserve"> </w:t>
      </w:r>
      <w:r>
        <w:t xml:space="preserve">612</w:t>
      </w:r>
      <w:r>
        <w:t xml:space="preserve"> </w:t>
      </w:r>
      <w:r>
        <w:t xml:space="preserve">So.2d</w:t>
      </w:r>
      <w:r>
        <w:t xml:space="preserve"> </w:t>
      </w:r>
      <w:r>
        <w:t xml:space="preserve">425</w:t>
      </w:r>
      <w:r>
        <w:t xml:space="preserve"> </w:t>
      </w:r>
      <w:r>
        <w:t xml:space="preserve">(Ala.</w:t>
      </w:r>
      <w:r>
        <w:t xml:space="preserve"> </w:t>
      </w:r>
      <w:r>
        <w:t xml:space="preserve">1992)</w:t>
      </w:r>
      <w:r>
        <w:t xml:space="preserve">   </w:t>
      </w:r>
      <w:r>
        <w:tab/>
      </w:r>
      <w:r>
        <w:t xml:space="preserve">21</w:t>
      </w:r>
    </w:p>
    <w:p>
      <w:pPr>
        <w:keepLines/>
        <w:tabs>
          <w:tab w:val="right" w:leader="dot" w:pos="9360"/>
        </w:tabs>
        <w:spacing w:before="252" w:after="0" w:line="336" w:lineRule="exact"/>
        <w:ind w:left="420" w:right="1440" w:hanging="420"/>
      </w:pPr>
      <w:r>
        <w:rPr>
          <w:i/>
          <w:iCs/>
        </w:rPr>
        <w:t xml:space="preserve">Vinson</w:t>
      </w:r>
      <w:r>
        <w:rPr>
          <w:i/>
          <w:iCs/>
        </w:rPr>
        <w:t xml:space="preserve"> </w:t>
      </w:r>
      <w:r>
        <w:rPr>
          <w:i/>
          <w:iCs/>
        </w:rPr>
        <w:t xml:space="preserve">Guard</w:t>
      </w:r>
      <w:r>
        <w:rPr>
          <w:i/>
          <w:iCs/>
        </w:rPr>
        <w:t xml:space="preserve"> </w:t>
      </w:r>
      <w:r>
        <w:rPr>
          <w:i/>
          <w:iCs/>
        </w:rPr>
        <w:t xml:space="preserve">Service,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Retirement</w:t>
      </w:r>
      <w:r>
        <w:rPr>
          <w:i/>
          <w:iCs/>
        </w:rPr>
        <w:t xml:space="preserve"> </w:t>
      </w:r>
      <w:r>
        <w:rPr>
          <w:i/>
          <w:iCs/>
        </w:rPr>
        <w:t xml:space="preserve">Sys.</w:t>
      </w:r>
      <w:r>
        <w:rPr>
          <w:i/>
          <w:iCs/>
        </w:rPr>
        <w:t xml:space="preserve"> </w:t>
      </w:r>
      <w:r>
        <w:rPr>
          <w:i/>
          <w:iCs/>
        </w:rPr>
        <w:t xml:space="preserve">of</w:t>
      </w:r>
      <w:r>
        <w:rPr>
          <w:i/>
          <w:iCs/>
        </w:rPr>
        <w:t xml:space="preserve"> </w:t>
      </w:r>
      <w:r>
        <w:rPr>
          <w:i/>
          <w:iCs/>
        </w:rPr>
        <w:t xml:space="preserve">Ala.</w:t>
      </w:r>
      <w:r>
        <w:t xml:space="preserve">,</w:t>
      </w:r>
      <w:r>
        <w:t xml:space="preserve"> </w:t>
      </w:r>
      <w:r>
        <w:t xml:space="preserve">836</w:t>
      </w:r>
      <w:r>
        <w:t xml:space="preserve"> </w:t>
      </w:r>
      <w:r>
        <w:t xml:space="preserve">So.2d</w:t>
      </w:r>
      <w:r>
        <w:t xml:space="preserve"> </w:t>
      </w:r>
      <w:r>
        <w:t xml:space="preserve">807</w:t>
      </w:r>
      <w:r>
        <w:t xml:space="preserve"> </w:t>
      </w:r>
      <w:r>
        <w:t xml:space="preserve">(Ala.</w:t>
      </w:r>
      <w:r>
        <w:t xml:space="preserve"> </w:t>
      </w:r>
      <w:r>
        <w:t xml:space="preserve">2002)</w:t>
      </w:r>
      <w:r>
        <w:t xml:space="preserve">   </w:t>
      </w:r>
      <w:r>
        <w:tab/>
      </w:r>
      <w:r>
        <w:t xml:space="preserve">21</w:t>
      </w:r>
    </w:p>
    <w:p>
      <w:pPr>
        <w:keepLines/>
        <w:tabs>
          <w:tab w:val="right" w:leader="dot" w:pos="9360"/>
        </w:tabs>
        <w:spacing w:before="252" w:after="0" w:line="336" w:lineRule="exact"/>
        <w:ind w:left="420" w:right="1440" w:hanging="420"/>
      </w:pPr>
      <w:r>
        <w:rPr>
          <w:i/>
          <w:iCs/>
        </w:rPr>
        <w:t xml:space="preserve">Bd.</w:t>
      </w:r>
      <w:r>
        <w:rPr>
          <w:i/>
          <w:iCs/>
        </w:rPr>
        <w:t xml:space="preserve"> </w:t>
      </w:r>
      <w:r>
        <w:rPr>
          <w:i/>
          <w:iCs/>
        </w:rPr>
        <w:t xml:space="preserve">of</w:t>
      </w:r>
      <w:r>
        <w:rPr>
          <w:i/>
          <w:iCs/>
        </w:rPr>
        <w:t xml:space="preserve"> </w:t>
      </w:r>
      <w:r>
        <w:rPr>
          <w:i/>
          <w:iCs/>
        </w:rPr>
        <w:t xml:space="preserve">Sch.</w:t>
      </w:r>
      <w:r>
        <w:rPr>
          <w:i/>
          <w:iCs/>
        </w:rPr>
        <w:t xml:space="preserve"> </w:t>
      </w:r>
      <w:r>
        <w:rPr>
          <w:i/>
          <w:iCs/>
        </w:rPr>
        <w:t xml:space="preserve">Comm’rs</w:t>
      </w:r>
      <w:r>
        <w:rPr>
          <w:i/>
          <w:iCs/>
        </w:rPr>
        <w:t xml:space="preserve"> </w:t>
      </w:r>
      <w:r>
        <w:rPr>
          <w:i/>
          <w:iCs/>
        </w:rPr>
        <w:t xml:space="preserve">of</w:t>
      </w:r>
      <w:r>
        <w:rPr>
          <w:i/>
          <w:iCs/>
        </w:rPr>
        <w:t xml:space="preserve"> </w:t>
      </w:r>
      <w:r>
        <w:rPr>
          <w:i/>
          <w:iCs/>
        </w:rPr>
        <w:t xml:space="preserve">Mobile</w:t>
      </w:r>
      <w:r>
        <w:rPr>
          <w:i/>
          <w:iCs/>
        </w:rPr>
        <w:t xml:space="preserve"> </w:t>
      </w:r>
      <w:r>
        <w:rPr>
          <w:i/>
          <w:iCs/>
        </w:rPr>
        <w:t xml:space="preserve">Cnty.</w:t>
      </w:r>
      <w:r>
        <w:rPr>
          <w:i/>
          <w:iCs/>
        </w:rPr>
        <w:t xml:space="preserve"> </w:t>
      </w:r>
      <w:r>
        <w:rPr>
          <w:i/>
          <w:iCs/>
        </w:rPr>
        <w:t xml:space="preserve">v.</w:t>
      </w:r>
      <w:r>
        <w:rPr>
          <w:i/>
          <w:iCs/>
        </w:rPr>
        <w:t xml:space="preserve"> </w:t>
      </w:r>
      <w:r>
        <w:rPr>
          <w:i/>
          <w:iCs/>
        </w:rPr>
        <w:t xml:space="preserve">Weaver</w:t>
      </w:r>
      <w:r>
        <w:t xml:space="preserve">,</w:t>
      </w:r>
      <w:r>
        <w:t xml:space="preserve"> </w:t>
      </w:r>
      <w:r>
        <w:t xml:space="preserve">99</w:t>
      </w:r>
      <w:r>
        <w:t xml:space="preserve"> </w:t>
      </w:r>
      <w:r>
        <w:t xml:space="preserve">So.3d</w:t>
      </w:r>
      <w:r>
        <w:t xml:space="preserve"> </w:t>
      </w:r>
      <w:r>
        <w:t xml:space="preserve">1210</w:t>
      </w:r>
      <w:r>
        <w:t xml:space="preserve"> </w:t>
      </w:r>
      <w:r>
        <w:t xml:space="preserve">(Ala.</w:t>
      </w:r>
      <w:r>
        <w:t xml:space="preserve"> </w:t>
      </w:r>
      <w:r>
        <w:t xml:space="preserve">2012)</w:t>
      </w:r>
      <w:r>
        <w:t xml:space="preserve">   </w:t>
      </w:r>
      <w:r>
        <w:tab/>
      </w:r>
      <w:r>
        <w:t xml:space="preserve">20</w:t>
      </w:r>
    </w:p>
    <w:p>
      <w:pPr>
        <w:keepLines/>
        <w:tabs>
          <w:tab w:val="right" w:leader="dot" w:pos="9360"/>
        </w:tabs>
        <w:spacing w:before="252" w:after="0" w:line="336" w:lineRule="exact"/>
        <w:ind w:left="420" w:right="1440" w:hanging="420"/>
      </w:pPr>
      <w:r>
        <w:rPr>
          <w:i/>
          <w:iCs/>
        </w:rPr>
        <w:t xml:space="preserve">Colbert</w:t>
      </w:r>
      <w:r>
        <w:rPr>
          <w:i/>
          <w:iCs/>
        </w:rPr>
        <w:t xml:space="preserve"> </w:t>
      </w:r>
      <w:r>
        <w:rPr>
          <w:i/>
          <w:iCs/>
        </w:rPr>
        <w:t xml:space="preserve">Cnty.</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w:t>
      </w:r>
      <w:r>
        <w:rPr>
          <w:i/>
          <w:iCs/>
        </w:rPr>
        <w:t xml:space="preserve"> </w:t>
      </w:r>
      <w:r>
        <w:rPr>
          <w:i/>
          <w:iCs/>
        </w:rPr>
        <w:t xml:space="preserve">v.</w:t>
      </w:r>
      <w:r>
        <w:rPr>
          <w:i/>
          <w:iCs/>
        </w:rPr>
        <w:t xml:space="preserve"> </w:t>
      </w:r>
      <w:r>
        <w:rPr>
          <w:i/>
          <w:iCs/>
        </w:rPr>
        <w:t xml:space="preserve">James</w:t>
      </w:r>
      <w:r>
        <w:t xml:space="preserve">,</w:t>
      </w:r>
      <w:r>
        <w:t xml:space="preserve"> </w:t>
      </w:r>
      <w:r>
        <w:t xml:space="preserve">83</w:t>
      </w:r>
      <w:r>
        <w:t xml:space="preserve"> </w:t>
      </w:r>
      <w:r>
        <w:t xml:space="preserve">So.3d</w:t>
      </w:r>
      <w:r>
        <w:t xml:space="preserve"> </w:t>
      </w:r>
      <w:r>
        <w:t xml:space="preserve">473</w:t>
      </w:r>
      <w:r>
        <w:t xml:space="preserve"> </w:t>
      </w:r>
      <w:r>
        <w:t xml:space="preserve">(Ala.</w:t>
      </w:r>
      <w:r>
        <w:t xml:space="preserve"> </w:t>
      </w:r>
      <w:r>
        <w:t xml:space="preserve">2011)</w:t>
      </w:r>
      <w:r>
        <w:t xml:space="preserve">   </w:t>
      </w:r>
      <w:r>
        <w:tab/>
      </w:r>
      <w:r>
        <w:t xml:space="preserve">20</w:t>
      </w:r>
    </w:p>
    <w:p>
      <w:pPr>
        <w:keepNext/>
        <w:keepLines/>
        <w:spacing w:before="336" w:after="84" w:line="336" w:lineRule="exact"/>
        <w:ind w:left="0" w:firstLine="0"/>
        <w:jc w:val="left"/>
      </w:pPr>
      <w:r>
        <w:rPr>
          <w:b/>
          <w:bCs/>
        </w:rPr>
        <w:t xml:space="preserve">Statutes</w:t>
      </w:r>
    </w:p>
    <w:p>
      <w:pPr>
        <w:keepLines/>
        <w:tabs>
          <w:tab w:val="right" w:leader="dot" w:pos="9360"/>
        </w:tabs>
        <w:spacing w:before="252" w:after="0" w:line="336" w:lineRule="exact"/>
        <w:ind w:left="420" w:right="1440" w:hanging="420"/>
      </w:pPr>
      <w:r>
        <w:t xml:space="preserve">Ala.</w:t>
      </w:r>
      <w:r>
        <w:t xml:space="preserve"> </w:t>
      </w:r>
      <w:r>
        <w:t xml:space="preserve">Const.</w:t>
      </w:r>
      <w:r>
        <w:t xml:space="preserve"> </w:t>
      </w:r>
      <w:r>
        <w:t xml:space="preserve">Art.</w:t>
      </w:r>
      <w:r>
        <w:t xml:space="preserve"> </w:t>
      </w:r>
      <w:r>
        <w:t xml:space="preserve">I,</w:t>
      </w:r>
      <w:r>
        <w:t xml:space="preserve"> </w:t>
      </w:r>
      <w:r>
        <w:t xml:space="preserve">§14</w:t>
      </w:r>
      <w:r>
        <w:t xml:space="preserve"> </w:t>
      </w:r>
      <w:r>
        <w:t xml:space="preserve">(1901)</w:t>
      </w:r>
      <w:r>
        <w:t xml:space="preserve">   </w:t>
      </w:r>
      <w:r>
        <w:tab/>
      </w:r>
      <w:r>
        <w:t xml:space="preserve">6, 15</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§16-⁠8-⁠1</w:t>
      </w:r>
      <w:r>
        <w:t xml:space="preserve">   </w:t>
      </w:r>
      <w:r>
        <w:tab/>
      </w:r>
      <w:r>
        <w:t xml:space="preserve">15</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§16-⁠8-⁠4</w:t>
      </w:r>
      <w:r>
        <w:t xml:space="preserve">   </w:t>
      </w:r>
      <w:r>
        <w:tab/>
      </w:r>
      <w:r>
        <w:t xml:space="preserve">8</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§16-⁠13B-⁠1</w:t>
      </w:r>
      <w:r>
        <w:t xml:space="preserve"> </w:t>
      </w:r>
      <w:r>
        <w:t xml:space="preserve">et</w:t>
      </w:r>
      <w:r>
        <w:t xml:space="preserve"> </w:t>
      </w:r>
      <w:r>
        <w:t xml:space="preserve">seq.</w:t>
      </w:r>
      <w:r>
        <w:t xml:space="preserve">   </w:t>
      </w:r>
      <w:r>
        <w:tab/>
      </w:r>
      <w:r>
        <w:t xml:space="preserve">6, 8</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§16-⁠13B-⁠11</w:t>
      </w:r>
      <w:r>
        <w:t xml:space="preserve">   </w:t>
      </w:r>
      <w:r>
        <w:tab/>
      </w:r>
      <w:r>
        <w:t xml:space="preserve">21</w:t>
      </w:r>
    </w:p>
    <w:p>
      <w:pPr>
        <w:keepNext/>
        <w:keepLines/>
        <w:spacing w:before="336" w:after="84" w:line="336" w:lineRule="exact"/>
        <w:ind w:left="0" w:firstLine="0"/>
        <w:jc w:val="left"/>
      </w:pPr>
      <w:r>
        <w:rPr>
          <w:b/>
          <w:bCs/>
        </w:rPr>
        <w:t xml:space="preserve">Rules</w:t>
      </w:r>
    </w:p>
    <w:p>
      <w:pPr>
        <w:keepLines/>
        <w:tabs>
          <w:tab w:val="right" w:leader="dot" w:pos="9360"/>
        </w:tabs>
        <w:spacing w:before="252" w:after="0" w:line="336" w:lineRule="exact"/>
        <w:ind w:left="420" w:right="3737" w:hanging="420"/>
      </w:pPr>
      <w:r>
        <w:t xml:space="preserve">Ala.</w:t>
      </w:r>
      <w:r>
        <w:t xml:space="preserve"> </w:t>
      </w:r>
      <w:r>
        <w:t xml:space="preserve">R.</w:t>
      </w:r>
      <w:r>
        <w:t xml:space="preserve"> </w:t>
      </w:r>
      <w:r>
        <w:t xml:space="preserve">Civ.</w:t>
      </w:r>
      <w:r>
        <w:t xml:space="preserve"> </w:t>
      </w:r>
      <w:r>
        <w:t xml:space="preserve">P.</w:t>
      </w:r>
      <w:r>
        <w:t xml:space="preserve"> </w:t>
      </w:r>
      <w:r>
        <w:t xml:space="preserve">12(b)⁠(1)</w:t>
      </w:r>
      <w:r>
        <w:t xml:space="preserve">   </w:t>
      </w:r>
      <w:r>
        <w:tab/>
      </w:r>
      <w:r>
        <w:t xml:space="preserve">7, 9, 11, 12, 13, 14, 22, 23, 24</w:t>
      </w:r>
    </w:p>
    <w:p>
      <w:pPr>
        <w:keepLines/>
        <w:tabs>
          <w:tab w:val="right" w:leader="dot" w:pos="9360"/>
        </w:tabs>
        <w:spacing w:before="252" w:after="0" w:line="336" w:lineRule="exact"/>
        <w:ind w:left="420" w:right="2024" w:hanging="420"/>
      </w:pPr>
      <w:r>
        <w:t xml:space="preserve">Ala.</w:t>
      </w:r>
      <w:r>
        <w:t xml:space="preserve"> </w:t>
      </w:r>
      <w:r>
        <w:t xml:space="preserve">R.</w:t>
      </w:r>
      <w:r>
        <w:t xml:space="preserve"> </w:t>
      </w:r>
      <w:r>
        <w:t xml:space="preserve">Civ.</w:t>
      </w:r>
      <w:r>
        <w:t xml:space="preserve"> </w:t>
      </w:r>
      <w:r>
        <w:t xml:space="preserve">P.</w:t>
      </w:r>
      <w:r>
        <w:t xml:space="preserve"> </w:t>
      </w:r>
      <w:r>
        <w:t xml:space="preserve">12(b)⁠(6)</w:t>
      </w:r>
      <w:r>
        <w:t xml:space="preserve">   </w:t>
      </w:r>
      <w:r>
        <w:tab/>
      </w:r>
      <w:r>
        <w:t xml:space="preserve">9, 10, 12, 21, 22</w:t>
      </w:r>
    </w:p>
    <w:p>
      <w:pPr>
        <w:keepLines/>
        <w:tabs>
          <w:tab w:val="right" w:leader="dot" w:pos="9360"/>
        </w:tabs>
        <w:spacing w:before="252" w:after="0" w:line="336" w:lineRule="exact"/>
        <w:ind w:left="420" w:right="1440" w:hanging="420"/>
      </w:pPr>
      <w:r>
        <w:t xml:space="preserve">Ala.</w:t>
      </w:r>
      <w:r>
        <w:t xml:space="preserve"> </w:t>
      </w:r>
      <w:r>
        <w:t xml:space="preserve">R.</w:t>
      </w:r>
      <w:r>
        <w:t xml:space="preserve"> </w:t>
      </w:r>
      <w:r>
        <w:t xml:space="preserve">App.</w:t>
      </w:r>
      <w:r>
        <w:t xml:space="preserve"> </w:t>
      </w:r>
      <w:r>
        <w:t xml:space="preserve">P.</w:t>
      </w:r>
      <w:r>
        <w:t xml:space="preserve"> </w:t>
      </w:r>
      <w:r>
        <w:t xml:space="preserve">4(a)⁠(1)</w:t>
      </w:r>
      <w:r>
        <w:t xml:space="preserve">   </w:t>
      </w:r>
      <w:r>
        <w:tab/>
      </w:r>
      <w:r>
        <w:t xml:space="preserve">12, 14</w:t>
      </w:r>
    </w:p>
    <w:p>
      <w:pPr>
        <w:keepLines/>
        <w:tabs>
          <w:tab w:val="right" w:leader="dot" w:pos="9360"/>
        </w:tabs>
        <w:spacing w:before="252" w:after="0" w:line="336" w:lineRule="exact"/>
        <w:ind w:left="420" w:right="1440" w:hanging="420"/>
      </w:pPr>
      <w:r>
        <w:t xml:space="preserve">Ala.</w:t>
      </w:r>
      <w:r>
        <w:t xml:space="preserve"> </w:t>
      </w:r>
      <w:r>
        <w:t xml:space="preserve">R.</w:t>
      </w:r>
      <w:r>
        <w:t xml:space="preserve"> </w:t>
      </w:r>
      <w:r>
        <w:t xml:space="preserve">App.</w:t>
      </w:r>
      <w:r>
        <w:t xml:space="preserve"> </w:t>
      </w:r>
      <w:r>
        <w:t xml:space="preserve">P.</w:t>
      </w:r>
      <w:r>
        <w:t xml:space="preserve"> </w:t>
      </w:r>
      <w:r>
        <w:t xml:space="preserve">21(a)</w:t>
      </w:r>
      <w:r>
        <w:t xml:space="preserve">   </w:t>
      </w:r>
      <w:r>
        <w:tab/>
      </w:r>
      <w:r>
        <w:t xml:space="preserve">11, 14, 23</w:t>
      </w:r>
    </w:p>
    <w:p>
      <w:pPr>
        <w:keepLines/>
        <w:tabs>
          <w:tab w:val="right" w:leader="dot" w:pos="9360"/>
        </w:tabs>
        <w:spacing w:before="252" w:after="0" w:line="336" w:lineRule="exact"/>
        <w:ind w:left="420" w:right="1440" w:hanging="420"/>
      </w:pPr>
      <w:r>
        <w:t xml:space="preserve">Ala.</w:t>
      </w:r>
      <w:r>
        <w:t xml:space="preserve"> </w:t>
      </w:r>
      <w:r>
        <w:t xml:space="preserve">R.</w:t>
      </w:r>
      <w:r>
        <w:t xml:space="preserve"> </w:t>
      </w:r>
      <w:r>
        <w:t xml:space="preserve">App.</w:t>
      </w:r>
      <w:r>
        <w:t xml:space="preserve"> </w:t>
      </w:r>
      <w:r>
        <w:t xml:space="preserve">P.</w:t>
      </w:r>
      <w:r>
        <w:t xml:space="preserve"> </w:t>
      </w:r>
      <w:r>
        <w:t xml:space="preserve">26(a)</w:t>
      </w:r>
      <w:r>
        <w:t xml:space="preserve">   </w:t>
      </w:r>
      <w:r>
        <w:tab/>
      </w:r>
      <w:r>
        <w:t xml:space="preserve">12</w:t>
      </w:r>
    </w:p>
    <w:p>
      <w:pPr>
        <w:pageBreakBefore/>
        <w:spacing w:before="0" w:after="0" w:line="1" w:lineRule="exact"/>
      </w:pPr>
    </w:p>
    <w:p>
      <w:pPr>
        <w:keepNext/>
        <w:keepLines/>
        <w:spacing w:before="0"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keepNext/>
        <w:keepLines/>
        <w:spacing w:before="280" w:after="224" w:line="336" w:lineRule="exact"/>
        <w:ind w:left="720" w:hanging="720"/>
        <w:jc w:val="left"/>
      </w:pPr>
      <w:r>
        <w:rPr>
          <w:b/>
          <w:bCs/>
        </w:rPr>
        <w:t xml:space="preserve">A.</w:t>
      </w:r>
      <w:r>
        <w:rPr>
          <w:b/>
          <w:bCs/>
        </w:rPr>
        <w:tab/>
      </w:r>
      <w:r>
        <w:rPr>
          <w:b/>
          <w:bCs/>
        </w:rPr>
        <w:t xml:space="preserve">Nature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Alabama Lockers, LLC, is in the business of performing upkeep on lockers in schools. It is run by a former employee of the Jefferson County Board of Education. It sued the Board for supposedly breaching one or more contracts, and for allegedly committing a number of ill-defined violations of the competitive bid requirements in Ala. Code §§16-⁠13B-⁠1</w:t>
      </w:r>
      <w:r>
        <w:t xml:space="preserve"> </w:t>
      </w:r>
      <w:r>
        <w:t xml:space="preserve">et seq. (“the Bid Law”). Compensatory damages, prospective equitable relief, and payment of attorneys’ fees were all among the types of things that were demanded of the Board in the complaint.</w:t>
      </w:r>
    </w:p>
    <w:p>
      <w:pPr>
        <w:pStyle w:val="BodyText"/>
      </w:pPr>
      <w:r>
        <w:t xml:space="preserve">It is no surprise that from the Board’s perspective, Alabama Lockers’ suit has many, many flaws. One of those flaws is bigger than the others though. The Board, as an entity, may raise the doctrine of sovereign immunity in Article I, Section 14,</w:t>
      </w:r>
      <w:r>
        <w:t xml:space="preserve"> </w:t>
      </w:r>
      <w:r>
        <w:t xml:space="preserve">of the Alabama Constitution as a defense (“immunity”). Immunity was raised as a defense before the trial court, below. And, further still, no exception was ever pled. All of this adds up to one thing: Immunity divested the trial court of subject matter jurisdiction over what claims were pled.</w:t>
      </w:r>
    </w:p>
    <w:p>
      <w:pPr>
        <w:pStyle w:val="BodyText"/>
      </w:pPr>
      <w:r>
        <w:t xml:space="preserve">This Court’s well-established, long-settled immunity precedent provides that in this situation, dismissal is not just warranted; it is required. Dismissal, however, was not granted at the pleading stage. Accordingly, the Board — with the utmost respect and deference for the trial court and its efforts — reluctantly but appropriately seeks a writ of mandamus here. This Court should issue the writ, directing the trial court to dismiss Alabama Lockers’ complaint under Ala. R. Civ. P. 12(b)⁠(1).</w:t>
      </w:r>
    </w:p>
    <w:p>
      <w:pPr>
        <w:keepNext/>
        <w:keepLines/>
        <w:spacing w:before="280" w:after="224" w:line="336" w:lineRule="exact"/>
        <w:ind w:left="720" w:hanging="720"/>
        <w:jc w:val="left"/>
      </w:pPr>
      <w:r>
        <w:rPr>
          <w:b/>
          <w:bCs/>
        </w:rPr>
        <w:t xml:space="preserve">B.</w:t>
      </w:r>
      <w:r>
        <w:rPr>
          <w:b/>
          <w:bCs/>
        </w:rPr>
        <w:tab/>
      </w:r>
      <w:r>
        <w:rPr>
          <w:b/>
          <w:bCs/>
        </w:rPr>
        <w:t xml:space="preserve">Course</w:t>
      </w:r>
      <w:r>
        <w:rPr>
          <w:b/>
          <w:bCs/>
        </w:rPr>
        <w:t xml:space="preserve"> </w:t>
      </w:r>
      <w:r>
        <w:rPr>
          <w:b/>
          <w:bCs/>
        </w:rPr>
        <w:t xml:space="preserve">of</w:t>
      </w:r>
      <w:r>
        <w:rPr>
          <w:b/>
          <w:bCs/>
        </w:rPr>
        <w:t xml:space="preserve"> </w:t>
      </w:r>
      <w:r>
        <w:rPr>
          <w:b/>
          <w:bCs/>
        </w:rPr>
        <w:t xml:space="preserve">Proceedings</w:t>
      </w:r>
      <w:r>
        <w:rPr>
          <w:b/>
          <w:bCs/>
        </w:rPr>
        <w:t xml:space="preserve"> </w:t>
      </w:r>
      <w:r>
        <w:rPr>
          <w:b/>
          <w:bCs/>
        </w:rPr>
        <w:t xml:space="preserve">and</w:t>
      </w:r>
      <w:r>
        <w:rPr>
          <w:b/>
          <w:bCs/>
        </w:rPr>
        <w:t xml:space="preserve"> </w:t>
      </w:r>
      <w:r>
        <w:rPr>
          <w:b/>
          <w:bCs/>
        </w:rPr>
        <w:t xml:space="preserve">Disposition</w:t>
      </w:r>
    </w:p>
    <w:p>
      <w:pPr>
        <w:keepNext/>
        <w:keepLines/>
        <w:spacing w:before="280" w:after="224" w:line="336" w:lineRule="exact"/>
        <w:ind w:left="720" w:hanging="720"/>
        <w:jc w:val="left"/>
      </w:pPr>
      <w:r>
        <w:rPr>
          <w:b/>
          <w:bCs/>
        </w:rPr>
        <w:t xml:space="preserve">1.</w:t>
      </w:r>
      <w:r>
        <w:rPr>
          <w:b/>
          <w:bCs/>
        </w:rPr>
        <w:tab/>
      </w:r>
      <w:r>
        <w:rPr>
          <w:b/>
          <w:bCs/>
        </w:rPr>
        <w:t xml:space="preserve">Alabama</w:t>
      </w:r>
      <w:r>
        <w:rPr>
          <w:b/>
          <w:bCs/>
        </w:rPr>
        <w:t xml:space="preserve"> </w:t>
      </w:r>
      <w:r>
        <w:rPr>
          <w:b/>
          <w:bCs/>
        </w:rPr>
        <w:t xml:space="preserve">Lockers</w:t>
      </w:r>
      <w:r>
        <w:rPr>
          <w:b/>
          <w:bCs/>
        </w:rPr>
        <w:t xml:space="preserve"> </w:t>
      </w:r>
      <w:r>
        <w:rPr>
          <w:b/>
          <w:bCs/>
        </w:rPr>
        <w:t xml:space="preserve">sued.</w:t>
      </w:r>
    </w:p>
    <w:p>
      <w:pPr>
        <w:pStyle w:val="BodyText"/>
      </w:pPr>
      <w:r>
        <w:t xml:space="preserve">In July 2020, Alabama Lockers sued the Board. (App. A.) As best one can tell, Alabama Lockers pled three claims: one for breach of contract; and two for purported violations of the Bid Law. On the former, Alabama Lockers first alleged a “principal of Mortimer Jordan High School [ ] signed a contract” in June 2013 for the Alabama Lockers to perform certain locker work at the school in 2013, 2014, and 2015. (App. A, p. 2, ¶ 10.) Then, in July 2014, the “principal at Fultondale High School [supposedly] obtained approval [for Alabama Lockers to provide locker services] at his [sic] school.” (</w:t>
      </w:r>
      <w:r>
        <w:rPr>
          <w:i/>
          <w:iCs/>
        </w:rPr>
        <w:t xml:space="preserve">Id.</w:t>
      </w:r>
      <w:r>
        <w:t xml:space="preserve">, p. 5, ¶35.) The same principal allegedly asked Alabama Lockers to service Fultondale later in June 2015, too. (</w:t>
      </w:r>
      <w:r>
        <w:rPr>
          <w:i/>
          <w:iCs/>
        </w:rPr>
        <w:t xml:space="preserve">Id.</w:t>
      </w:r>
      <w:r>
        <w:t xml:space="preserve">, p. 5, ¶43.)</w:t>
      </w:r>
    </w:p>
    <w:p>
      <w:pPr>
        <w:pStyle w:val="BodyText"/>
      </w:pPr>
      <w:r>
        <w:t xml:space="preserve">According to Alabama Lockers, all of its direct coordination with the principals — who were employed by the Board at schools operated by the Board — melded into an enforceable contract with the Board. (</w:t>
      </w:r>
      <w:r>
        <w:rPr>
          <w:i/>
          <w:iCs/>
        </w:rPr>
        <w:t xml:space="preserve">Id.</w:t>
      </w:r>
      <w:r>
        <w:t xml:space="preserve">, p. 10, ¶¶82-⁠84.) In other words, despite the requirement in Ala. Code §16-⁠8-⁠4</w:t>
      </w:r>
      <w:r>
        <w:t xml:space="preserve"> </w:t>
      </w:r>
      <w:r>
        <w:t xml:space="preserve">that a majority of the Board’s members must vote on a course of action for the Board to act, the Board was supposedly bound, contractually, by the principals. The Board, Alabama Lockers says, then proceeded to breach the contract (or contracts) by failing to pay in full or in part for services rendered at the schools. So, Alabama Lockers claims that the Board owes it about $3,700 in contract damages. (App. A, p. 10, ¶¶82-⁠84.)</w:t>
      </w:r>
    </w:p>
    <w:p>
      <w:pPr>
        <w:pStyle w:val="BodyText"/>
      </w:pPr>
      <w:r>
        <w:t xml:space="preserve">Alabama Lockers also pled two other claims for which larger sums were sought. The Bid Law requires that public entities, like the Board, invite service providers to submit competitive bids for work where the value of the work will exceed a monetary threshold. Ala. Code §§16-⁠13B-⁠1</w:t>
      </w:r>
      <w:r>
        <w:t xml:space="preserve"> </w:t>
      </w:r>
      <w:r>
        <w:t xml:space="preserve">et seq. Competitive bids for locker service work system-wide were invited for the first time in the spring of 2014. Alabama Lockers alleged that the Board violated unspecified parts of the Bid Law during bidding, which culminated in Alabama Lockers losing the bid to a competitor and missing out on the work. (</w:t>
      </w:r>
      <w:r>
        <w:rPr>
          <w:i/>
          <w:iCs/>
        </w:rPr>
        <w:t xml:space="preserve">See</w:t>
      </w:r>
      <w:r>
        <w:t xml:space="preserve"> </w:t>
      </w:r>
      <w:r>
        <w:t xml:space="preserve">App. A, pp. 2-⁠3, 9-⁠10; ¶¶12-⁠15, ¶¶85-⁠86.) It demanded $76,500 in compensatory damages as a result. (</w:t>
      </w:r>
      <w:r>
        <w:rPr>
          <w:i/>
          <w:iCs/>
        </w:rPr>
        <w:t xml:space="preserve">Id.</w:t>
      </w:r>
      <w:r>
        <w:t xml:space="preserve">, p. 10, ¶85.) Similarly, Alabama Lockers alleged that when the Board re-bid the locker service work in the spring of 2017, unspecified parts of the Bid Law were violated then, too. (</w:t>
      </w:r>
      <w:r>
        <w:rPr>
          <w:i/>
          <w:iCs/>
        </w:rPr>
        <w:t xml:space="preserve">Id.</w:t>
      </w:r>
      <w:r>
        <w:t xml:space="preserve">, pp. 7, 10; ¶¶56, 86, c.) It demanded $10,846 for these additional violations. (</w:t>
      </w:r>
      <w:r>
        <w:rPr>
          <w:i/>
          <w:iCs/>
        </w:rPr>
        <w:t xml:space="preserve">Id.</w:t>
      </w:r>
      <w:r>
        <w:t xml:space="preserve">, p. 10; ¶86, d.)</w:t>
      </w:r>
    </w:p>
    <w:p>
      <w:pPr>
        <w:keepNext/>
        <w:keepLines/>
        <w:spacing w:before="280" w:after="224" w:line="336" w:lineRule="exact"/>
        <w:ind w:left="720" w:hanging="720"/>
        <w:jc w:val="left"/>
      </w:pPr>
      <w:r>
        <w:rPr>
          <w:b/>
          <w:bCs/>
        </w:rPr>
        <w:t xml:space="preserve">2.</w:t>
      </w:r>
      <w:r>
        <w:rPr>
          <w:b/>
          <w:bCs/>
        </w:rPr>
        <w:tab/>
      </w:r>
      <w:r>
        <w:rPr>
          <w:b/>
          <w:bCs/>
        </w:rPr>
        <w:t xml:space="preserve">The</w:t>
      </w:r>
      <w:r>
        <w:rPr>
          <w:b/>
          <w:bCs/>
        </w:rPr>
        <w:t xml:space="preserve"> </w:t>
      </w:r>
      <w:r>
        <w:rPr>
          <w:b/>
          <w:bCs/>
        </w:rPr>
        <w:t xml:space="preserve">Board</w:t>
      </w:r>
      <w:r>
        <w:rPr>
          <w:b/>
          <w:bCs/>
        </w:rPr>
        <w:t xml:space="preserve"> </w:t>
      </w:r>
      <w:r>
        <w:rPr>
          <w:b/>
          <w:bCs/>
        </w:rPr>
        <w:t xml:space="preserve">moved</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on</w:t>
      </w:r>
      <w:r>
        <w:rPr>
          <w:b/>
          <w:bCs/>
        </w:rPr>
        <w:t xml:space="preserve"> </w:t>
      </w:r>
      <w:r>
        <w:rPr>
          <w:b/>
          <w:bCs/>
        </w:rPr>
        <w:t xml:space="preserve">alternative</w:t>
      </w:r>
      <w:r>
        <w:rPr>
          <w:b/>
          <w:bCs/>
        </w:rPr>
        <w:t xml:space="preserve"> </w:t>
      </w:r>
      <w:r>
        <w:rPr>
          <w:b/>
          <w:bCs/>
        </w:rPr>
        <w:t xml:space="preserve">grounds.</w:t>
      </w:r>
    </w:p>
    <w:p>
      <w:pPr>
        <w:pStyle w:val="BodyText"/>
      </w:pPr>
      <w:r>
        <w:t xml:space="preserve">In response to the suit, the Board moved to dismiss under Ala. R. Civ. P. 12(b)⁠(1)</w:t>
      </w:r>
      <w:r>
        <w:t xml:space="preserve"> </w:t>
      </w:r>
      <w:r>
        <w:t xml:space="preserve">(lack of subject matter jurisdiction) and, alternatively, under Ala. R. Civ. P. 12(b)⁠(6)</w:t>
      </w:r>
      <w:r>
        <w:t xml:space="preserve"> </w:t>
      </w:r>
      <w:r>
        <w:t xml:space="preserve">(failure to state a claim). (App. B;</w:t>
      </w:r>
      <w:r>
        <w:t xml:space="preserve"> </w:t>
      </w:r>
      <w:r>
        <w:rPr>
          <w:i/>
          <w:iCs/>
        </w:rPr>
        <w:t xml:space="preserve">see also</w:t>
      </w:r>
      <w:r>
        <w:t xml:space="preserve"> </w:t>
      </w:r>
      <w:r>
        <w:t xml:space="preserve">App. E, pp. 2, 4 (labeling arguments alternatives).) The motion was opposed and briefed. (App. D, E.)</w:t>
      </w:r>
    </w:p>
    <w:p>
      <w:pPr>
        <w:keepNext/>
        <w:keepLines/>
        <w:spacing w:before="280" w:after="224" w:line="336" w:lineRule="exact"/>
        <w:ind w:left="720" w:hanging="720"/>
        <w:jc w:val="left"/>
      </w:pPr>
      <w:r>
        <w:rPr>
          <w:b/>
          <w:bCs/>
        </w:rPr>
        <w:t xml:space="preserve">3.</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entered</w:t>
      </w:r>
      <w:r>
        <w:rPr>
          <w:b/>
          <w:bCs/>
        </w:rPr>
        <w:t xml:space="preserve"> </w:t>
      </w:r>
      <w:r>
        <w:rPr>
          <w:b/>
          <w:bCs/>
        </w:rPr>
        <w:t xml:space="preserve">its</w:t>
      </w:r>
      <w:r>
        <w:rPr>
          <w:b/>
          <w:bCs/>
        </w:rPr>
        <w:t xml:space="preserve"> </w:t>
      </w:r>
      <w:r>
        <w:rPr>
          <w:b/>
          <w:bCs/>
        </w:rPr>
        <w:t xml:space="preserve">Order.</w:t>
      </w:r>
    </w:p>
    <w:p>
      <w:pPr>
        <w:pStyle w:val="BodyTextNote"/>
      </w:pPr>
      <w:r>
        <w:t xml:space="preserve">Once the motion was ripe, the trial court acted timely and in due course. A telephone hearing was held in November 2020. (</w:t>
      </w:r>
      <w:r>
        <w:rPr>
          <w:i/>
          <w:iCs/>
        </w:rPr>
        <w:t xml:space="preserve">See</w:t>
      </w:r>
      <w:r>
        <w:t xml:space="preserve"> </w:t>
      </w:r>
      <w:r>
        <w:t xml:space="preserve">App. C.) No legal arguments were waived there, and, at the trial court’s request, the parties submitted proposed orders for review and consideration.</w:t>
      </w:r>
      <w:r>
        <w:rPr>
          <w:rStyle w:val="FootnoteReference"/>
        </w:rPr>
        <w:footnoteReference w:id="9"/>
      </w:r>
      <w:r>
        <w:t xml:space="preserve"> </w:t>
      </w:r>
      <w:r>
        <w:t xml:space="preserve">Then, on December 7, 2020, the trial court entered an Order. (App. F.) The Order reads:</w:t>
      </w:r>
    </w:p>
    <w:p>
      <w:pPr>
        <w:pStyle w:val="XdQuoteFirst"/>
      </w:pPr>
      <w:r>
        <w:t xml:space="preserve">This matter comes before the Court on the Defendant’s Motion to dismiss, pursuant to Rule 12(b)⁠(6)</w:t>
      </w:r>
      <w:r>
        <w:t xml:space="preserve"> </w:t>
      </w:r>
      <w:r>
        <w:t xml:space="preserve">of the Ala. R. Civ. P. A telephonic hearing was held on this matter on November 17, 2020. Both parties appeared by and through able counsel.</w:t>
      </w:r>
    </w:p>
    <w:p>
      <w:pPr>
        <w:pStyle w:val="XdQuote"/>
      </w:pPr>
      <w:r>
        <w:t xml:space="preserve">After due consideration, the Court finds that the Plaintiff has stated a claim upon which can be granted.</w:t>
      </w:r>
    </w:p>
    <w:p>
      <w:pPr>
        <w:pStyle w:val="XdQuote"/>
      </w:pPr>
      <w:r>
        <w:t xml:space="preserve">It is therefore ORDERED, ADJUDGED, and DECREED that the Defendant’s Motion to Dismiss is hereby DENIED. The parties are hereby notified that this Court will again entertain the issues presented by the instant motion at the time for the filing of dispositive motions.</w:t>
      </w:r>
    </w:p>
    <w:p>
      <w:pPr>
        <w:pStyle w:val="XdQuoteLast"/>
      </w:pPr>
      <w:r>
        <w:t xml:space="preserve">This matter is hereby set for Status Review on February 16, 2021 at 8:30 A.M.</w:t>
      </w:r>
    </w:p>
    <w:p>
      <w:pPr>
        <w:pStyle w:val="BodyText"/>
      </w:pPr>
      <w:r>
        <w:t xml:space="preserve">(</w:t>
      </w:r>
      <w:r>
        <w:rPr>
          <w:i/>
          <w:iCs/>
        </w:rPr>
        <w:t xml:space="preserve">Id.</w:t>
      </w:r>
      <w:r>
        <w:t xml:space="preserve">) (emphasis original) (italics added) (hereafter “the Order”).</w:t>
      </w:r>
    </w:p>
    <w:p>
      <w:pPr>
        <w:keepNext/>
        <w:keepLines/>
        <w:spacing w:before="280" w:after="224" w:line="336" w:lineRule="exact"/>
        <w:ind w:left="720" w:hanging="720"/>
        <w:jc w:val="left"/>
      </w:pPr>
      <w:r>
        <w:rPr>
          <w:b/>
          <w:bCs/>
        </w:rPr>
        <w:t xml:space="preserve">4.</w:t>
      </w:r>
      <w:r>
        <w:rPr>
          <w:b/>
          <w:bCs/>
        </w:rPr>
        <w:tab/>
      </w:r>
      <w:r>
        <w:rPr>
          <w:b/>
          <w:bCs/>
        </w:rPr>
        <w:t xml:space="preserve">The</w:t>
      </w:r>
      <w:r>
        <w:rPr>
          <w:b/>
          <w:bCs/>
        </w:rPr>
        <w:t xml:space="preserve"> </w:t>
      </w:r>
      <w:r>
        <w:rPr>
          <w:b/>
          <w:bCs/>
        </w:rPr>
        <w:t xml:space="preserve">Board</w:t>
      </w:r>
      <w:r>
        <w:rPr>
          <w:b/>
          <w:bCs/>
        </w:rPr>
        <w:t xml:space="preserve"> </w:t>
      </w:r>
      <w:r>
        <w:rPr>
          <w:b/>
          <w:bCs/>
        </w:rPr>
        <w:t xml:space="preserve">answered</w:t>
      </w:r>
      <w:r>
        <w:rPr>
          <w:b/>
          <w:bCs/>
        </w:rPr>
        <w:t xml:space="preserve"> </w:t>
      </w:r>
      <w:r>
        <w:rPr>
          <w:b/>
          <w:bCs/>
        </w:rPr>
        <w:t xml:space="preserve">and</w:t>
      </w:r>
      <w:r>
        <w:rPr>
          <w:b/>
          <w:bCs/>
        </w:rPr>
        <w:t xml:space="preserve"> </w:t>
      </w:r>
      <w:r>
        <w:rPr>
          <w:b/>
          <w:bCs/>
        </w:rPr>
        <w:t xml:space="preserve">took</w:t>
      </w:r>
      <w:r>
        <w:rPr>
          <w:b/>
          <w:bCs/>
        </w:rPr>
        <w:t xml:space="preserve"> </w:t>
      </w:r>
      <w:r>
        <w:rPr>
          <w:b/>
          <w:bCs/>
        </w:rPr>
        <w:t xml:space="preserve">steps</w:t>
      </w:r>
      <w:r>
        <w:rPr>
          <w:b/>
          <w:bCs/>
        </w:rPr>
        <w:t xml:space="preserve"> </w:t>
      </w:r>
      <w:r>
        <w:rPr>
          <w:b/>
          <w:bCs/>
        </w:rPr>
        <w:t xml:space="preserve">to</w:t>
      </w:r>
      <w:r>
        <w:rPr>
          <w:b/>
          <w:bCs/>
        </w:rPr>
        <w:t xml:space="preserve"> </w:t>
      </w:r>
      <w:r>
        <w:rPr>
          <w:b/>
          <w:bCs/>
        </w:rPr>
        <w:t xml:space="preserve">try</w:t>
      </w:r>
      <w:r>
        <w:rPr>
          <w:b/>
          <w:bCs/>
        </w:rPr>
        <w:t xml:space="preserve"> </w:t>
      </w:r>
      <w:r>
        <w:rPr>
          <w:b/>
          <w:bCs/>
        </w:rPr>
        <w:t xml:space="preserve">to</w:t>
      </w:r>
      <w:r>
        <w:rPr>
          <w:b/>
          <w:bCs/>
        </w:rPr>
        <w:t xml:space="preserve"> </w:t>
      </w:r>
      <w:r>
        <w:rPr>
          <w:b/>
          <w:bCs/>
        </w:rPr>
        <w:t xml:space="preserve">avoid</w:t>
      </w:r>
      <w:r>
        <w:rPr>
          <w:b/>
          <w:bCs/>
        </w:rPr>
        <w:t xml:space="preserve"> </w:t>
      </w:r>
      <w:r>
        <w:rPr>
          <w:b/>
          <w:bCs/>
        </w:rPr>
        <w:t xml:space="preserve">the</w:t>
      </w:r>
      <w:r>
        <w:rPr>
          <w:b/>
          <w:bCs/>
        </w:rPr>
        <w:t xml:space="preserve"> </w:t>
      </w:r>
      <w:r>
        <w:rPr>
          <w:b/>
          <w:bCs/>
        </w:rPr>
        <w:t xml:space="preserve">mandamus</w:t>
      </w:r>
      <w:r>
        <w:rPr>
          <w:b/>
          <w:bCs/>
        </w:rPr>
        <w:t xml:space="preserve"> </w:t>
      </w:r>
      <w:r>
        <w:rPr>
          <w:b/>
          <w:bCs/>
        </w:rPr>
        <w:t xml:space="preserve">petition.</w:t>
      </w:r>
    </w:p>
    <w:p>
      <w:pPr>
        <w:pStyle w:val="BodyText"/>
      </w:pPr>
      <w:r>
        <w:t xml:space="preserve">A few days later, the Board, in an abundance of caution, answered and preserved its immunity defense and jurisdictional challenge. (App. G, p. 11, ¶90).</w:t>
      </w:r>
    </w:p>
    <w:p>
      <w:pPr>
        <w:pStyle w:val="BodyText"/>
      </w:pPr>
      <w:r>
        <w:t xml:space="preserve">Then, on December 21, 2020, the Board filed a submission styled, “Defendant’s Motion for Clarification re: December 7, 2020 Order Denying Motion to Dismiss.” (App. H.) There, the Board explained that the Order left the threshold issues of immunity and subject matter jurisdiction unresolved to the parties’ detriment, and “request[ed] that the [trial court] clarify the Order to either grant or deny the motion to dismiss under Rule 12(b)⁠(1)</w:t>
      </w:r>
      <w:r>
        <w:t xml:space="preserve"> </w:t>
      </w:r>
      <w:r>
        <w:t xml:space="preserve">for lack of subject matter jurisdiction.” (</w:t>
      </w:r>
      <w:r>
        <w:rPr>
          <w:i/>
          <w:iCs/>
        </w:rPr>
        <w:t xml:space="preserve">Id.</w:t>
      </w:r>
      <w:r>
        <w:t xml:space="preserve">, p. 2.) To date, Alabama Lockers has not responded to that motion, and that motion has not been ruled on, either.</w:t>
      </w:r>
    </w:p>
    <w:p>
      <w:pPr>
        <w:keepNext/>
        <w:keepLines/>
        <w:spacing w:before="280" w:after="224" w:line="336" w:lineRule="exact"/>
        <w:ind w:left="720" w:hanging="720"/>
        <w:jc w:val="left"/>
      </w:pPr>
      <w:r>
        <w:rPr>
          <w:b/>
          <w:bCs/>
        </w:rPr>
        <w:t xml:space="preserve">C.</w:t>
      </w:r>
      <w:r>
        <w:rPr>
          <w:b/>
          <w:bCs/>
        </w:rPr>
        <w:tab/>
      </w:r>
      <w:r>
        <w:rPr>
          <w:b/>
          <w:bCs/>
        </w:rPr>
        <w:t xml:space="preserve">Statement</w:t>
      </w:r>
      <w:r>
        <w:rPr>
          <w:b/>
          <w:bCs/>
        </w:rPr>
        <w:t xml:space="preserve"> </w:t>
      </w:r>
      <w:r>
        <w:rPr>
          <w:b/>
          <w:bCs/>
        </w:rPr>
        <w:t xml:space="preserve">Regarding</w:t>
      </w:r>
      <w:r>
        <w:rPr>
          <w:b/>
          <w:bCs/>
        </w:rPr>
        <w:t xml:space="preserve"> </w:t>
      </w:r>
      <w:r>
        <w:rPr>
          <w:b/>
          <w:bCs/>
        </w:rPr>
        <w:t xml:space="preserve">Timing</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Petition</w:t>
      </w:r>
    </w:p>
    <w:p>
      <w:pPr>
        <w:pStyle w:val="BodyTextNote"/>
      </w:pPr>
      <w:r>
        <w:t xml:space="preserve">A mandamus petition seeking review of a trial court’s order must be filed within “a reasonable time” of when the order is entered. Ala. R. App. P. 21(a)⁠(3).</w:t>
      </w:r>
      <w:r>
        <w:t xml:space="preserve"> </w:t>
      </w:r>
      <w:r>
        <w:t xml:space="preserve">Generally, “the presumptively reasonable time” is the same as the time to appeal.</w:t>
      </w:r>
      <w:r>
        <w:t xml:space="preserve"> </w:t>
      </w:r>
      <w:r>
        <w:rPr>
          <w:i/>
          <w:iCs/>
        </w:rPr>
        <w:t xml:space="preserve">Id.</w:t>
      </w:r>
      <w:r>
        <w:t xml:space="preserve"> </w:t>
      </w:r>
      <w:r>
        <w:t xml:space="preserve">Here, the “presumptively reasonable time” is “42 days (6 weeks) of the date of entry of” the Order — i.e., by January 19, 2021.</w:t>
      </w:r>
      <w:r>
        <w:t xml:space="preserve"> </w:t>
      </w:r>
      <w:r>
        <w:rPr>
          <w:i/>
          <w:iCs/>
        </w:rPr>
        <w:t xml:space="preserve">Id.</w:t>
      </w:r>
      <w:r>
        <w:t xml:space="preserve">; Ala. R. App. P. 4(a)⁠(1).</w:t>
      </w:r>
      <w:r>
        <w:rPr>
          <w:rStyle w:val="FootnoteReference"/>
        </w:rPr>
        <w:footnoteReference w:id="10"/>
      </w:r>
      <w:r>
        <w:t xml:space="preserve"> </w:t>
      </w:r>
      <w:r>
        <w:t xml:space="preserve">The Board has filed this petition within that window.</w:t>
      </w:r>
    </w:p>
    <w:p>
      <w:pPr>
        <w:pStyle w:val="BodyText"/>
      </w:pPr>
      <w:r>
        <w:t xml:space="preserve">The Board calls attention to the timing of the petition here, though, because the trial court has admittedly never expressly denied the Board’s motion to dismiss under 12(b)⁠(1).</w:t>
      </w:r>
      <w:r>
        <w:t xml:space="preserve"> </w:t>
      </w:r>
      <w:r>
        <w:t xml:space="preserve">That, however, is precisely part of the problem. The trial court only: expressly denied the Board’s alternative argument under 12(b)⁠(6);</w:t>
      </w:r>
      <w:r>
        <w:t xml:space="preserve"> </w:t>
      </w:r>
      <w:r>
        <w:t xml:space="preserve">“notified” the parties that it “will again entertain the issues presented by the instant motion at the time for the filing of dispositive motions”; and set the matter for a status review in February 2021. (App. F.)</w:t>
      </w:r>
    </w:p>
    <w:p>
      <w:pPr>
        <w:pStyle w:val="BodyTextNote"/>
      </w:pPr>
      <w:r>
        <w:t xml:space="preserve">The trial court did not expressly state or otherwise indicate in the Order any intent to issue a separate ruling resolving the Board’s jurisdictional challenge before the time for dispositive motions.</w:t>
      </w:r>
      <w:r>
        <w:rPr>
          <w:rStyle w:val="FootnoteReference"/>
        </w:rPr>
        <w:footnoteReference w:id="11"/>
      </w:r>
      <w:r>
        <w:t xml:space="preserve"> </w:t>
      </w:r>
      <w:r>
        <w:t xml:space="preserve">So, the Board asked on December 21, 2020 that the trial court clarify the Order to “grant or deny the motion to dismiss under Rule 12(b)⁠(1)</w:t>
      </w:r>
      <w:r>
        <w:t xml:space="preserve"> </w:t>
      </w:r>
      <w:r>
        <w:t xml:space="preserve">for lack of subject matter jurisdiction.” (App. H, p. 2.) Again, that has not been done.</w:t>
      </w:r>
    </w:p>
    <w:p>
      <w:pPr>
        <w:pStyle w:val="BodyText"/>
      </w:pPr>
      <w:r>
        <w:t xml:space="preserve">This is not the first time that this Court has faced this scenario — i.e., where a definitive ruling on an important, threshold point has not been entered, has been denied, or has been deferred. For instance, in</w:t>
      </w:r>
      <w:r>
        <w:t xml:space="preserve"> </w:t>
      </w:r>
      <w:r>
        <w:rPr>
          <w:i/>
          <w:iCs/>
        </w:rPr>
        <w:t xml:space="preserve">FMR Corp. v.</w:t>
      </w:r>
      <w:r>
        <w:rPr>
          <w:i/>
          <w:iCs/>
        </w:rPr>
        <w:t xml:space="preserve"> </w:t>
      </w:r>
      <w:r>
        <w:rPr>
          <w:i/>
          <w:iCs/>
        </w:rPr>
        <w:t xml:space="preserve">Howard</w:t>
      </w:r>
      <w:r>
        <w:t xml:space="preserve">, the defendant moved to compel arbitration. 227 So.3d 444 (Ala. 2017). The trial court stated it would not compel arbitration “at this time,” but suggested that it would take the demand up later.</w:t>
      </w:r>
      <w:r>
        <w:t xml:space="preserve"> </w:t>
      </w:r>
      <w:r>
        <w:rPr>
          <w:i/>
          <w:iCs/>
        </w:rPr>
        <w:t xml:space="preserve">Id.</w:t>
      </w:r>
      <w:r>
        <w:t xml:space="preserve"> </w:t>
      </w:r>
      <w:r>
        <w:t xml:space="preserve">at 447-⁠48. That worked a detriment to the defendant, which wanted to arbitrate, not litigate. The defendant appealed, and the plaintiff argued that the order was not final. This Court disagreed and reversed, noting that “[b]y not granting [the plaintiffs] motion to compel arbitration, the trial court ‘effectively and substantively’ denied the motion . . . .”</w:t>
      </w:r>
      <w:r>
        <w:t xml:space="preserve"> </w:t>
      </w:r>
      <w:r>
        <w:rPr>
          <w:i/>
          <w:iCs/>
        </w:rPr>
        <w:t xml:space="preserve">Id.</w:t>
      </w:r>
      <w:r>
        <w:t xml:space="preserve"> </w:t>
      </w:r>
      <w:r>
        <w:t xml:space="preserve">at 448, citing</w:t>
      </w:r>
      <w:r>
        <w:t xml:space="preserve"> </w:t>
      </w:r>
      <w:r>
        <w:rPr>
          <w:i/>
          <w:iCs/>
        </w:rPr>
        <w:t xml:space="preserve">Southland</w:t>
      </w:r>
      <w:r>
        <w:rPr>
          <w:i/>
          <w:iCs/>
        </w:rPr>
        <w:t xml:space="preserve"> </w:t>
      </w:r>
      <w:r>
        <w:rPr>
          <w:i/>
          <w:iCs/>
        </w:rPr>
        <w:t xml:space="preserve">Quality Homes, Inc. v. Williams</w:t>
      </w:r>
      <w:r>
        <w:t xml:space="preserve">, 781 So.2d 949, 952 (Ala. 2000).</w:t>
      </w:r>
    </w:p>
    <w:p>
      <w:pPr>
        <w:pStyle w:val="BodyTextNote"/>
      </w:pPr>
      <w:r>
        <w:t xml:space="preserve">The same situation exists here, and there is no good reason to distinguish</w:t>
      </w:r>
      <w:r>
        <w:t xml:space="preserve"> </w:t>
      </w:r>
      <w:r>
        <w:rPr>
          <w:i/>
          <w:iCs/>
        </w:rPr>
        <w:t xml:space="preserve">FMR Corp.</w:t>
      </w:r>
      <w:r>
        <w:t xml:space="preserve"> </w:t>
      </w:r>
      <w:r>
        <w:t xml:space="preserve">from the mandamus context. Thus, when it declined to express the jurisdictional challenge or deferred it altogether, the trial court “effectively and substantively” denied the Board’s motion to dismiss under 12(b)⁠(1).</w:t>
      </w:r>
      <w:r>
        <w:t xml:space="preserve"> </w:t>
      </w:r>
      <w:r>
        <w:rPr>
          <w:i/>
          <w:iCs/>
        </w:rPr>
        <w:t xml:space="preserve">Id.</w:t>
      </w:r>
      <w:r>
        <w:t xml:space="preserve"> </w:t>
      </w:r>
      <w:r>
        <w:t xml:space="preserve">The Board has, therefore, filed this mandamus petition to obtain redress, and it has done so in the presumptively reasonable time period running from entry of the Order. Ala. R. App. P. 4(a)⁠(1);</w:t>
      </w:r>
      <w:r>
        <w:t xml:space="preserve"> </w:t>
      </w:r>
      <w:r>
        <w:t xml:space="preserve">21(a)⁠(3).</w:t>
      </w:r>
      <w:r>
        <w:rPr>
          <w:rStyle w:val="FootnoteReference"/>
        </w:rPr>
        <w:footnoteReference w:id="12"/>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UNDISPUTED</w:t>
      </w:r>
      <w:r>
        <w:rPr>
          <w:b/>
          <w:bCs/>
        </w:rPr>
        <w:t xml:space="preserve"> </w:t>
      </w:r>
      <w:r>
        <w:rPr>
          <w:b/>
          <w:bCs/>
        </w:rPr>
        <w:t xml:space="preserve">FACTS</w:t>
      </w:r>
    </w:p>
    <w:p>
      <w:pPr>
        <w:pStyle w:val="BodyText"/>
      </w:pPr>
      <w:r>
        <w:t xml:space="preserve">Rule 21(a)</w:t>
      </w:r>
      <w:r>
        <w:t xml:space="preserve"> </w:t>
      </w:r>
      <w:r>
        <w:t xml:space="preserve">of the Alabama Rules of Appellate Procedure requires “[a] statement of the facts necessary to an understanding of the issues presented by the petition.” Ala. R. App. P. 21(a)⁠(1)⁠(C).</w:t>
      </w:r>
      <w:r>
        <w:t xml:space="preserve"> </w:t>
      </w:r>
      <w:r>
        <w:t xml:space="preserve">There are, simply put, many underlying facts over which the parties disagree — for example, whether the Board ever contracted with Alabama Lockers at any time. For purposes of this petition only, though, the “facts necessary to understanding the issues presented” are truly limited.</w:t>
      </w:r>
    </w:p>
    <w:p>
      <w:pPr>
        <w:pStyle w:val="BodyText"/>
      </w:pPr>
      <w:r>
        <w:t xml:space="preserve">They are imbedded in the Board’s Statement of the Case (and its subsections) in Section I, above. Additionally, they include one, undisputed point: The Board is a “county board of education” created under Ala. Code §§16-⁠8-⁠1,</w:t>
      </w:r>
      <w:r>
        <w:t xml:space="preserve"> </w:t>
      </w:r>
      <w:r>
        <w:t xml:space="preserve">et seq. (App. A, p. 2, ¶7; G, p. 2, ¶7.) These facts, when considered in relation to what claims Alabama Lockers asserted in the complaint against the Board, are all that are needed for this Court to decide and grant the petition.</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p>
    <w:p>
      <w:pPr>
        <w:pStyle w:val="BodyText"/>
      </w:pPr>
      <w:r>
        <w:t xml:space="preserve">Under Article I, Section 14,</w:t>
      </w:r>
      <w:r>
        <w:t xml:space="preserve"> </w:t>
      </w:r>
      <w:r>
        <w:t xml:space="preserve">of the Alabama Constitution, “the State of Alabama shall never be made a defendant in any court of law or equity.” Ala. Const. Art. I, §14 (1901). A county school board is a local agency of the State. Where a plaintiff has only pled claims for breach of contract and Bid Law violations against a county school board, as an entity, does the immunity granted by Article I, Section 14,</w:t>
      </w:r>
      <w:r>
        <w:t xml:space="preserve"> </w:t>
      </w:r>
      <w:r>
        <w:t xml:space="preserve">apply and divest the trial court of subject matter jurisdiction over those claims?</w:t>
      </w:r>
    </w:p>
    <w:p>
      <w:pPr>
        <w:keepNext/>
        <w:keepLines/>
        <w:spacing w:before="448" w:after="336" w:line="336" w:lineRule="exact"/>
        <w:ind w:left="0" w:firstLine="0"/>
        <w:jc w:val="center"/>
      </w:pPr>
      <w:r>
        <w:rPr>
          <w:b/>
          <w:bCs/>
        </w:rPr>
        <w:t xml:space="preserve">REASONS</w:t>
      </w:r>
      <w:r>
        <w:rPr>
          <w:b/>
          <w:bCs/>
        </w:rPr>
        <w:t xml:space="preserve"> </w:t>
      </w:r>
      <w:r>
        <w:rPr>
          <w:b/>
          <w:bCs/>
        </w:rPr>
        <w:t xml:space="preserve">WHY</w:t>
      </w:r>
      <w:r>
        <w:rPr>
          <w:b/>
          <w:bCs/>
        </w:rPr>
        <w:t xml:space="preserve"> </w:t>
      </w:r>
      <w:r>
        <w:rPr>
          <w:b/>
          <w:bCs/>
        </w:rPr>
        <w:t xml:space="preserve">THE</w:t>
      </w:r>
      <w:r>
        <w:rPr>
          <w:b/>
          <w:bCs/>
        </w:rPr>
        <w:t xml:space="preserve"> </w:t>
      </w:r>
      <w:r>
        <w:rPr>
          <w:b/>
          <w:bCs/>
        </w:rPr>
        <w:t xml:space="preserve">WRIT</w:t>
      </w:r>
      <w:r>
        <w:rPr>
          <w:b/>
          <w:bCs/>
        </w:rPr>
        <w:t xml:space="preserve"> </w:t>
      </w:r>
      <w:r>
        <w:rPr>
          <w:b/>
          <w:bCs/>
        </w:rPr>
        <w:t xml:space="preserve">SHOULD</w:t>
      </w:r>
      <w:r>
        <w:rPr>
          <w:b/>
          <w:bCs/>
        </w:rPr>
        <w:t xml:space="preserve"> </w:t>
      </w:r>
      <w:r>
        <w:rPr>
          <w:b/>
          <w:bCs/>
        </w:rPr>
        <w:t xml:space="preserve">ISSUE</w:t>
      </w:r>
    </w:p>
    <w:p>
      <w:pPr>
        <w:pStyle w:val="BodyText"/>
      </w:pPr>
      <w:r>
        <w:t xml:space="preserve">Mandamus is an extraordinary remedy. To obtain it, a petitioner must show a clear legal right to the order sought, an imperative duty on the respondent accompanied by a refusal to grant the order, lack of an adequate alternative, and proper invocation of the Court’s jurisdiction.</w:t>
      </w:r>
      <w:r>
        <w:t xml:space="preserve"> </w:t>
      </w:r>
      <w:r>
        <w:rPr>
          <w:i/>
          <w:iCs/>
        </w:rPr>
        <w:t xml:space="preserve">Ex parte Jackson</w:t>
      </w:r>
      <w:r>
        <w:rPr>
          <w:i/>
          <w:iCs/>
        </w:rPr>
        <w:t xml:space="preserve"> </w:t>
      </w:r>
      <w:r>
        <w:rPr>
          <w:i/>
          <w:iCs/>
        </w:rPr>
        <w:t xml:space="preserve">Cnty. Bd. of Edu.</w:t>
      </w:r>
      <w:r>
        <w:t xml:space="preserve">, 164 So.3d 532, 533-⁠34 (Ala. 2014), citing</w:t>
      </w:r>
      <w:r>
        <w:t xml:space="preserve"> </w:t>
      </w:r>
      <w:r>
        <w:rPr>
          <w:i/>
          <w:iCs/>
        </w:rPr>
        <w:t xml:space="preserve">Ex parte Wood</w:t>
      </w:r>
      <w:r>
        <w:t xml:space="preserve">, 852 So.2d 705,</w:t>
      </w:r>
      <w:r>
        <w:t xml:space="preserve"> </w:t>
      </w:r>
      <w:r>
        <w:t xml:space="preserve">708 (Ala. 2002).</w:t>
      </w:r>
    </w:p>
    <w:p>
      <w:pPr>
        <w:pStyle w:val="BodyText"/>
      </w:pPr>
      <w:r>
        <w:t xml:space="preserve">A party may use a mandamus petition to obtain review of an order denying a motion to dismiss.</w:t>
      </w:r>
      <w:r>
        <w:t xml:space="preserve"> </w:t>
      </w:r>
      <w:r>
        <w:rPr>
          <w:i/>
          <w:iCs/>
        </w:rPr>
        <w:t xml:space="preserve">Id.</w:t>
      </w:r>
      <w:r>
        <w:t xml:space="preserve"> </w:t>
      </w:r>
      <w:r>
        <w:t xml:space="preserve">at 534;</w:t>
      </w:r>
      <w:r>
        <w:t xml:space="preserve"> </w:t>
      </w:r>
      <w:r>
        <w:rPr>
          <w:i/>
          <w:iCs/>
        </w:rPr>
        <w:t xml:space="preserve">see also Ex parte Richardson</w:t>
      </w:r>
      <w:r>
        <w:t xml:space="preserve">, 957 So.2d 1119, 1124 (Ala. 2006) (holding mandamus is proper where subject matter jurisdiction is lacking). But, in conducting that type of review, the Court still applies the same standard that it would apply in reviewing such a denial under normal circumstances.</w:t>
      </w:r>
      <w:r>
        <w:t xml:space="preserve"> </w:t>
      </w:r>
      <w:r>
        <w:rPr>
          <w:i/>
          <w:iCs/>
        </w:rPr>
        <w:t xml:space="preserve">See Jackson</w:t>
      </w:r>
      <w:r>
        <w:t xml:space="preserve">, 164 So.3d at 534;</w:t>
      </w:r>
      <w:r>
        <w:t xml:space="preserve"> </w:t>
      </w:r>
      <w:r>
        <w:rPr>
          <w:i/>
          <w:iCs/>
        </w:rPr>
        <w:t xml:space="preserve">see also Ex parte Wilcox Cnty. Bd. of Edu.</w:t>
      </w:r>
      <w:r>
        <w:t xml:space="preserve">, 285 So.3d</w:t>
      </w:r>
      <w:r>
        <w:t xml:space="preserve"> </w:t>
      </w:r>
      <w:r>
        <w:t xml:space="preserve">765, 773 (Ala. 2019). Thus, “[a] ruling on a motion to dismiss is reviewed without a presumption of correctness”; the Court accepts “the allegations of the complaint as true”; the issue is whether the plaintiff may prevail, not whether the plaintiff will prevail; and the Court must construe all doubts regarding the sufficiency of the complaint in the claimant’s favor.</w:t>
      </w:r>
      <w:r>
        <w:t xml:space="preserve"> </w:t>
      </w:r>
      <w:r>
        <w:rPr>
          <w:i/>
          <w:iCs/>
        </w:rPr>
        <w:t xml:space="preserve">Id.</w:t>
      </w:r>
      <w:r>
        <w:t xml:space="preserve">;</w:t>
      </w:r>
      <w:r>
        <w:t xml:space="preserve"> </w:t>
      </w:r>
      <w:r>
        <w:rPr>
          <w:i/>
          <w:iCs/>
        </w:rPr>
        <w:t xml:space="preserve">Ex parte Ala. Dep’t of Transp.</w:t>
      </w:r>
      <w:r>
        <w:t xml:space="preserve">, 978 So.2d 17,</w:t>
      </w:r>
      <w:r>
        <w:t xml:space="preserve"> </w:t>
      </w:r>
      <w:r>
        <w:t xml:space="preserve">20-⁠21 (Ala. 2007) (citations and quotations omitted).</w:t>
      </w:r>
    </w:p>
    <w:p>
      <w:pPr>
        <w:pStyle w:val="BodyText"/>
      </w:pPr>
      <w:r>
        <w:t xml:space="preserve">This case presents a unique situation where a writ is not only needed, but warranted. This is so even under the deferential standard that controls at the pleading stage. The writ should issue because immunity applies and no exception was pled. So, even if the complaint is analyzed under the motion to dismiss standard and facts construed in Alabama Lockers’ favor, the core issues are clear, and the trial court lacked subject matter jurisdiction over what claims were alleged against the Board.</w:t>
      </w:r>
    </w:p>
    <w:p>
      <w:pPr>
        <w:keepNext/>
        <w:keepLines/>
        <w:spacing w:before="280" w:after="224" w:line="336" w:lineRule="exact"/>
        <w:ind w:left="720" w:hanging="720"/>
        <w:jc w:val="left"/>
      </w:pPr>
      <w:r>
        <w:rPr>
          <w:b/>
          <w:bCs/>
        </w:rPr>
        <w:t xml:space="preserve">1.</w:t>
      </w:r>
      <w:r>
        <w:rPr>
          <w:b/>
          <w:bCs/>
        </w:rPr>
        <w:tab/>
      </w:r>
      <w:r>
        <w:rPr>
          <w:b/>
          <w:bCs/>
        </w:rPr>
        <w:t xml:space="preserve">The</w:t>
      </w:r>
      <w:r>
        <w:rPr>
          <w:b/>
          <w:bCs/>
        </w:rPr>
        <w:t xml:space="preserve"> </w:t>
      </w:r>
      <w:r>
        <w:rPr>
          <w:b/>
          <w:bCs/>
        </w:rPr>
        <w:t xml:space="preserve">Board</w:t>
      </w:r>
      <w:r>
        <w:rPr>
          <w:b/>
          <w:bCs/>
        </w:rPr>
        <w:t xml:space="preserve"> </w:t>
      </w:r>
      <w:r>
        <w:rPr>
          <w:b/>
          <w:bCs/>
        </w:rPr>
        <w:t xml:space="preserve">has</w:t>
      </w:r>
      <w:r>
        <w:rPr>
          <w:b/>
          <w:bCs/>
        </w:rPr>
        <w:t xml:space="preserve"> </w:t>
      </w:r>
      <w:r>
        <w:rPr>
          <w:b/>
          <w:bCs/>
        </w:rPr>
        <w:t xml:space="preserve">a</w:t>
      </w:r>
      <w:r>
        <w:rPr>
          <w:b/>
          <w:bCs/>
        </w:rPr>
        <w:t xml:space="preserve"> </w:t>
      </w:r>
      <w:r>
        <w:rPr>
          <w:b/>
          <w:bCs/>
        </w:rPr>
        <w:t xml:space="preserve">clear</w:t>
      </w:r>
      <w:r>
        <w:rPr>
          <w:b/>
          <w:bCs/>
        </w:rPr>
        <w:t xml:space="preserve"> </w:t>
      </w:r>
      <w:r>
        <w:rPr>
          <w:b/>
          <w:bCs/>
        </w:rPr>
        <w:t xml:space="preserve">legal</w:t>
      </w:r>
      <w:r>
        <w:rPr>
          <w:b/>
          <w:bCs/>
        </w:rPr>
        <w:t xml:space="preserve"> </w:t>
      </w:r>
      <w:r>
        <w:rPr>
          <w:b/>
          <w:bCs/>
        </w:rPr>
        <w:t xml:space="preserve">right</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dismissal</w:t>
      </w:r>
      <w:r>
        <w:rPr>
          <w:b/>
          <w:bCs/>
        </w:rPr>
        <w:t xml:space="preserve"> </w:t>
      </w:r>
      <w:r>
        <w:rPr>
          <w:b/>
          <w:bCs/>
        </w:rPr>
        <w:t xml:space="preserve">order,</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may</w:t>
      </w:r>
      <w:r>
        <w:rPr>
          <w:b/>
          <w:bCs/>
        </w:rPr>
        <w:t xml:space="preserve"> </w:t>
      </w:r>
      <w:r>
        <w:rPr>
          <w:b/>
          <w:bCs/>
        </w:rPr>
        <w:t xml:space="preserve">assert</w:t>
      </w:r>
      <w:r>
        <w:rPr>
          <w:b/>
          <w:bCs/>
        </w:rPr>
        <w:t xml:space="preserve"> </w:t>
      </w:r>
      <w:r>
        <w:rPr>
          <w:b/>
          <w:bCs/>
        </w:rPr>
        <w:t xml:space="preserve">immunity,</w:t>
      </w:r>
      <w:r>
        <w:rPr>
          <w:b/>
          <w:bCs/>
        </w:rPr>
        <w:t xml:space="preserve"> </w:t>
      </w:r>
      <w:r>
        <w:rPr>
          <w:b/>
          <w:bCs/>
        </w:rPr>
        <w:t xml:space="preserve">the</w:t>
      </w:r>
      <w:r>
        <w:rPr>
          <w:b/>
          <w:bCs/>
        </w:rPr>
        <w:t xml:space="preserve"> </w:t>
      </w:r>
      <w:r>
        <w:rPr>
          <w:b/>
          <w:bCs/>
        </w:rPr>
        <w:t xml:space="preserve">Board</w:t>
      </w:r>
      <w:r>
        <w:rPr>
          <w:b/>
          <w:bCs/>
        </w:rPr>
        <w:t xml:space="preserve"> </w:t>
      </w:r>
      <w:r>
        <w:rPr>
          <w:b/>
          <w:bCs/>
        </w:rPr>
        <w:t xml:space="preserve">did</w:t>
      </w:r>
      <w:r>
        <w:rPr>
          <w:b/>
          <w:bCs/>
        </w:rPr>
        <w:t xml:space="preserve"> </w:t>
      </w:r>
      <w:r>
        <w:rPr>
          <w:b/>
          <w:bCs/>
        </w:rPr>
        <w:t xml:space="preserve">assert</w:t>
      </w:r>
      <w:r>
        <w:rPr>
          <w:b/>
          <w:bCs/>
        </w:rPr>
        <w:t xml:space="preserve"> </w:t>
      </w:r>
      <w:r>
        <w:rPr>
          <w:b/>
          <w:bCs/>
        </w:rPr>
        <w:t xml:space="preserve">immunity,</w:t>
      </w:r>
      <w:r>
        <w:rPr>
          <w:b/>
          <w:bCs/>
        </w:rPr>
        <w:t xml:space="preserve"> </w:t>
      </w:r>
      <w:r>
        <w:rPr>
          <w:b/>
          <w:bCs/>
        </w:rPr>
        <w:t xml:space="preserve">and</w:t>
      </w:r>
      <w:r>
        <w:rPr>
          <w:b/>
          <w:bCs/>
        </w:rPr>
        <w:t xml:space="preserve"> </w:t>
      </w:r>
      <w:r>
        <w:rPr>
          <w:b/>
          <w:bCs/>
        </w:rPr>
        <w:t xml:space="preserve">no</w:t>
      </w:r>
      <w:r>
        <w:rPr>
          <w:b/>
          <w:bCs/>
        </w:rPr>
        <w:t xml:space="preserve"> </w:t>
      </w:r>
      <w:r>
        <w:rPr>
          <w:b/>
          <w:bCs/>
        </w:rPr>
        <w:t xml:space="preserve">exception</w:t>
      </w:r>
      <w:r>
        <w:rPr>
          <w:b/>
          <w:bCs/>
        </w:rPr>
        <w:t xml:space="preserve"> </w:t>
      </w:r>
      <w:r>
        <w:rPr>
          <w:b/>
          <w:bCs/>
        </w:rPr>
        <w:t xml:space="preserve">to</w:t>
      </w:r>
      <w:r>
        <w:rPr>
          <w:b/>
          <w:bCs/>
        </w:rPr>
        <w:t xml:space="preserve"> </w:t>
      </w:r>
      <w:r>
        <w:rPr>
          <w:b/>
          <w:bCs/>
        </w:rPr>
        <w:t xml:space="preserve">immunity</w:t>
      </w:r>
      <w:r>
        <w:rPr>
          <w:b/>
          <w:bCs/>
        </w:rPr>
        <w:t xml:space="preserve"> </w:t>
      </w:r>
      <w:r>
        <w:rPr>
          <w:b/>
          <w:bCs/>
        </w:rPr>
        <w:t xml:space="preserve">was</w:t>
      </w:r>
      <w:r>
        <w:rPr>
          <w:b/>
          <w:bCs/>
        </w:rPr>
        <w:t xml:space="preserve"> </w:t>
      </w:r>
      <w:r>
        <w:rPr>
          <w:b/>
          <w:bCs/>
        </w:rPr>
        <w:t xml:space="preserve">pled.</w:t>
      </w:r>
    </w:p>
    <w:p>
      <w:pPr>
        <w:keepNext/>
        <w:keepLines/>
        <w:spacing w:before="280" w:after="224" w:line="336" w:lineRule="exact"/>
        <w:ind w:left="720" w:hanging="720"/>
        <w:jc w:val="left"/>
      </w:pPr>
      <w:r>
        <w:rPr>
          <w:b/>
          <w:bCs/>
          <w:i/>
          <w:iCs/>
        </w:rPr>
        <w:t xml:space="preserve">a.</w:t>
      </w:r>
      <w:r>
        <w:rPr>
          <w:b/>
          <w:bCs/>
          <w:i/>
          <w:iCs/>
        </w:rPr>
        <w:tab/>
      </w:r>
      <w:r>
        <w:rPr>
          <w:b/>
          <w:bCs/>
          <w:i/>
          <w:iCs/>
        </w:rPr>
        <w:t xml:space="preserve">Immunity</w:t>
      </w:r>
      <w:r>
        <w:rPr>
          <w:b/>
          <w:bCs/>
          <w:i/>
          <w:iCs/>
        </w:rPr>
        <w:t xml:space="preserve"> </w:t>
      </w:r>
      <w:r>
        <w:rPr>
          <w:b/>
          <w:bCs/>
          <w:i/>
          <w:iCs/>
        </w:rPr>
        <w:t xml:space="preserve">is</w:t>
      </w:r>
      <w:r>
        <w:rPr>
          <w:b/>
          <w:bCs/>
          <w:i/>
          <w:iCs/>
        </w:rPr>
        <w:t xml:space="preserve"> </w:t>
      </w:r>
      <w:r>
        <w:rPr>
          <w:b/>
          <w:bCs/>
          <w:i/>
          <w:iCs/>
        </w:rPr>
        <w:t xml:space="preserve">a</w:t>
      </w:r>
      <w:r>
        <w:rPr>
          <w:b/>
          <w:bCs/>
          <w:i/>
          <w:iCs/>
        </w:rPr>
        <w:t xml:space="preserve"> </w:t>
      </w:r>
      <w:r>
        <w:rPr>
          <w:b/>
          <w:bCs/>
          <w:i/>
          <w:iCs/>
        </w:rPr>
        <w:t xml:space="preserve">jurisdictional</w:t>
      </w:r>
      <w:r>
        <w:rPr>
          <w:b/>
          <w:bCs/>
          <w:i/>
          <w:iCs/>
        </w:rPr>
        <w:t xml:space="preserve"> </w:t>
      </w:r>
      <w:r>
        <w:rPr>
          <w:b/>
          <w:bCs/>
          <w:i/>
          <w:iCs/>
        </w:rPr>
        <w:t xml:space="preserve">bar</w:t>
      </w:r>
      <w:r>
        <w:rPr>
          <w:b/>
          <w:bCs/>
          <w:i/>
          <w:iCs/>
        </w:rPr>
        <w:t xml:space="preserve"> </w:t>
      </w:r>
      <w:r>
        <w:rPr>
          <w:b/>
          <w:bCs/>
          <w:i/>
          <w:iCs/>
        </w:rPr>
        <w:t xml:space="preserve">to</w:t>
      </w:r>
      <w:r>
        <w:rPr>
          <w:b/>
          <w:bCs/>
          <w:i/>
          <w:iCs/>
        </w:rPr>
        <w:t xml:space="preserve"> </w:t>
      </w:r>
      <w:r>
        <w:rPr>
          <w:b/>
          <w:bCs/>
          <w:i/>
          <w:iCs/>
        </w:rPr>
        <w:t xml:space="preserve">suit.</w:t>
      </w:r>
    </w:p>
    <w:p>
      <w:pPr>
        <w:pStyle w:val="BodyText"/>
      </w:pPr>
      <w:r>
        <w:t xml:space="preserve">The starting premise here is that “the State of Alabama shall never be made a defendant in any court of law or equity.” Ala. Const. Art. I, §14. This is a constitutional, jurisdictional bar to suit.</w:t>
      </w:r>
      <w:r>
        <w:t xml:space="preserve"> </w:t>
      </w:r>
      <w:r>
        <w:rPr>
          <w:i/>
          <w:iCs/>
        </w:rPr>
        <w:t xml:space="preserve">Ala. State Univ. v. Danley</w:t>
      </w:r>
      <w:r>
        <w:t xml:space="preserve">, 212 So.3d 112, 127 (Ala. 2016). And, where no subject matter jurisdiction exists, the only option available is to dismiss the complaint.</w:t>
      </w:r>
      <w:r>
        <w:t xml:space="preserve"> </w:t>
      </w:r>
      <w:r>
        <w:rPr>
          <w:i/>
          <w:iCs/>
        </w:rPr>
        <w:t xml:space="preserve">Jackson</w:t>
      </w:r>
      <w:r>
        <w:t xml:space="preserve">, 164 So.3d at 536;</w:t>
      </w:r>
      <w:r>
        <w:t xml:space="preserve"> </w:t>
      </w:r>
      <w:r>
        <w:rPr>
          <w:i/>
          <w:iCs/>
        </w:rPr>
        <w:t xml:space="preserve">accord Ex parte Ala. Peace Officers’ Standards &amp; Training Comm.</w:t>
      </w:r>
      <w:r>
        <w:t xml:space="preserve">, 275 So.3d 527</w:t>
      </w:r>
      <w:r>
        <w:t xml:space="preserve"> </w:t>
      </w:r>
      <w:r>
        <w:t xml:space="preserve">(Ala. 2018) (immunity precludes complaint amendment);</w:t>
      </w:r>
      <w:r>
        <w:t xml:space="preserve"> </w:t>
      </w:r>
      <w:r>
        <w:rPr>
          <w:i/>
          <w:iCs/>
        </w:rPr>
        <w:t xml:space="preserve">Ex parte Ala. Dep’t of Trans.</w:t>
      </w:r>
      <w:r>
        <w:t xml:space="preserve">, 6 So.3d 1126,</w:t>
      </w:r>
      <w:r>
        <w:t xml:space="preserve"> </w:t>
      </w:r>
      <w:r>
        <w:t xml:space="preserve">1128 (Ala. 2008) (same);</w:t>
      </w:r>
      <w:r>
        <w:t xml:space="preserve"> </w:t>
      </w:r>
      <w:r>
        <w:rPr>
          <w:i/>
          <w:iCs/>
        </w:rPr>
        <w:t xml:space="preserve">Ex parte Blankenship</w:t>
      </w:r>
      <w:r>
        <w:t xml:space="preserve">, 893 So.2d 303, 306-⁠307 (Ala. 2004) (same);</w:t>
      </w:r>
      <w:r>
        <w:t xml:space="preserve"> </w:t>
      </w:r>
      <w:r>
        <w:rPr>
          <w:i/>
          <w:iCs/>
        </w:rPr>
        <w:t xml:space="preserve">cf. Wilcox</w:t>
      </w:r>
      <w:r>
        <w:t xml:space="preserve">, 285 So.3d</w:t>
      </w:r>
      <w:r>
        <w:t xml:space="preserve"> </w:t>
      </w:r>
      <w:r>
        <w:t xml:space="preserve">at 784 (distinguishing multi-party complaint).</w:t>
      </w:r>
    </w:p>
    <w:p>
      <w:pPr>
        <w:keepNext/>
        <w:keepLines/>
        <w:spacing w:before="280" w:after="224" w:line="336" w:lineRule="exact"/>
        <w:ind w:left="720" w:hanging="720"/>
        <w:jc w:val="left"/>
      </w:pPr>
      <w:r>
        <w:rPr>
          <w:b/>
          <w:bCs/>
          <w:i/>
          <w:iCs/>
        </w:rPr>
        <w:t xml:space="preserve">b.</w:t>
      </w:r>
      <w:r>
        <w:rPr>
          <w:b/>
          <w:bCs/>
          <w:i/>
          <w:iCs/>
        </w:rPr>
        <w:tab/>
      </w:r>
      <w:r>
        <w:rPr>
          <w:b/>
          <w:bCs/>
          <w:i/>
          <w:iCs/>
        </w:rPr>
        <w:t xml:space="preserve">A</w:t>
      </w:r>
      <w:r>
        <w:rPr>
          <w:b/>
          <w:bCs/>
          <w:i/>
          <w:iCs/>
        </w:rPr>
        <w:t xml:space="preserve"> </w:t>
      </w:r>
      <w:r>
        <w:rPr>
          <w:b/>
          <w:bCs/>
          <w:i/>
          <w:iCs/>
        </w:rPr>
        <w:t xml:space="preserve">county</w:t>
      </w:r>
      <w:r>
        <w:rPr>
          <w:b/>
          <w:bCs/>
          <w:i/>
          <w:iCs/>
        </w:rPr>
        <w:t xml:space="preserve"> </w:t>
      </w:r>
      <w:r>
        <w:rPr>
          <w:b/>
          <w:bCs/>
          <w:i/>
          <w:iCs/>
        </w:rPr>
        <w:t xml:space="preserve">school</w:t>
      </w:r>
      <w:r>
        <w:rPr>
          <w:b/>
          <w:bCs/>
          <w:i/>
          <w:iCs/>
        </w:rPr>
        <w:t xml:space="preserve"> </w:t>
      </w:r>
      <w:r>
        <w:rPr>
          <w:b/>
          <w:bCs/>
          <w:i/>
          <w:iCs/>
        </w:rPr>
        <w:t xml:space="preserve">board</w:t>
      </w:r>
      <w:r>
        <w:rPr>
          <w:b/>
          <w:bCs/>
          <w:i/>
          <w:iCs/>
        </w:rPr>
        <w:t xml:space="preserve"> </w:t>
      </w:r>
      <w:r>
        <w:rPr>
          <w:b/>
          <w:bCs/>
          <w:i/>
          <w:iCs/>
        </w:rPr>
        <w:t xml:space="preserve">may</w:t>
      </w:r>
      <w:r>
        <w:rPr>
          <w:b/>
          <w:bCs/>
          <w:i/>
          <w:iCs/>
        </w:rPr>
        <w:t xml:space="preserve"> </w:t>
      </w:r>
      <w:r>
        <w:rPr>
          <w:b/>
          <w:bCs/>
          <w:i/>
          <w:iCs/>
        </w:rPr>
        <w:t xml:space="preserve">raise</w:t>
      </w:r>
      <w:r>
        <w:rPr>
          <w:b/>
          <w:bCs/>
          <w:i/>
          <w:iCs/>
        </w:rPr>
        <w:t xml:space="preserve"> </w:t>
      </w:r>
      <w:r>
        <w:rPr>
          <w:b/>
          <w:bCs/>
          <w:i/>
          <w:iCs/>
        </w:rPr>
        <w:t xml:space="preserve">immunity.</w:t>
      </w:r>
    </w:p>
    <w:p>
      <w:pPr>
        <w:pStyle w:val="BodyText"/>
      </w:pPr>
      <w:r>
        <w:t xml:space="preserve">In</w:t>
      </w:r>
      <w:r>
        <w:t xml:space="preserve"> </w:t>
      </w:r>
      <w:r>
        <w:rPr>
          <w:i/>
          <w:iCs/>
        </w:rPr>
        <w:t xml:space="preserve">Ex parte Hale</w:t>
      </w:r>
      <w:r>
        <w:rPr>
          <w:i/>
          <w:iCs/>
        </w:rPr>
        <w:t xml:space="preserve"> </w:t>
      </w:r>
      <w:r>
        <w:rPr>
          <w:i/>
          <w:iCs/>
        </w:rPr>
        <w:t xml:space="preserve">Cnty. Bd. of Edu.</w:t>
      </w:r>
      <w:r>
        <w:t xml:space="preserve">, this Court reasserted what can be colloquially termed a “super precedent” in Alabama immunity law: A county school board is a “local agency” of the State; it is “clothed in constitutional immunity from suit.” 14 So.3d 844, 848 (Ala. 2009). In</w:t>
      </w:r>
      <w:r>
        <w:t xml:space="preserve"> </w:t>
      </w:r>
      <w:r>
        <w:rPr>
          <w:i/>
          <w:iCs/>
        </w:rPr>
        <w:t xml:space="preserve">Hale</w:t>
      </w:r>
      <w:r>
        <w:t xml:space="preserve">, a unanimous panel of this Court issued a writ of mandamus directing the trial court to dismiss a breach-of-contract claim against a county school board, because immunity shielded the board.</w:t>
      </w:r>
      <w:r>
        <w:t xml:space="preserve"> </w:t>
      </w:r>
      <w:r>
        <w:rPr>
          <w:i/>
          <w:iCs/>
        </w:rPr>
        <w:t xml:space="preserve">Id.</w:t>
      </w:r>
      <w:r>
        <w:t xml:space="preserve"> </w:t>
      </w:r>
      <w:r>
        <w:t xml:space="preserve">at 848. Mincing no words, this Court described the school board’s shield as “absolute.”</w:t>
      </w:r>
      <w:r>
        <w:t xml:space="preserve"> </w:t>
      </w:r>
      <w:r>
        <w:rPr>
          <w:i/>
          <w:iCs/>
        </w:rPr>
        <w:t xml:space="preserve">Id.</w:t>
      </w:r>
      <w:r>
        <w:t xml:space="preserve"> </w:t>
      </w:r>
      <w:r>
        <w:t xml:space="preserve">An earlier case,</w:t>
      </w:r>
      <w:r>
        <w:t xml:space="preserve"> </w:t>
      </w:r>
      <w:r>
        <w:rPr>
          <w:i/>
          <w:iCs/>
        </w:rPr>
        <w:t xml:space="preserve">Kimmons</w:t>
      </w:r>
      <w:r>
        <w:rPr>
          <w:i/>
          <w:iCs/>
        </w:rPr>
        <w:t xml:space="preserve"> </w:t>
      </w:r>
      <w:r>
        <w:rPr>
          <w:i/>
          <w:iCs/>
        </w:rPr>
        <w:t xml:space="preserve">v. Jefferson Cnty. Bd. of Edu.</w:t>
      </w:r>
      <w:r>
        <w:t xml:space="preserve">, may have suggested otherwise. 85 So. 774 (1920). But in</w:t>
      </w:r>
      <w:r>
        <w:t xml:space="preserve"> </w:t>
      </w:r>
      <w:r>
        <w:rPr>
          <w:i/>
          <w:iCs/>
        </w:rPr>
        <w:t xml:space="preserve">Hale</w:t>
      </w:r>
      <w:r>
        <w:t xml:space="preserve"> </w:t>
      </w:r>
      <w:r>
        <w:t xml:space="preserve">this Court poignantly — and pointedly — rejected</w:t>
      </w:r>
      <w:r>
        <w:t xml:space="preserve"> </w:t>
      </w:r>
      <w:r>
        <w:rPr>
          <w:i/>
          <w:iCs/>
        </w:rPr>
        <w:t xml:space="preserve">Kimmons</w:t>
      </w:r>
      <w:r>
        <w:t xml:space="preserve">; it was described as a decision that was not only flawed, but one that did damage by fostering “significant confusion.” 14 So.3d at 848.</w:t>
      </w:r>
    </w:p>
    <w:p>
      <w:pPr>
        <w:pStyle w:val="BodyText"/>
      </w:pPr>
      <w:r>
        <w:rPr>
          <w:i/>
          <w:iCs/>
        </w:rPr>
        <w:t xml:space="preserve">Hale</w:t>
      </w:r>
      <w:r>
        <w:t xml:space="preserve"> </w:t>
      </w:r>
      <w:r>
        <w:t xml:space="preserve">was not the first time this Court extended immunity to a county school board,</w:t>
      </w:r>
      <w:r>
        <w:t xml:space="preserve"> </w:t>
      </w:r>
      <w:r>
        <w:rPr>
          <w:i/>
          <w:iCs/>
        </w:rPr>
        <w:t xml:space="preserve">see, e.g., Louviere</w:t>
      </w:r>
      <w:r>
        <w:rPr>
          <w:i/>
          <w:iCs/>
        </w:rPr>
        <w:t xml:space="preserve"> </w:t>
      </w:r>
      <w:r>
        <w:rPr>
          <w:i/>
          <w:iCs/>
        </w:rPr>
        <w:t xml:space="preserve">v. Mobile Cnty. Bd. of Edu.</w:t>
      </w:r>
      <w:r>
        <w:t xml:space="preserve">, 670 So.2d 873, 877 (Ala. 1995), and it certainly was not the last time, either. In a situation virtually identical to this one, this Court applied</w:t>
      </w:r>
      <w:r>
        <w:t xml:space="preserve"> </w:t>
      </w:r>
      <w:r>
        <w:rPr>
          <w:i/>
          <w:iCs/>
        </w:rPr>
        <w:t xml:space="preserve">Hale</w:t>
      </w:r>
      <w:r>
        <w:t xml:space="preserve"> </w:t>
      </w:r>
      <w:r>
        <w:t xml:space="preserve">in</w:t>
      </w:r>
      <w:r>
        <w:t xml:space="preserve"> </w:t>
      </w:r>
      <w:r>
        <w:rPr>
          <w:i/>
          <w:iCs/>
        </w:rPr>
        <w:t xml:space="preserve">Ex parte Jackson</w:t>
      </w:r>
      <w:r>
        <w:rPr>
          <w:i/>
          <w:iCs/>
        </w:rPr>
        <w:t xml:space="preserve"> </w:t>
      </w:r>
      <w:r>
        <w:rPr>
          <w:i/>
          <w:iCs/>
        </w:rPr>
        <w:t xml:space="preserve">Cnty. Bd. of Edu.</w:t>
      </w:r>
      <w:r>
        <w:t xml:space="preserve">, another breach-of-contract suit against a county school board. 164 So.3d 532, 535-⁠36 (Ala. 2014). There, the county school superintendent signed a purchase order for a contractor to perform certain gym renovations, and the contractor started the work on the gym in reliance on the order.</w:t>
      </w:r>
      <w:r>
        <w:t xml:space="preserve"> </w:t>
      </w:r>
      <w:r>
        <w:rPr>
          <w:i/>
          <w:iCs/>
        </w:rPr>
        <w:t xml:space="preserve">Id.</w:t>
      </w:r>
      <w:r>
        <w:t xml:space="preserve"> </w:t>
      </w:r>
      <w:r>
        <w:t xml:space="preserve">at 533. Then, the Alabama Building Commission stepped in and ordered the contractor to stop, because the Commission had not approved the work.</w:t>
      </w:r>
      <w:r>
        <w:t xml:space="preserve"> </w:t>
      </w:r>
      <w:r>
        <w:rPr>
          <w:i/>
          <w:iCs/>
        </w:rPr>
        <w:t xml:space="preserve">Id.</w:t>
      </w:r>
      <w:r>
        <w:t xml:space="preserve"> </w:t>
      </w:r>
      <w:r>
        <w:t xml:space="preserve">The contractor billed the school board for work performed, but the contractor was not paid.</w:t>
      </w:r>
      <w:r>
        <w:t xml:space="preserve"> </w:t>
      </w:r>
      <w:r>
        <w:rPr>
          <w:i/>
          <w:iCs/>
        </w:rPr>
        <w:t xml:space="preserve">Id.</w:t>
      </w:r>
      <w:r>
        <w:t xml:space="preserve"> </w:t>
      </w:r>
      <w:r>
        <w:t xml:space="preserve">The contractor sued the school board, claiming breach of contract and damages in excess of $90,000.</w:t>
      </w:r>
      <w:r>
        <w:t xml:space="preserve"> </w:t>
      </w:r>
      <w:r>
        <w:rPr>
          <w:i/>
          <w:iCs/>
        </w:rPr>
        <w:t xml:space="preserve">Id.</w:t>
      </w:r>
      <w:r>
        <w:t xml:space="preserve"> </w:t>
      </w:r>
      <w:r>
        <w:t xml:space="preserve">The school board moved to dismiss on immunity grounds.</w:t>
      </w:r>
      <w:r>
        <w:t xml:space="preserve"> </w:t>
      </w:r>
      <w:r>
        <w:rPr>
          <w:i/>
          <w:iCs/>
        </w:rPr>
        <w:t xml:space="preserve">Id.</w:t>
      </w:r>
      <w:r>
        <w:t xml:space="preserve"> </w:t>
      </w:r>
      <w:r>
        <w:t xml:space="preserve">The trial court permitted the contractor to amend its complaint and denied the motion to dismiss.</w:t>
      </w:r>
      <w:r>
        <w:t xml:space="preserve"> </w:t>
      </w:r>
      <w:r>
        <w:rPr>
          <w:i/>
          <w:iCs/>
        </w:rPr>
        <w:t xml:space="preserve">Id.</w:t>
      </w:r>
      <w:r>
        <w:t xml:space="preserve"> </w:t>
      </w:r>
      <w:r>
        <w:t xml:space="preserve">On appeal, this Court found immunity applied, found the trial court had no authority to allow amendment, and issued a writ directing dismissal of the suit.</w:t>
      </w:r>
      <w:r>
        <w:t xml:space="preserve"> </w:t>
      </w:r>
      <w:r>
        <w:rPr>
          <w:i/>
          <w:iCs/>
        </w:rPr>
        <w:t xml:space="preserve">Id.</w:t>
      </w:r>
      <w:r>
        <w:t xml:space="preserve"> </w:t>
      </w:r>
      <w:r>
        <w:t xml:space="preserve">at 535-⁠36;</w:t>
      </w:r>
      <w:r>
        <w:t xml:space="preserve"> </w:t>
      </w:r>
      <w:r>
        <w:rPr>
          <w:i/>
          <w:iCs/>
        </w:rPr>
        <w:t xml:space="preserve">see also Ex parte Phenix City</w:t>
      </w:r>
      <w:r>
        <w:rPr>
          <w:i/>
          <w:iCs/>
        </w:rPr>
        <w:t xml:space="preserve"> </w:t>
      </w:r>
      <w:r>
        <w:rPr>
          <w:i/>
          <w:iCs/>
        </w:rPr>
        <w:t xml:space="preserve">Bd. of Edu.</w:t>
      </w:r>
      <w:r>
        <w:t xml:space="preserve">, 109 So.3d 631 (Ala. 2012) (immunity bars quantum meruit claim).</w:t>
      </w:r>
    </w:p>
    <w:p>
      <w:pPr>
        <w:pStyle w:val="BodyTextNote"/>
      </w:pPr>
      <w:r>
        <w:t xml:space="preserve">In short, this Court’s approval of</w:t>
      </w:r>
      <w:r>
        <w:t xml:space="preserve"> </w:t>
      </w:r>
      <w:r>
        <w:rPr>
          <w:i/>
          <w:iCs/>
        </w:rPr>
        <w:t xml:space="preserve">Hale</w:t>
      </w:r>
      <w:r>
        <w:t xml:space="preserve"> </w:t>
      </w:r>
      <w:r>
        <w:t xml:space="preserve">over the last decade has been steadfast. And, this Court, in</w:t>
      </w:r>
      <w:r>
        <w:t xml:space="preserve"> </w:t>
      </w:r>
      <w:r>
        <w:rPr>
          <w:i/>
          <w:iCs/>
        </w:rPr>
        <w:t xml:space="preserve">Jackson</w:t>
      </w:r>
      <w:r>
        <w:t xml:space="preserve">, cemented</w:t>
      </w:r>
      <w:r>
        <w:t xml:space="preserve"> </w:t>
      </w:r>
      <w:r>
        <w:rPr>
          <w:i/>
          <w:iCs/>
        </w:rPr>
        <w:t xml:space="preserve">Hale</w:t>
      </w:r>
      <w:r>
        <w:t xml:space="preserve"> </w:t>
      </w:r>
      <w:r>
        <w:t xml:space="preserve">as “sound” precedent. 164 So.3d at 535.</w:t>
      </w:r>
      <w:r>
        <w:rPr>
          <w:rStyle w:val="FootnoteReference"/>
        </w:rPr>
        <w:footnoteReference w:id="13"/>
      </w:r>
    </w:p>
    <w:p>
      <w:pPr>
        <w:keepNext/>
        <w:keepLines/>
        <w:spacing w:before="280" w:after="224" w:line="336" w:lineRule="exact"/>
        <w:ind w:left="720" w:hanging="720"/>
        <w:jc w:val="left"/>
      </w:pPr>
      <w:r>
        <w:rPr>
          <w:b/>
          <w:bCs/>
          <w:i/>
          <w:iCs/>
        </w:rPr>
        <w:t xml:space="preserve">c.</w:t>
      </w:r>
      <w:r>
        <w:rPr>
          <w:b/>
          <w:bCs/>
          <w:i/>
          <w:iCs/>
        </w:rPr>
        <w:tab/>
      </w:r>
      <w:r>
        <w:rPr>
          <w:b/>
          <w:bCs/>
          <w:i/>
          <w:iCs/>
        </w:rPr>
        <w:t xml:space="preserve">Immunity</w:t>
      </w:r>
      <w:r>
        <w:rPr>
          <w:b/>
          <w:bCs/>
          <w:i/>
          <w:iCs/>
        </w:rPr>
        <w:t xml:space="preserve"> </w:t>
      </w:r>
      <w:r>
        <w:rPr>
          <w:b/>
          <w:bCs/>
          <w:i/>
          <w:iCs/>
        </w:rPr>
        <w:t xml:space="preserve">bars</w:t>
      </w:r>
      <w:r>
        <w:rPr>
          <w:b/>
          <w:bCs/>
          <w:i/>
          <w:iCs/>
        </w:rPr>
        <w:t xml:space="preserve"> </w:t>
      </w:r>
      <w:r>
        <w:rPr>
          <w:b/>
          <w:bCs/>
          <w:i/>
          <w:iCs/>
        </w:rPr>
        <w:t xml:space="preserve">what</w:t>
      </w:r>
      <w:r>
        <w:rPr>
          <w:b/>
          <w:bCs/>
          <w:i/>
          <w:iCs/>
        </w:rPr>
        <w:t xml:space="preserve"> </w:t>
      </w:r>
      <w:r>
        <w:rPr>
          <w:b/>
          <w:bCs/>
          <w:i/>
          <w:iCs/>
        </w:rPr>
        <w:t xml:space="preserve">claims</w:t>
      </w:r>
      <w:r>
        <w:rPr>
          <w:b/>
          <w:bCs/>
          <w:i/>
          <w:iCs/>
        </w:rPr>
        <w:t xml:space="preserve"> </w:t>
      </w:r>
      <w:r>
        <w:rPr>
          <w:b/>
          <w:bCs/>
          <w:i/>
          <w:iCs/>
        </w:rPr>
        <w:t xml:space="preserve">were</w:t>
      </w:r>
      <w:r>
        <w:rPr>
          <w:b/>
          <w:bCs/>
          <w:i/>
          <w:iCs/>
        </w:rPr>
        <w:t xml:space="preserve"> </w:t>
      </w:r>
      <w:r>
        <w:rPr>
          <w:b/>
          <w:bCs/>
          <w:i/>
          <w:iCs/>
        </w:rPr>
        <w:t xml:space="preserve">pled.</w:t>
      </w:r>
    </w:p>
    <w:p>
      <w:pPr>
        <w:pStyle w:val="BodyTextNote"/>
      </w:pPr>
      <w:r>
        <w:t xml:space="preserve">Here, Alabama Lockers sued the Board for breach of contract (or contracts) and violations of the Bid Law in 2014 and 2017, respectively.</w:t>
      </w:r>
      <w:r>
        <w:rPr>
          <w:rStyle w:val="FootnoteReference"/>
        </w:rPr>
        <w:footnoteReference w:id="14"/>
      </w:r>
      <w:r>
        <w:t xml:space="preserve"> </w:t>
      </w:r>
      <w:r>
        <w:rPr>
          <w:i/>
          <w:iCs/>
        </w:rPr>
        <w:t xml:space="preserve">Hale</w:t>
      </w:r>
      <w:r>
        <w:t xml:space="preserve"> </w:t>
      </w:r>
      <w:r>
        <w:t xml:space="preserve">and the cases that have followed it — particularly,</w:t>
      </w:r>
      <w:r>
        <w:t xml:space="preserve"> </w:t>
      </w:r>
      <w:r>
        <w:rPr>
          <w:i/>
          <w:iCs/>
        </w:rPr>
        <w:t xml:space="preserve">Jackson</w:t>
      </w:r>
      <w:r>
        <w:t xml:space="preserve"> </w:t>
      </w:r>
      <w:r>
        <w:t xml:space="preserve">— set forth a set of clear rules that apply and control. Under those rules, immunity bars what claims Alabama Lockers pled against the Board.</w:t>
      </w:r>
      <w:r>
        <w:rPr>
          <w:rStyle w:val="FootnoteReference"/>
        </w:rPr>
        <w:footnoteReference w:id="15"/>
      </w:r>
    </w:p>
    <w:p>
      <w:pPr>
        <w:keepNext/>
        <w:keepLines/>
        <w:spacing w:before="280" w:after="224" w:line="336" w:lineRule="exact"/>
        <w:ind w:left="720" w:hanging="720"/>
        <w:jc w:val="left"/>
      </w:pPr>
      <w:r>
        <w:rPr>
          <w:b/>
          <w:bCs/>
        </w:rPr>
        <w:t xml:space="preserve">2.</w:t>
      </w:r>
      <w:r>
        <w:rPr>
          <w:b/>
          <w:bCs/>
        </w:rPr>
        <w:tab/>
      </w:r>
      <w:r>
        <w:rPr>
          <w:b/>
          <w:bCs/>
        </w:rPr>
        <w:t xml:space="preserve">Immunity</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jurisdictional</w:t>
      </w:r>
      <w:r>
        <w:rPr>
          <w:b/>
          <w:bCs/>
        </w:rPr>
        <w:t xml:space="preserve"> </w:t>
      </w:r>
      <w:r>
        <w:rPr>
          <w:b/>
          <w:bCs/>
        </w:rPr>
        <w:t xml:space="preserve">bar</w:t>
      </w:r>
      <w:r>
        <w:rPr>
          <w:b/>
          <w:bCs/>
        </w:rPr>
        <w:t xml:space="preserve"> </w:t>
      </w:r>
      <w:r>
        <w:rPr>
          <w:b/>
          <w:bCs/>
        </w:rPr>
        <w:t xml:space="preserve">to</w:t>
      </w:r>
      <w:r>
        <w:rPr>
          <w:b/>
          <w:bCs/>
        </w:rPr>
        <w:t xml:space="preserve"> </w:t>
      </w:r>
      <w:r>
        <w:rPr>
          <w:b/>
          <w:bCs/>
        </w:rPr>
        <w:t xml:space="preserve">suit.</w:t>
      </w:r>
      <w:r>
        <w:rPr>
          <w:b/>
          <w:bCs/>
        </w:rPr>
        <w:t xml:space="preserve"> </w:t>
      </w:r>
      <w:r>
        <w:rPr>
          <w:b/>
          <w:bCs/>
        </w:rPr>
        <w:t xml:space="preserve">Since</w:t>
      </w:r>
      <w:r>
        <w:rPr>
          <w:b/>
          <w:bCs/>
        </w:rPr>
        <w:t xml:space="preserve"> </w:t>
      </w:r>
      <w:r>
        <w:rPr>
          <w:b/>
          <w:bCs/>
        </w:rPr>
        <w:t xml:space="preserve">immunity</w:t>
      </w:r>
      <w:r>
        <w:rPr>
          <w:b/>
          <w:bCs/>
        </w:rPr>
        <w:t xml:space="preserve"> </w:t>
      </w:r>
      <w:r>
        <w:rPr>
          <w:b/>
          <w:bCs/>
        </w:rPr>
        <w:t xml:space="preserve">applies,</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was</w:t>
      </w:r>
      <w:r>
        <w:rPr>
          <w:b/>
          <w:bCs/>
        </w:rPr>
        <w:t xml:space="preserve"> </w:t>
      </w:r>
      <w:r>
        <w:rPr>
          <w:b/>
          <w:bCs/>
        </w:rPr>
        <w:t xml:space="preserve">duty-bound</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what</w:t>
      </w:r>
      <w:r>
        <w:rPr>
          <w:b/>
          <w:bCs/>
        </w:rPr>
        <w:t xml:space="preserve"> </w:t>
      </w:r>
      <w:r>
        <w:rPr>
          <w:b/>
          <w:bCs/>
        </w:rPr>
        <w:t xml:space="preserve">claims</w:t>
      </w:r>
      <w:r>
        <w:rPr>
          <w:b/>
          <w:bCs/>
        </w:rPr>
        <w:t xml:space="preserve"> </w:t>
      </w:r>
      <w:r>
        <w:rPr>
          <w:b/>
          <w:bCs/>
        </w:rPr>
        <w:t xml:space="preserve">were</w:t>
      </w:r>
      <w:r>
        <w:rPr>
          <w:b/>
          <w:bCs/>
        </w:rPr>
        <w:t xml:space="preserve"> </w:t>
      </w:r>
      <w:r>
        <w:rPr>
          <w:b/>
          <w:bCs/>
        </w:rPr>
        <w:t xml:space="preserve">pled.</w:t>
      </w:r>
    </w:p>
    <w:p>
      <w:pPr>
        <w:pStyle w:val="BodyText"/>
      </w:pPr>
      <w:r>
        <w:t xml:space="preserve">For all of the reasons in Section IV.1., above, immunity divested the trial court of subject matter jurisdiction over what claims were pled. So, the trial court was duty-bound to dismiss under 12(b)⁠(1).</w:t>
      </w:r>
      <w:r>
        <w:t xml:space="preserve"> </w:t>
      </w:r>
      <w:r>
        <w:rPr>
          <w:i/>
          <w:iCs/>
        </w:rPr>
        <w:t xml:space="preserve">See Jackson</w:t>
      </w:r>
      <w:r>
        <w:t xml:space="preserve">, 164 So.3d at 536. Dismissal was not granted, despite the imperative duty. (</w:t>
      </w:r>
      <w:r>
        <w:rPr>
          <w:i/>
          <w:iCs/>
        </w:rPr>
        <w:t xml:space="preserve">See</w:t>
      </w:r>
      <w:r>
        <w:t xml:space="preserve"> </w:t>
      </w:r>
      <w:r>
        <w:t xml:space="preserve">App. F.) Instead, the breadth of the Board’s motion and the Court’s analysis were unnecessarily narrowed to 12(b)⁠(6),</w:t>
      </w:r>
      <w:r>
        <w:t xml:space="preserve"> </w:t>
      </w:r>
      <w:r>
        <w:t xml:space="preserve">and the jurisdictional challenge raised via 12(b)⁠(1)</w:t>
      </w:r>
      <w:r>
        <w:t xml:space="preserve"> </w:t>
      </w:r>
      <w:r>
        <w:t xml:space="preserve">was, in this Court’s words, “effectively and substantively” denied.</w:t>
      </w:r>
    </w:p>
    <w:p>
      <w:pPr>
        <w:keepNext/>
        <w:keepLines/>
        <w:spacing w:before="280" w:after="224" w:line="336" w:lineRule="exact"/>
        <w:ind w:left="720" w:hanging="720"/>
        <w:jc w:val="left"/>
      </w:pPr>
      <w:r>
        <w:rPr>
          <w:b/>
          <w:bCs/>
        </w:rPr>
        <w:t xml:space="preserve">3.</w:t>
      </w:r>
      <w:r>
        <w:rPr>
          <w:b/>
          <w:bCs/>
        </w:rPr>
        <w:tab/>
      </w:r>
      <w:r>
        <w:rPr>
          <w:b/>
          <w:bCs/>
        </w:rPr>
        <w:t xml:space="preserve">The</w:t>
      </w:r>
      <w:r>
        <w:rPr>
          <w:b/>
          <w:bCs/>
        </w:rPr>
        <w:t xml:space="preserve"> </w:t>
      </w:r>
      <w:r>
        <w:rPr>
          <w:b/>
          <w:bCs/>
        </w:rPr>
        <w:t xml:space="preserve">Board</w:t>
      </w:r>
      <w:r>
        <w:rPr>
          <w:b/>
          <w:bCs/>
        </w:rPr>
        <w:t xml:space="preserve"> </w:t>
      </w:r>
      <w:r>
        <w:rPr>
          <w:b/>
          <w:bCs/>
        </w:rPr>
        <w:t xml:space="preserve">lacks</w:t>
      </w:r>
      <w:r>
        <w:rPr>
          <w:b/>
          <w:bCs/>
        </w:rPr>
        <w:t xml:space="preserve"> </w:t>
      </w:r>
      <w:r>
        <w:rPr>
          <w:b/>
          <w:bCs/>
        </w:rPr>
        <w:t xml:space="preserve">another,</w:t>
      </w:r>
      <w:r>
        <w:rPr>
          <w:b/>
          <w:bCs/>
        </w:rPr>
        <w:t xml:space="preserve"> </w:t>
      </w:r>
      <w:r>
        <w:rPr>
          <w:b/>
          <w:bCs/>
        </w:rPr>
        <w:t xml:space="preserve">adequate</w:t>
      </w:r>
      <w:r>
        <w:rPr>
          <w:b/>
          <w:bCs/>
        </w:rPr>
        <w:t xml:space="preserve"> </w:t>
      </w:r>
      <w:r>
        <w:rPr>
          <w:b/>
          <w:bCs/>
        </w:rPr>
        <w:t xml:space="preserve">remedy.</w:t>
      </w:r>
    </w:p>
    <w:p>
      <w:pPr>
        <w:pStyle w:val="BodyText"/>
      </w:pPr>
      <w:r>
        <w:t xml:space="preserve">The Board lacks an alternative remedy, let alone an adequate one.</w:t>
      </w:r>
      <w:r>
        <w:t xml:space="preserve"> </w:t>
      </w:r>
      <w:r>
        <w:rPr>
          <w:i/>
          <w:iCs/>
        </w:rPr>
        <w:t xml:space="preserve">See Wilcox</w:t>
      </w:r>
      <w:r>
        <w:t xml:space="preserve">, 279 So.3d</w:t>
      </w:r>
      <w:r>
        <w:t xml:space="preserve"> </w:t>
      </w:r>
      <w:r>
        <w:t xml:space="preserve">at 1140 (remedy of traditional appeal from denial of motion to dismiss or summary judgment is inadequate where immunity applies or trial court lacks subject matter jurisdiction). If the writ does not issue here, the Board will be compelled to proceed to discovery and otherwise incur costs in litigating a case where, legally, no subject matter jurisdiction has been invoked or exists. Further still, the Board will be forced to do so until such time that dispositive motions may be filed and ruled on, as the trial court indicated is the intended course. (App. F.)</w:t>
      </w:r>
    </w:p>
    <w:p>
      <w:pPr>
        <w:keepNext/>
        <w:keepLines/>
        <w:spacing w:before="280" w:after="224" w:line="336" w:lineRule="exact"/>
        <w:ind w:left="720" w:hanging="720"/>
        <w:jc w:val="left"/>
      </w:pPr>
      <w:r>
        <w:rPr>
          <w:b/>
          <w:bCs/>
        </w:rPr>
        <w:t xml:space="preserve">4.</w:t>
      </w:r>
      <w:r>
        <w:rPr>
          <w:b/>
          <w:bCs/>
        </w:rPr>
        <w:tab/>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has</w:t>
      </w:r>
      <w:r>
        <w:rPr>
          <w:b/>
          <w:bCs/>
        </w:rPr>
        <w:t xml:space="preserve"> </w:t>
      </w:r>
      <w:r>
        <w:rPr>
          <w:b/>
          <w:bCs/>
        </w:rPr>
        <w:t xml:space="preserve">“effectively</w:t>
      </w:r>
      <w:r>
        <w:rPr>
          <w:b/>
          <w:bCs/>
        </w:rPr>
        <w:t xml:space="preserve"> </w:t>
      </w:r>
      <w:r>
        <w:rPr>
          <w:b/>
          <w:bCs/>
        </w:rPr>
        <w:t xml:space="preserve">and</w:t>
      </w:r>
      <w:r>
        <w:rPr>
          <w:b/>
          <w:bCs/>
        </w:rPr>
        <w:t xml:space="preserve"> </w:t>
      </w:r>
      <w:r>
        <w:rPr>
          <w:b/>
          <w:bCs/>
        </w:rPr>
        <w:t xml:space="preserve">substantively”</w:t>
      </w:r>
      <w:r>
        <w:rPr>
          <w:b/>
          <w:bCs/>
        </w:rPr>
        <w:t xml:space="preserve"> </w:t>
      </w:r>
      <w:r>
        <w:rPr>
          <w:b/>
          <w:bCs/>
        </w:rPr>
        <w:t xml:space="preserve">denied</w:t>
      </w:r>
      <w:r>
        <w:rPr>
          <w:b/>
          <w:bCs/>
        </w:rPr>
        <w:t xml:space="preserve"> </w:t>
      </w:r>
      <w:r>
        <w:rPr>
          <w:b/>
          <w:bCs/>
        </w:rPr>
        <w:t xml:space="preserve">the</w:t>
      </w:r>
      <w:r>
        <w:rPr>
          <w:b/>
          <w:bCs/>
        </w:rPr>
        <w:t xml:space="preserve"> </w:t>
      </w:r>
      <w:r>
        <w:rPr>
          <w:b/>
          <w:bCs/>
        </w:rPr>
        <w:t xml:space="preserve">Board’s</w:t>
      </w:r>
      <w:r>
        <w:rPr>
          <w:b/>
          <w:bCs/>
        </w:rPr>
        <w:t xml:space="preserve"> </w:t>
      </w:r>
      <w:r>
        <w:rPr>
          <w:b/>
          <w:bCs/>
        </w:rPr>
        <w:t xml:space="preserve">motion</w:t>
      </w:r>
      <w:r>
        <w:rPr>
          <w:b/>
          <w:bCs/>
        </w:rPr>
        <w:t xml:space="preserve"> </w:t>
      </w:r>
      <w:r>
        <w:rPr>
          <w:b/>
          <w:bCs/>
        </w:rPr>
        <w:t xml:space="preserve">under</w:t>
      </w:r>
      <w:r>
        <w:rPr>
          <w:b/>
          <w:bCs/>
        </w:rPr>
        <w:t xml:space="preserve"> </w:t>
      </w:r>
      <w:r>
        <w:rPr>
          <w:b/>
          <w:bCs/>
        </w:rPr>
        <w:t xml:space="preserve">12(b)⁠(1),</w:t>
      </w:r>
      <w:r>
        <w:rPr>
          <w:b/>
          <w:bCs/>
        </w:rPr>
        <w:t xml:space="preserve"> </w:t>
      </w:r>
      <w:r>
        <w:rPr>
          <w:b/>
          <w:bCs/>
        </w:rPr>
        <w:t xml:space="preserve">and</w:t>
      </w:r>
      <w:r>
        <w:rPr>
          <w:b/>
          <w:bCs/>
        </w:rPr>
        <w:t xml:space="preserve"> </w:t>
      </w:r>
      <w:r>
        <w:rPr>
          <w:b/>
          <w:bCs/>
        </w:rPr>
        <w:t xml:space="preserve">mandamus</w:t>
      </w:r>
      <w:r>
        <w:rPr>
          <w:b/>
          <w:bCs/>
        </w:rPr>
        <w:t xml:space="preserve"> </w:t>
      </w:r>
      <w:r>
        <w:rPr>
          <w:b/>
          <w:bCs/>
        </w:rPr>
        <w:t xml:space="preserve">is</w:t>
      </w:r>
      <w:r>
        <w:rPr>
          <w:b/>
          <w:bCs/>
        </w:rPr>
        <w:t xml:space="preserve"> </w:t>
      </w:r>
      <w:r>
        <w:rPr>
          <w:b/>
          <w:bCs/>
        </w:rPr>
        <w:t xml:space="preserve">appropriate</w:t>
      </w:r>
      <w:r>
        <w:rPr>
          <w:b/>
          <w:bCs/>
        </w:rPr>
        <w:t xml:space="preserve"> </w:t>
      </w:r>
      <w:r>
        <w:rPr>
          <w:b/>
          <w:bCs/>
        </w:rPr>
        <w:t xml:space="preserve">where</w:t>
      </w:r>
      <w:r>
        <w:rPr>
          <w:b/>
          <w:bCs/>
        </w:rPr>
        <w:t xml:space="preserve"> </w:t>
      </w:r>
      <w:r>
        <w:rPr>
          <w:b/>
          <w:bCs/>
        </w:rPr>
        <w:t xml:space="preserve">no</w:t>
      </w:r>
      <w:r>
        <w:rPr>
          <w:b/>
          <w:bCs/>
        </w:rPr>
        <w:t xml:space="preserve"> </w:t>
      </w:r>
      <w:r>
        <w:rPr>
          <w:b/>
          <w:bCs/>
        </w:rPr>
        <w:t xml:space="preserve">subject</w:t>
      </w:r>
      <w:r>
        <w:rPr>
          <w:b/>
          <w:bCs/>
        </w:rPr>
        <w:t xml:space="preserve"> </w:t>
      </w:r>
      <w:r>
        <w:rPr>
          <w:b/>
          <w:bCs/>
        </w:rPr>
        <w:t xml:space="preserve">matter</w:t>
      </w:r>
      <w:r>
        <w:rPr>
          <w:b/>
          <w:bCs/>
        </w:rPr>
        <w:t xml:space="preserve"> </w:t>
      </w:r>
      <w:r>
        <w:rPr>
          <w:b/>
          <w:bCs/>
        </w:rPr>
        <w:t xml:space="preserve">jurisdiction</w:t>
      </w:r>
      <w:r>
        <w:rPr>
          <w:b/>
          <w:bCs/>
        </w:rPr>
        <w:t xml:space="preserve"> </w:t>
      </w:r>
      <w:r>
        <w:rPr>
          <w:b/>
          <w:bCs/>
        </w:rPr>
        <w:t xml:space="preserve">exists.</w:t>
      </w:r>
    </w:p>
    <w:p>
      <w:pPr>
        <w:pStyle w:val="BodyText"/>
      </w:pPr>
      <w:r>
        <w:t xml:space="preserve">Finally, a request for a writ of mandamus must be made by filing a mandamus petition “with the clerk of the appellate court having jurisdiction thereof . . . .” Ala. R. App. P. 21(a).</w:t>
      </w:r>
      <w:r>
        <w:t xml:space="preserve"> </w:t>
      </w:r>
      <w:r>
        <w:t xml:space="preserve">This Court held long ago that “mandamus will lie to compel the dismissal of a claim that is barred by” immunity.</w:t>
      </w:r>
      <w:r>
        <w:t xml:space="preserve"> </w:t>
      </w:r>
      <w:r>
        <w:rPr>
          <w:i/>
          <w:iCs/>
        </w:rPr>
        <w:t xml:space="preserve">See Blankenship</w:t>
      </w:r>
      <w:r>
        <w:t xml:space="preserve">, 893 So.2d at 305. This Court has reaffirmed that rule time and again; indeed, it did so just last year in another public school case.</w:t>
      </w:r>
      <w:r>
        <w:t xml:space="preserve"> </w:t>
      </w:r>
      <w:r>
        <w:rPr>
          <w:i/>
          <w:iCs/>
        </w:rPr>
        <w:t xml:space="preserve">See Wilcox</w:t>
      </w:r>
      <w:r>
        <w:t xml:space="preserve">, 285 So.3d</w:t>
      </w:r>
      <w:r>
        <w:t xml:space="preserve"> </w:t>
      </w:r>
      <w:r>
        <w:t xml:space="preserve">at 774-⁠75;</w:t>
      </w:r>
      <w:r>
        <w:t xml:space="preserve"> </w:t>
      </w:r>
      <w:r>
        <w:rPr>
          <w:i/>
          <w:iCs/>
        </w:rPr>
        <w:t xml:space="preserve">see also Wilcox</w:t>
      </w:r>
      <w:r>
        <w:t xml:space="preserve">, 279 So.3d</w:t>
      </w:r>
      <w:r>
        <w:t xml:space="preserve"> </w:t>
      </w:r>
      <w:r>
        <w:t xml:space="preserve">at 1141;</w:t>
      </w:r>
      <w:r>
        <w:t xml:space="preserve"> </w:t>
      </w:r>
      <w:r>
        <w:rPr>
          <w:i/>
          <w:iCs/>
        </w:rPr>
        <w:t xml:space="preserve">Jackson</w:t>
      </w:r>
      <w:r>
        <w:t xml:space="preserve">, 164 So.3d at 535-⁠36. Since the trial court has “effectively and substantively” denied the Board’s motion to dismiss under 12(b)⁠(1),</w:t>
      </w:r>
      <w:r>
        <w:t xml:space="preserve"> </w:t>
      </w:r>
      <w:r>
        <w:t xml:space="preserve">a writ of mandamus is the appropriate remedy. This Court may grant that writ.</w:t>
      </w:r>
    </w:p>
    <w:p>
      <w:pPr>
        <w:keepNext/>
        <w:keepLines/>
        <w:spacing w:before="448" w:after="336" w:line="336" w:lineRule="exact"/>
        <w:ind w:left="0" w:firstLine="0"/>
        <w:jc w:val="center"/>
      </w:pPr>
      <w:r>
        <w:rPr>
          <w:b/>
          <w:bCs/>
        </w:rPr>
        <w:t xml:space="preserve">CONCLUSION</w:t>
      </w:r>
    </w:p>
    <w:p>
      <w:pPr>
        <w:pStyle w:val="BodyText"/>
      </w:pPr>
      <w:r>
        <w:t xml:space="preserve">The Board has met the requirements that must be met to obtain the extraordinary relief of mandamus, and, thus, for the writ to issue. Immunity divests the trial court of subject matter jurisdiction over what claims were pled by Alabama Lockers. And, in the absence of jurisdiction, dismissal was mandatory — not discretionary. Accordingly, the Board — with the utmost respect and appreciation for the trial court and its efforts — requests issuance of a writ of mandamus directing dismissal pursuant to 12(b)⁠(1).</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672" w:lineRule="exact"/>
              <w:ind w:left="0" w:firstLine="720"/>
              <w:jc w:val="left"/>
            </w:pPr>
            <w:r>
              <w:t xml:space="preserve">January</w:t>
            </w:r>
            <w:r>
              <w:t xml:space="preserve"> </w:t>
            </w:r>
            <w:r>
              <w:t xml:space="preserve">20,</w:t>
            </w:r>
            <w:r>
              <w:t xml:space="preserve"> </w:t>
            </w:r>
            <w:r>
              <w:t xml:space="preserve">2021</w:t>
            </w:r>
          </w:p>
          <w:p>
            <w:pPr>
              <w:spacing w:before="112" w:after="0" w:line="336" w:lineRule="exact"/>
              <w:ind w:left="4608" w:firstLine="0"/>
              <w:jc w:val="left"/>
            </w:pPr>
            <w:r>
              <w:rPr>
                <w:u w:val="single"/>
              </w:rPr>
              <w:t xml:space="preserve">s/</w:t>
            </w:r>
            <w:r>
              <w:rPr>
                <w:u w:val="single"/>
              </w:rPr>
              <w:t xml:space="preserve"> </w:t>
            </w:r>
            <w:r>
              <w:rPr>
                <w:u w:val="single"/>
              </w:rPr>
              <w:t xml:space="preserve">Andrew</w:t>
            </w:r>
            <w:r>
              <w:rPr>
                <w:u w:val="single"/>
              </w:rPr>
              <w:t xml:space="preserve"> </w:t>
            </w:r>
            <w:r>
              <w:rPr>
                <w:u w:val="single"/>
              </w:rPr>
              <w:t xml:space="preserve">E.</w:t>
            </w:r>
            <w:r>
              <w:rPr>
                <w:u w:val="single"/>
              </w:rPr>
              <w:t xml:space="preserve"> </w:t>
            </w:r>
            <w:r>
              <w:rPr>
                <w:u w:val="single"/>
              </w:rPr>
              <w:t xml:space="preserve">Rudloff</w:t>
            </w:r>
          </w:p>
          <w:p>
            <w:pPr>
              <w:spacing w:before="0" w:after="0" w:line="336" w:lineRule="exact"/>
              <w:ind w:left="4608" w:firstLine="0"/>
              <w:jc w:val="left"/>
            </w:pPr>
            <w:r>
              <w:t xml:space="preserve">Andrew</w:t>
            </w:r>
            <w:r>
              <w:t xml:space="preserve"> </w:t>
            </w:r>
            <w:r>
              <w:t xml:space="preserve">E.</w:t>
            </w:r>
            <w:r>
              <w:t xml:space="preserve"> </w:t>
            </w:r>
            <w:r>
              <w:t xml:space="preserve">Rudloff</w:t>
            </w:r>
          </w:p>
          <w:p>
            <w:pPr>
              <w:spacing w:before="0" w:after="0" w:line="336" w:lineRule="exact"/>
              <w:ind w:left="4608" w:firstLine="0"/>
              <w:jc w:val="left"/>
            </w:pPr>
            <w:r>
              <w:t xml:space="preserve">Bishop,</w:t>
            </w:r>
            <w:r>
              <w:t xml:space="preserve"> </w:t>
            </w:r>
            <w:r>
              <w:t xml:space="preserve">Colvin,</w:t>
            </w:r>
            <w:r>
              <w:t xml:space="preserve"> </w:t>
            </w:r>
            <w:r>
              <w:t xml:space="preserve">Johnson</w:t>
            </w:r>
            <w:r>
              <w:t xml:space="preserve"> </w:t>
            </w:r>
            <w:r>
              <w:t xml:space="preserve">&amp;</w:t>
            </w:r>
            <w:r>
              <w:t xml:space="preserve"> </w:t>
            </w:r>
            <w:r>
              <w:t xml:space="preserve">Kent,</w:t>
            </w:r>
            <w:r>
              <w:t xml:space="preserve"> </w:t>
            </w:r>
            <w:r>
              <w:t xml:space="preserve">LLC</w:t>
            </w:r>
          </w:p>
          <w:p>
            <w:pPr>
              <w:spacing w:before="0" w:after="0" w:line="336" w:lineRule="exact"/>
              <w:ind w:left="4608" w:firstLine="0"/>
              <w:jc w:val="left"/>
            </w:pPr>
            <w:r>
              <w:t xml:space="preserve">1910</w:t>
            </w:r>
            <w:r>
              <w:t xml:space="preserve"> </w:t>
            </w:r>
            <w:r>
              <w:t xml:space="preserve">First</w:t>
            </w:r>
            <w:r>
              <w:t xml:space="preserve"> </w:t>
            </w:r>
            <w:r>
              <w:t xml:space="preserve">Avenue</w:t>
            </w:r>
            <w:r>
              <w:t xml:space="preserve"> </w:t>
            </w:r>
            <w:r>
              <w:t xml:space="preserve">North</w:t>
            </w:r>
          </w:p>
          <w:p>
            <w:pPr>
              <w:spacing w:before="0" w:after="0" w:line="336" w:lineRule="exact"/>
              <w:ind w:left="4608" w:firstLine="0"/>
              <w:jc w:val="left"/>
            </w:pPr>
            <w:r>
              <w:t xml:space="preserve">Birmingham,</w:t>
            </w:r>
            <w:r>
              <w:t xml:space="preserve"> </w:t>
            </w:r>
            <w:r>
              <w:t xml:space="preserve">Alabama</w:t>
            </w:r>
            <w:r>
              <w:t xml:space="preserve"> </w:t>
            </w:r>
            <w:r>
              <w:t xml:space="preserve">35203</w:t>
            </w:r>
          </w:p>
          <w:p>
            <w:pPr>
              <w:spacing w:before="0" w:after="0" w:line="336" w:lineRule="exact"/>
              <w:ind w:left="4608" w:firstLine="0"/>
              <w:jc w:val="left"/>
            </w:pPr>
            <w:r>
              <w:t xml:space="preserve">P:</w:t>
            </w:r>
            <w:r>
              <w:t xml:space="preserve"> </w:t>
            </w:r>
            <w:r>
              <w:t xml:space="preserve">(205)</w:t>
            </w:r>
            <w:r>
              <w:t xml:space="preserve"> </w:t>
            </w:r>
            <w:r>
              <w:t xml:space="preserve">251-⁠2881</w:t>
            </w:r>
          </w:p>
          <w:p>
            <w:pPr>
              <w:spacing w:before="0" w:after="0" w:line="336" w:lineRule="exact"/>
              <w:ind w:left="4608" w:firstLine="0"/>
              <w:jc w:val="left"/>
            </w:pPr>
            <w:r>
              <w:t xml:space="preserve">F:</w:t>
            </w:r>
            <w:r>
              <w:t xml:space="preserve"> </w:t>
            </w:r>
            <w:r>
              <w:t xml:space="preserve">(205)</w:t>
            </w:r>
            <w:r>
              <w:t xml:space="preserve"> </w:t>
            </w:r>
            <w:r>
              <w:t xml:space="preserve">254-⁠3987</w:t>
            </w:r>
          </w:p>
          <w:p>
            <w:pPr>
              <w:spacing w:before="0" w:after="0" w:line="336" w:lineRule="exact"/>
              <w:ind w:left="4608" w:firstLine="0"/>
              <w:jc w:val="left"/>
            </w:pPr>
            <w:r>
              <w:t xml:space="preserve">E:</w:t>
            </w:r>
            <w:r>
              <w:t xml:space="preserve"> </w:t>
            </w:r>
            <w:r>
              <w:t xml:space="preserve">arudloff@bishopcolvin.com</w:t>
            </w:r>
          </w:p>
          <w:p>
            <w:pPr>
              <w:spacing w:before="0" w:after="0" w:line="336"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Petitioner</w:t>
            </w: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7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form</w:t>
            </w:r>
            <w:r>
              <w:t xml:space="preserve"> </w:t>
            </w:r>
            <w:r>
              <w:t xml:space="preserve">and</w:t>
            </w:r>
            <w:r>
              <w:t xml:space="preserve"> </w:t>
            </w:r>
            <w:r>
              <w:t xml:space="preserve">word</w:t>
            </w:r>
            <w:r>
              <w:t xml:space="preserve"> </w:t>
            </w:r>
            <w:r>
              <w:t xml:space="preserve">limitations</w:t>
            </w:r>
            <w:r>
              <w:t xml:space="preserve"> </w:t>
            </w:r>
            <w:r>
              <w:t xml:space="preserve">of</w:t>
            </w:r>
            <w:r>
              <w:t xml:space="preserve"> </w:t>
            </w:r>
            <w:r>
              <w:t xml:space="preserve">Alabama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21(d)</w:t>
            </w:r>
            <w:r>
              <w:t xml:space="preserve"> </w:t>
            </w:r>
            <w:r>
              <w:t xml:space="preserve">and</w:t>
            </w:r>
            <w:r>
              <w:t xml:space="preserve"> </w:t>
            </w:r>
            <w:r>
              <w:t xml:space="preserve">32(b)⁠(3).</w:t>
            </w:r>
            <w:r>
              <w:t xml:space="preserve"> </w:t>
            </w:r>
            <w:r>
              <w:t xml:space="preserve">This</w:t>
            </w:r>
            <w:r>
              <w:t xml:space="preserve"> </w:t>
            </w:r>
            <w:r>
              <w:t xml:space="preserve">document</w:t>
            </w:r>
            <w:r>
              <w:t xml:space="preserve"> </w:t>
            </w:r>
            <w:r>
              <w:t xml:space="preserve">is</w:t>
            </w:r>
            <w:r>
              <w:t xml:space="preserve"> </w:t>
            </w:r>
            <w:r>
              <w:t xml:space="preserve">submitted</w:t>
            </w:r>
            <w:r>
              <w:t xml:space="preserve"> </w:t>
            </w:r>
            <w:r>
              <w:t xml:space="preserve">in</w:t>
            </w:r>
            <w:r>
              <w:t xml:space="preserve"> </w:t>
            </w:r>
            <w:r>
              <w:t xml:space="preserve">Century</w:t>
            </w:r>
            <w:r>
              <w:t xml:space="preserve"> </w:t>
            </w:r>
            <w:r>
              <w:t xml:space="preserve">Schoolbook</w:t>
            </w:r>
            <w:r>
              <w:t xml:space="preserve"> </w:t>
            </w:r>
            <w:r>
              <w:t xml:space="preserve">font,</w:t>
            </w:r>
            <w:r>
              <w:t xml:space="preserve"> </w:t>
            </w:r>
            <w:r>
              <w:t xml:space="preserve">size</w:t>
            </w:r>
            <w:r>
              <w:t xml:space="preserve"> </w:t>
            </w:r>
            <w:r>
              <w:t xml:space="preserve">14,</w:t>
            </w:r>
            <w:r>
              <w:t xml:space="preserve"> </w:t>
            </w:r>
            <w:r>
              <w:t xml:space="preserve">and</w:t>
            </w:r>
            <w:r>
              <w:t xml:space="preserve"> </w:t>
            </w:r>
            <w:r>
              <w:t xml:space="preserve">contains</w:t>
            </w:r>
            <w:r>
              <w:t xml:space="preserve"> </w:t>
            </w:r>
            <w:r>
              <w:t xml:space="preserve">3,888</w:t>
            </w:r>
            <w:r>
              <w:t xml:space="preserve"> </w:t>
            </w:r>
            <w:r>
              <w:t xml:space="preserve">words.</w:t>
            </w:r>
          </w:p>
          <w:p>
            <w:pPr>
              <w:spacing w:before="112" w:after="0" w:line="336" w:lineRule="exact"/>
              <w:ind w:left="4608" w:firstLine="0"/>
              <w:jc w:val="left"/>
            </w:pPr>
            <w:r>
              <w:rPr>
                <w:u w:val="single"/>
              </w:rPr>
              <w:t xml:space="preserve">s/</w:t>
            </w:r>
            <w:r>
              <w:rPr>
                <w:u w:val="single"/>
              </w:rPr>
              <w:t xml:space="preserve"> </w:t>
            </w:r>
            <w:r>
              <w:rPr>
                <w:u w:val="single"/>
              </w:rPr>
              <w:t xml:space="preserve">Andrew</w:t>
            </w:r>
            <w:r>
              <w:rPr>
                <w:u w:val="single"/>
              </w:rPr>
              <w:t xml:space="preserve"> </w:t>
            </w:r>
            <w:r>
              <w:rPr>
                <w:u w:val="single"/>
              </w:rPr>
              <w:t xml:space="preserve">E.</w:t>
            </w:r>
            <w:r>
              <w:rPr>
                <w:u w:val="single"/>
              </w:rPr>
              <w:t xml:space="preserve"> </w:t>
            </w:r>
            <w:r>
              <w:rPr>
                <w:u w:val="single"/>
              </w:rPr>
              <w:t xml:space="preserve">Rudloff</w:t>
            </w:r>
          </w:p>
          <w:p>
            <w:pPr>
              <w:spacing w:before="0" w:after="0" w:line="336" w:lineRule="exact"/>
              <w:ind w:left="4608" w:firstLine="0"/>
              <w:jc w:val="left"/>
            </w:pPr>
            <w:r>
              <w:t xml:space="preserve">Andrew</w:t>
            </w:r>
            <w:r>
              <w:t xml:space="preserve"> </w:t>
            </w:r>
            <w:r>
              <w:t xml:space="preserve">E.</w:t>
            </w:r>
            <w:r>
              <w:t xml:space="preserve"> </w:t>
            </w:r>
            <w:r>
              <w:t xml:space="preserve">Rudloff</w:t>
            </w:r>
          </w:p>
          <w:p>
            <w:pPr>
              <w:spacing w:before="0" w:after="0" w:line="336" w:lineRule="exact"/>
              <w:ind w:left="4608" w:firstLine="0"/>
              <w:jc w:val="left"/>
            </w:pPr>
            <w:r>
              <w:t xml:space="preserve">Bishop,</w:t>
            </w:r>
            <w:r>
              <w:t xml:space="preserve"> </w:t>
            </w:r>
            <w:r>
              <w:t xml:space="preserve">Colvin,</w:t>
            </w:r>
            <w:r>
              <w:t xml:space="preserve"> </w:t>
            </w:r>
            <w:r>
              <w:t xml:space="preserve">Johnson</w:t>
            </w:r>
            <w:r>
              <w:t xml:space="preserve"> </w:t>
            </w:r>
            <w:r>
              <w:t xml:space="preserve">&amp;</w:t>
            </w:r>
            <w:r>
              <w:t xml:space="preserve"> </w:t>
            </w:r>
            <w:r>
              <w:t xml:space="preserve">Kent,</w:t>
            </w:r>
            <w:r>
              <w:t xml:space="preserve"> </w:t>
            </w:r>
            <w:r>
              <w:t xml:space="preserve">LLC</w:t>
            </w:r>
          </w:p>
          <w:p>
            <w:pPr>
              <w:spacing w:before="0" w:after="0" w:line="336" w:lineRule="exact"/>
              <w:ind w:left="4608" w:firstLine="0"/>
              <w:jc w:val="left"/>
            </w:pPr>
            <w:r>
              <w:t xml:space="preserve">1910</w:t>
            </w:r>
            <w:r>
              <w:t xml:space="preserve"> </w:t>
            </w:r>
            <w:r>
              <w:t xml:space="preserve">First</w:t>
            </w:r>
            <w:r>
              <w:t xml:space="preserve"> </w:t>
            </w:r>
            <w:r>
              <w:t xml:space="preserve">Avenue</w:t>
            </w:r>
            <w:r>
              <w:t xml:space="preserve"> </w:t>
            </w:r>
            <w:r>
              <w:t xml:space="preserve">North</w:t>
            </w:r>
          </w:p>
          <w:p>
            <w:pPr>
              <w:spacing w:before="0" w:after="0" w:line="336" w:lineRule="exact"/>
              <w:ind w:left="4608" w:firstLine="0"/>
              <w:jc w:val="left"/>
            </w:pPr>
            <w:r>
              <w:t xml:space="preserve">Birmingham,</w:t>
            </w:r>
            <w:r>
              <w:t xml:space="preserve"> </w:t>
            </w:r>
            <w:r>
              <w:t xml:space="preserve">Alabama</w:t>
            </w:r>
            <w:r>
              <w:t xml:space="preserve"> </w:t>
            </w:r>
            <w:r>
              <w:t xml:space="preserve">35203</w:t>
            </w:r>
          </w:p>
          <w:p>
            <w:pPr>
              <w:spacing w:before="0" w:after="0" w:line="336" w:lineRule="exact"/>
              <w:ind w:left="4608" w:firstLine="0"/>
              <w:jc w:val="left"/>
            </w:pPr>
            <w:r>
              <w:t xml:space="preserve">P:</w:t>
            </w:r>
            <w:r>
              <w:t xml:space="preserve"> </w:t>
            </w:r>
            <w:r>
              <w:t xml:space="preserve">(205)</w:t>
            </w:r>
            <w:r>
              <w:t xml:space="preserve"> </w:t>
            </w:r>
            <w:r>
              <w:t xml:space="preserve">251-⁠2881</w:t>
            </w:r>
          </w:p>
          <w:p>
            <w:pPr>
              <w:spacing w:before="0" w:after="0" w:line="336" w:lineRule="exact"/>
              <w:ind w:left="4608" w:firstLine="0"/>
              <w:jc w:val="left"/>
            </w:pPr>
            <w:r>
              <w:t xml:space="preserve">F:</w:t>
            </w:r>
            <w:r>
              <w:t xml:space="preserve"> </w:t>
            </w:r>
            <w:r>
              <w:t xml:space="preserve">(205)</w:t>
            </w:r>
            <w:r>
              <w:t xml:space="preserve"> </w:t>
            </w:r>
            <w:r>
              <w:t xml:space="preserve">254-⁠3987</w:t>
            </w:r>
          </w:p>
          <w:p>
            <w:pPr>
              <w:spacing w:before="0" w:after="0" w:line="336" w:lineRule="exact"/>
              <w:ind w:left="4608" w:firstLine="0"/>
              <w:jc w:val="left"/>
            </w:pPr>
            <w:r>
              <w:t xml:space="preserve">E:</w:t>
            </w:r>
            <w:r>
              <w:t xml:space="preserve"> </w:t>
            </w:r>
            <w:r>
              <w:t xml:space="preserve">arudloff@bishopcolvin.com</w:t>
            </w:r>
          </w:p>
          <w:p>
            <w:pPr>
              <w:spacing w:before="0" w:after="0" w:line="336"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Petitioner</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7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Alabama</w:t>
            </w:r>
            <w:r>
              <w:t xml:space="preserve"> </w:t>
            </w:r>
            <w:r>
              <w:t xml:space="preserve">Appeals</w:t>
            </w:r>
            <w:r>
              <w:t xml:space="preserve"> </w:t>
            </w:r>
            <w:r>
              <w:t xml:space="preserve">e-File</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r>
              <w:t xml:space="preserve"> </w:t>
            </w:r>
            <w:r>
              <w:t xml:space="preserve">and</w:t>
            </w:r>
            <w:r>
              <w:t xml:space="preserve"> </w:t>
            </w:r>
            <w:r>
              <w:t xml:space="preserve">that</w:t>
            </w:r>
            <w:r>
              <w:t xml:space="preserve"> </w:t>
            </w:r>
            <w:r>
              <w:t xml:space="preserve">a</w:t>
            </w:r>
            <w:r>
              <w:t xml:space="preserve"> </w:t>
            </w:r>
            <w:r>
              <w:t xml:space="preserve">copy</w:t>
            </w:r>
            <w:r>
              <w:t xml:space="preserve"> </w:t>
            </w:r>
            <w:r>
              <w:t xml:space="preserve">has</w:t>
            </w:r>
            <w:r>
              <w:t xml:space="preserve"> </w:t>
            </w:r>
            <w:r>
              <w:t xml:space="preserve">been</w:t>
            </w:r>
            <w:r>
              <w:t xml:space="preserve"> </w:t>
            </w:r>
            <w:r>
              <w:t xml:space="preserve">served</w:t>
            </w:r>
            <w:r>
              <w:t xml:space="preserve"> </w:t>
            </w:r>
            <w:r>
              <w:t xml:space="preserve">on</w:t>
            </w:r>
            <w:r>
              <w:t xml:space="preserve"> </w:t>
            </w:r>
            <w:r>
              <w:t xml:space="preserve">each</w:t>
            </w:r>
            <w:r>
              <w:t xml:space="preserve"> </w:t>
            </w:r>
            <w:r>
              <w:t xml:space="preserve">party</w:t>
            </w:r>
            <w:r>
              <w:t xml:space="preserve"> </w:t>
            </w:r>
            <w:r>
              <w:t xml:space="preserve">to</w:t>
            </w:r>
            <w:r>
              <w:t xml:space="preserve"> </w:t>
            </w:r>
            <w:r>
              <w:t xml:space="preserve">the</w:t>
            </w:r>
            <w:r>
              <w:t xml:space="preserve"> </w:t>
            </w:r>
            <w:r>
              <w:t xml:space="preserve">proceeding</w:t>
            </w:r>
            <w:r>
              <w:t xml:space="preserve"> </w:t>
            </w:r>
            <w:r>
              <w:t xml:space="preserve">below,</w:t>
            </w:r>
            <w:r>
              <w:t xml:space="preserve"> </w:t>
            </w:r>
            <w:r>
              <w:t xml:space="preserve">as</w:t>
            </w:r>
            <w:r>
              <w:t xml:space="preserve"> </w:t>
            </w:r>
            <w:r>
              <w:t xml:space="preserve">Alabama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21(a)⁠(1)</w:t>
            </w:r>
            <w:r>
              <w:t xml:space="preserve"> </w:t>
            </w:r>
            <w:r>
              <w:t xml:space="preserve">requires.</w:t>
            </w:r>
          </w:p>
          <w:p>
            <w:pPr>
              <w:spacing w:before="112" w:after="0" w:line="336" w:lineRule="exact"/>
              <w:ind w:left="4608" w:firstLine="0"/>
              <w:jc w:val="left"/>
            </w:pPr>
            <w:r>
              <w:rPr>
                <w:u w:val="single"/>
              </w:rPr>
              <w:t xml:space="preserve">s/</w:t>
            </w:r>
            <w:r>
              <w:rPr>
                <w:u w:val="single"/>
              </w:rPr>
              <w:t xml:space="preserve"> </w:t>
            </w:r>
            <w:r>
              <w:rPr>
                <w:u w:val="single"/>
              </w:rPr>
              <w:t xml:space="preserve">Andrew</w:t>
            </w:r>
            <w:r>
              <w:rPr>
                <w:u w:val="single"/>
              </w:rPr>
              <w:t xml:space="preserve"> </w:t>
            </w:r>
            <w:r>
              <w:rPr>
                <w:u w:val="single"/>
              </w:rPr>
              <w:t xml:space="preserve">E.</w:t>
            </w:r>
            <w:r>
              <w:rPr>
                <w:u w:val="single"/>
              </w:rPr>
              <w:t xml:space="preserve"> </w:t>
            </w:r>
            <w:r>
              <w:rPr>
                <w:u w:val="single"/>
              </w:rPr>
              <w:t xml:space="preserve">Rudloff</w:t>
            </w:r>
          </w:p>
          <w:p>
            <w:pPr>
              <w:spacing w:before="0" w:after="0" w:line="336" w:lineRule="exact"/>
              <w:ind w:left="4608" w:firstLine="0"/>
              <w:jc w:val="left"/>
            </w:pPr>
            <w:r>
              <w:t xml:space="preserve">Andrew</w:t>
            </w:r>
            <w:r>
              <w:t xml:space="preserve"> </w:t>
            </w:r>
            <w:r>
              <w:t xml:space="preserve">E.</w:t>
            </w:r>
            <w:r>
              <w:t xml:space="preserve"> </w:t>
            </w:r>
            <w:r>
              <w:t xml:space="preserve">Rudloff</w:t>
            </w:r>
          </w:p>
          <w:p>
            <w:pPr>
              <w:spacing w:before="0" w:after="0" w:line="336" w:lineRule="exact"/>
              <w:ind w:left="4608" w:firstLine="0"/>
              <w:jc w:val="left"/>
            </w:pPr>
            <w:r>
              <w:t xml:space="preserve">Bishop,</w:t>
            </w:r>
            <w:r>
              <w:t xml:space="preserve"> </w:t>
            </w:r>
            <w:r>
              <w:t xml:space="preserve">Colvin,</w:t>
            </w:r>
            <w:r>
              <w:t xml:space="preserve"> </w:t>
            </w:r>
            <w:r>
              <w:t xml:space="preserve">Johnson</w:t>
            </w:r>
            <w:r>
              <w:t xml:space="preserve"> </w:t>
            </w:r>
            <w:r>
              <w:t xml:space="preserve">&amp;</w:t>
            </w:r>
            <w:r>
              <w:t xml:space="preserve"> </w:t>
            </w:r>
            <w:r>
              <w:t xml:space="preserve">Kent,</w:t>
            </w:r>
            <w:r>
              <w:t xml:space="preserve"> </w:t>
            </w:r>
            <w:r>
              <w:t xml:space="preserve">LLC</w:t>
            </w:r>
          </w:p>
          <w:p>
            <w:pPr>
              <w:spacing w:before="0" w:after="0" w:line="336" w:lineRule="exact"/>
              <w:ind w:left="4608" w:firstLine="0"/>
              <w:jc w:val="left"/>
            </w:pPr>
            <w:r>
              <w:t xml:space="preserve">1910</w:t>
            </w:r>
            <w:r>
              <w:t xml:space="preserve"> </w:t>
            </w:r>
            <w:r>
              <w:t xml:space="preserve">First</w:t>
            </w:r>
            <w:r>
              <w:t xml:space="preserve"> </w:t>
            </w:r>
            <w:r>
              <w:t xml:space="preserve">Avenue</w:t>
            </w:r>
            <w:r>
              <w:t xml:space="preserve"> </w:t>
            </w:r>
            <w:r>
              <w:t xml:space="preserve">North</w:t>
            </w:r>
          </w:p>
          <w:p>
            <w:pPr>
              <w:spacing w:before="0" w:after="0" w:line="336" w:lineRule="exact"/>
              <w:ind w:left="4608" w:firstLine="0"/>
              <w:jc w:val="left"/>
            </w:pPr>
            <w:r>
              <w:t xml:space="preserve">Birmingham,</w:t>
            </w:r>
            <w:r>
              <w:t xml:space="preserve"> </w:t>
            </w:r>
            <w:r>
              <w:t xml:space="preserve">Alabama</w:t>
            </w:r>
            <w:r>
              <w:t xml:space="preserve"> </w:t>
            </w:r>
            <w:r>
              <w:t xml:space="preserve">35203</w:t>
            </w:r>
          </w:p>
          <w:p>
            <w:pPr>
              <w:spacing w:before="0" w:after="0" w:line="336" w:lineRule="exact"/>
              <w:ind w:left="4608" w:firstLine="0"/>
              <w:jc w:val="left"/>
            </w:pPr>
            <w:r>
              <w:t xml:space="preserve">P:</w:t>
            </w:r>
            <w:r>
              <w:t xml:space="preserve"> </w:t>
            </w:r>
            <w:r>
              <w:t xml:space="preserve">(205)</w:t>
            </w:r>
            <w:r>
              <w:t xml:space="preserve"> </w:t>
            </w:r>
            <w:r>
              <w:t xml:space="preserve">251-⁠2881</w:t>
            </w:r>
          </w:p>
          <w:p>
            <w:pPr>
              <w:spacing w:before="0" w:after="0" w:line="336" w:lineRule="exact"/>
              <w:ind w:left="4608" w:firstLine="0"/>
              <w:jc w:val="left"/>
            </w:pPr>
            <w:r>
              <w:t xml:space="preserve">F:</w:t>
            </w:r>
            <w:r>
              <w:t xml:space="preserve"> </w:t>
            </w:r>
            <w:r>
              <w:t xml:space="preserve">(205)</w:t>
            </w:r>
            <w:r>
              <w:t xml:space="preserve"> </w:t>
            </w:r>
            <w:r>
              <w:t xml:space="preserve">254-⁠3987</w:t>
            </w:r>
          </w:p>
          <w:p>
            <w:pPr>
              <w:spacing w:before="0" w:after="0" w:line="336" w:lineRule="exact"/>
              <w:ind w:left="4608" w:firstLine="0"/>
              <w:jc w:val="left"/>
            </w:pPr>
            <w:r>
              <w:t xml:space="preserve">E:</w:t>
            </w:r>
            <w:r>
              <w:t xml:space="preserve"> </w:t>
            </w:r>
            <w:r>
              <w:t xml:space="preserve">arudloff@bishopcolvin.com</w:t>
            </w:r>
          </w:p>
          <w:p>
            <w:pPr>
              <w:spacing w:before="0" w:after="0" w:line="336" w:lineRule="exact"/>
              <w:ind w:left="4608" w:firstLine="0"/>
              <w:jc w:val="left"/>
            </w:pPr>
            <w:r>
              <w:rPr>
                <w:i/>
                <w:iCs/>
              </w:rPr>
              <w:t xml:space="preserve">Attorney</w:t>
            </w:r>
            <w:r>
              <w:rPr>
                <w:i/>
                <w:iCs/>
              </w:rPr>
              <w:t xml:space="preserve"> </w:t>
            </w:r>
            <w:r>
              <w:rPr>
                <w:i/>
                <w:iCs/>
              </w:rPr>
              <w:t xml:space="preserve">for</w:t>
            </w:r>
            <w:r>
              <w:rPr>
                <w:i/>
                <w:iCs/>
              </w:rPr>
              <w:t xml:space="preserve"> </w:t>
            </w:r>
            <w:r>
              <w:rPr>
                <w:i/>
                <w:iCs/>
              </w:rPr>
              <w:t xml:space="preserve">Petitioner</w:t>
            </w:r>
          </w:p>
        </w:tc>
      </w:tr>
    </w:tbl>
    <w:sectPr>
      <w:footerReference w:type="default" r:id="rIdXdPage"/>
      <w:footerReference w:type="first" r:id="rIdXdNone"/>
      <w:pgSz w:w="12240" w:h="15840"/>
      <w:pgMar w:top="1512" w:right="1440" w:bottom="1440" w:left="1440" w:header="720" w:footer="67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parties’ proposed orders were not made part of the record.</w:t>
      </w:r>
    </w:p>
  </w:footnote>
  <w:footnote w:id="10">
    <w:p>
      <w:pPr>
        <w:pStyle w:val="FootnoteText"/>
      </w:pPr>
      <w:r>
        <w:rPr>
          <w:rStyle w:val="FootnoteReference"/>
        </w:rPr>
        <w:footnoteRef/>
      </w:r>
      <w:r>
        <w:t xml:space="preserve"> </w:t>
      </w:r>
      <w:r>
        <w:t xml:space="preserve">January 18, 2021 is a “legal holiday,” and the “presumptively reasonable time” period is thus extended to January 19, 2021 — i.e., “the end of the next day that is not a Saturday, Sunday, or legal holiday.” Ala. R. App. P. 26(a).</w:t>
      </w:r>
    </w:p>
  </w:footnote>
  <w:footnote w:id="11">
    <w:p>
      <w:pPr>
        <w:pStyle w:val="FootnoteText"/>
      </w:pPr>
      <w:r>
        <w:rPr>
          <w:rStyle w:val="FootnoteReference"/>
        </w:rPr>
        <w:footnoteRef/>
      </w:r>
      <w:r>
        <w:t xml:space="preserve"> </w:t>
      </w:r>
      <w:r>
        <w:t xml:space="preserve">Again, the Order styled and limited the Board’s motion to dismiss as a motion “pursuant to Rule 12(b)⁠(6)</w:t>
      </w:r>
      <w:r>
        <w:t xml:space="preserve"> </w:t>
      </w:r>
      <w:r>
        <w:t xml:space="preserve">of the Ala. R. Civ. P” — rather a motion made pursuant to 12(b)⁠(1)</w:t>
      </w:r>
      <w:r>
        <w:t xml:space="preserve"> </w:t>
      </w:r>
      <w:r>
        <w:t xml:space="preserve">and 12(b)⁠(6).</w:t>
      </w:r>
      <w:r>
        <w:t xml:space="preserve"> </w:t>
      </w:r>
      <w:r>
        <w:t xml:space="preserve">(</w:t>
      </w:r>
      <w:r>
        <w:rPr>
          <w:i/>
          <w:iCs/>
        </w:rPr>
        <w:t xml:space="preserve">Cf.</w:t>
      </w:r>
      <w:r>
        <w:t xml:space="preserve"> </w:t>
      </w:r>
      <w:r>
        <w:t xml:space="preserve">App. B and E with App. F.)</w:t>
      </w:r>
    </w:p>
  </w:footnote>
  <w:footnote w:id="12">
    <w:p>
      <w:pPr>
        <w:pStyle w:val="FootnoteText"/>
      </w:pPr>
      <w:r>
        <w:rPr>
          <w:rStyle w:val="FootnoteReference"/>
        </w:rPr>
        <w:footnoteRef/>
      </w:r>
      <w:r>
        <w:t xml:space="preserve"> </w:t>
      </w:r>
      <w:r>
        <w:t xml:space="preserve">To be sure, the Board acknowledges that its request for clarification has been pending since December 21, 2020, and that the ensuing holidays and pandemic circumstances have likely made action by a busy trial court more difficult. The Board is also mindful that it is possible to file a mandamus petition too early.</w:t>
      </w:r>
      <w:r>
        <w:t xml:space="preserve"> </w:t>
      </w:r>
      <w:r>
        <w:rPr>
          <w:i/>
          <w:iCs/>
        </w:rPr>
        <w:t xml:space="preserve">See, e.g., Ex parte Adams</w:t>
      </w:r>
      <w:r>
        <w:t xml:space="preserve">, 168 So.3d 40 (Ala. 2014) (failure to rule no motion to compel and for sanctions within two weeks of motion’s filing was not a constructive refusal to act). But a decision to wait to seek a petition until after the “presumptively reasonable time” period running from entry of the Order has passed could, conceivably, if not actually, jeopardize the Board’s ability to obtain redress via mandamus.</w:t>
      </w:r>
    </w:p>
  </w:footnote>
  <w:footnote w:id="13">
    <w:p>
      <w:pPr>
        <w:pStyle w:val="FootnoteText"/>
      </w:pPr>
      <w:r>
        <w:rPr>
          <w:rStyle w:val="FootnoteReference"/>
        </w:rPr>
        <w:footnoteRef/>
      </w:r>
      <w:r>
        <w:t xml:space="preserve"> </w:t>
      </w:r>
      <w:r>
        <w:t xml:space="preserve">True to form, this Court has reaffirmed</w:t>
      </w:r>
      <w:r>
        <w:t xml:space="preserve"> </w:t>
      </w:r>
      <w:r>
        <w:rPr>
          <w:i/>
          <w:iCs/>
        </w:rPr>
        <w:t xml:space="preserve">Hale</w:t>
      </w:r>
      <w:r>
        <w:t xml:space="preserve"> </w:t>
      </w:r>
      <w:r>
        <w:t xml:space="preserve">no fewer than six times in 11 years — most recently in a unanimous decision in March 2019.</w:t>
      </w:r>
      <w:r>
        <w:t xml:space="preserve"> </w:t>
      </w:r>
      <w:r>
        <w:rPr>
          <w:i/>
          <w:iCs/>
        </w:rPr>
        <w:t xml:space="preserve">See Wilcox</w:t>
      </w:r>
      <w:r>
        <w:t xml:space="preserve">, 285 So.3d</w:t>
      </w:r>
      <w:r>
        <w:t xml:space="preserve"> </w:t>
      </w:r>
      <w:r>
        <w:t xml:space="preserve">at 775 (“County boards of education are State agencies for purposes of State immunity.”);</w:t>
      </w:r>
      <w:r>
        <w:t xml:space="preserve"> </w:t>
      </w:r>
      <w:r>
        <w:rPr>
          <w:i/>
          <w:iCs/>
        </w:rPr>
        <w:t xml:space="preserve">see also, e.g., Jackson</w:t>
      </w:r>
      <w:r>
        <w:t xml:space="preserve">, 164 So.3d at 534-⁠35;</w:t>
      </w:r>
      <w:r>
        <w:t xml:space="preserve"> </w:t>
      </w:r>
      <w:r>
        <w:rPr>
          <w:i/>
          <w:iCs/>
        </w:rPr>
        <w:t xml:space="preserve">Phenix City</w:t>
      </w:r>
      <w:r>
        <w:t xml:space="preserve">, 109 So.3d 631;</w:t>
      </w:r>
      <w:r>
        <w:t xml:space="preserve"> </w:t>
      </w:r>
      <w:r>
        <w:rPr>
          <w:i/>
          <w:iCs/>
        </w:rPr>
        <w:t xml:space="preserve">Bd. of Sch. Comm’rs of Mobile Cnty. v. Weaver</w:t>
      </w:r>
      <w:r>
        <w:t xml:space="preserve">, 99 So.3d 1210, 1217 (Ala. 2012);</w:t>
      </w:r>
      <w:r>
        <w:t xml:space="preserve"> </w:t>
      </w:r>
      <w:r>
        <w:rPr>
          <w:i/>
          <w:iCs/>
        </w:rPr>
        <w:t xml:space="preserve">Ex parte Montgomery Cnty. Bd. of Edu.</w:t>
      </w:r>
      <w:r>
        <w:t xml:space="preserve">, 88 So.3d 837,</w:t>
      </w:r>
      <w:r>
        <w:t xml:space="preserve"> </w:t>
      </w:r>
      <w:r>
        <w:t xml:space="preserve">842 (Ala. 2012);</w:t>
      </w:r>
      <w:r>
        <w:t xml:space="preserve"> </w:t>
      </w:r>
      <w:r>
        <w:rPr>
          <w:i/>
          <w:iCs/>
        </w:rPr>
        <w:t xml:space="preserve">Colbert</w:t>
      </w:r>
      <w:r>
        <w:rPr>
          <w:i/>
          <w:iCs/>
        </w:rPr>
        <w:t xml:space="preserve"> </w:t>
      </w:r>
      <w:r>
        <w:rPr>
          <w:i/>
          <w:iCs/>
        </w:rPr>
        <w:t xml:space="preserve">Cnty. Bd. of Edu. v. James</w:t>
      </w:r>
      <w:r>
        <w:t xml:space="preserve">, 83 So.3d 473, 479 (Ala. 2011);</w:t>
      </w:r>
      <w:r>
        <w:t xml:space="preserve"> </w:t>
      </w:r>
      <w:r>
        <w:rPr>
          <w:i/>
          <w:iCs/>
        </w:rPr>
        <w:t xml:space="preserve">Ex parte Monroe Cnty. Bd. of Edu.</w:t>
      </w:r>
      <w:r>
        <w:t xml:space="preserve">, 48 So.3d 621,</w:t>
      </w:r>
      <w:r>
        <w:t xml:space="preserve"> </w:t>
      </w:r>
      <w:r>
        <w:t xml:space="preserve">625 (Ala. 2010);</w:t>
      </w:r>
      <w:r>
        <w:t xml:space="preserve"> </w:t>
      </w:r>
      <w:r>
        <w:rPr>
          <w:i/>
          <w:iCs/>
        </w:rPr>
        <w:t xml:space="preserve">accord Ex parte Wilcox Cnty. Bd. of Edu.</w:t>
      </w:r>
      <w:r>
        <w:t xml:space="preserve">, 279 So.3d</w:t>
      </w:r>
      <w:r>
        <w:t xml:space="preserve"> </w:t>
      </w:r>
      <w:r>
        <w:t xml:space="preserve">1135, 1141-⁠42 (Ala. 2018) (“Therefore, the Board is absolutely immune from suit, as it is considered an agency of the State.”).</w:t>
      </w:r>
    </w:p>
  </w:footnote>
  <w:footnote w:id="14">
    <w:p>
      <w:pPr>
        <w:pStyle w:val="FootnoteText"/>
      </w:pPr>
      <w:r>
        <w:rPr>
          <w:rStyle w:val="FootnoteReference"/>
        </w:rPr>
        <w:footnoteRef/>
      </w:r>
      <w:r>
        <w:t xml:space="preserve"> </w:t>
      </w:r>
      <w:r>
        <w:t xml:space="preserve">In its complaint, Alabama Lockers also labels the Bid Law claims as claims for “unfair advantage [ ]” or “unfair business practices.” (</w:t>
      </w:r>
      <w:r>
        <w:rPr>
          <w:i/>
          <w:iCs/>
        </w:rPr>
        <w:t xml:space="preserve">See</w:t>
      </w:r>
      <w:r>
        <w:t xml:space="preserve"> </w:t>
      </w:r>
      <w:r>
        <w:t xml:space="preserve">App. A, p. 10, ¶85 and p. 10, ¶c.). But those added labels do not matter, because they do not change the immunity analysis. Additionally, it merits mention that an unsuccessful bidder, like Alabama Lockers, cannot recover money damages even if a Bid Law violation is proven. Rather, an unsuccessful bidder’s remedy is limited. Ala. Code §16-⁠13B-⁠11</w:t>
      </w:r>
      <w:r>
        <w:t xml:space="preserve"> </w:t>
      </w:r>
      <w:r>
        <w:t xml:space="preserve">(“Any bona fide unsuccessful bidder on a particular contract shall be empowered to bring a civil action . . . to enjoin execution of any contract entered into in violation of this chapter.”);</w:t>
      </w:r>
      <w:r>
        <w:t xml:space="preserve"> </w:t>
      </w:r>
      <w:r>
        <w:rPr>
          <w:i/>
          <w:iCs/>
        </w:rPr>
        <w:t xml:space="preserve">see, e.g., Crest Const.</w:t>
      </w:r>
      <w:r>
        <w:rPr>
          <w:i/>
          <w:iCs/>
        </w:rPr>
        <w:t xml:space="preserve"> </w:t>
      </w:r>
      <w:r>
        <w:rPr>
          <w:i/>
          <w:iCs/>
        </w:rPr>
        <w:t xml:space="preserve">Corp. v. Shelby Cnty. Bd. of Edu.</w:t>
      </w:r>
      <w:r>
        <w:t xml:space="preserve">, 612 So.2d 425, 428-⁠432 (Ala. 1992) (confirming not only that the county school board did not violate competitive bid law, but also that trial court correctly dismissed the contractor’s damage claim);</w:t>
      </w:r>
      <w:r>
        <w:t xml:space="preserve"> </w:t>
      </w:r>
      <w:r>
        <w:rPr>
          <w:i/>
          <w:iCs/>
        </w:rPr>
        <w:t xml:space="preserve">see also, e.g., accord Vinson Guard</w:t>
      </w:r>
      <w:r>
        <w:rPr>
          <w:i/>
          <w:iCs/>
        </w:rPr>
        <w:t xml:space="preserve"> </w:t>
      </w:r>
      <w:r>
        <w:rPr>
          <w:i/>
          <w:iCs/>
        </w:rPr>
        <w:t xml:space="preserve">Service, Inc. v. Retirement Sys. of Ala.</w:t>
      </w:r>
      <w:r>
        <w:t xml:space="preserve">, 836 So.2d 807 (Ala. 2002) (“The remedy provided by the Competitive Bid Law is a limited one.”);</w:t>
      </w:r>
      <w:r>
        <w:t xml:space="preserve"> </w:t>
      </w:r>
      <w:r>
        <w:rPr>
          <w:i/>
          <w:iCs/>
        </w:rPr>
        <w:t xml:space="preserve">Jenkins, Weber</w:t>
      </w:r>
      <w:r>
        <w:rPr>
          <w:i/>
          <w:iCs/>
        </w:rPr>
        <w:t xml:space="preserve"> </w:t>
      </w:r>
      <w:r>
        <w:rPr>
          <w:i/>
          <w:iCs/>
        </w:rPr>
        <w:t xml:space="preserve">and Associates v. Hewitt</w:t>
      </w:r>
      <w:r>
        <w:t xml:space="preserve">, 565 So.2d 616, 618 (Ala. 1990) (affirming trial court’s grant of summary judgment because competitive bid law did not afford money damages). This was one of several arguments that the Board raised in its alternative argument for dismissal under Rule 12(b)⁠(6).</w:t>
      </w:r>
      <w:r>
        <w:t xml:space="preserve"> </w:t>
      </w:r>
      <w:r>
        <w:t xml:space="preserve">(</w:t>
      </w:r>
      <w:r>
        <w:rPr>
          <w:i/>
          <w:iCs/>
        </w:rPr>
        <w:t xml:space="preserve">See</w:t>
      </w:r>
      <w:r>
        <w:t xml:space="preserve"> </w:t>
      </w:r>
      <w:r>
        <w:t xml:space="preserve">App. B, pp. 8-⁠10.)</w:t>
      </w:r>
    </w:p>
  </w:footnote>
  <w:footnote w:id="15">
    <w:p>
      <w:pPr>
        <w:pStyle w:val="FootnoteText"/>
      </w:pPr>
      <w:r>
        <w:rPr>
          <w:rStyle w:val="FootnoteReference"/>
        </w:rPr>
        <w:footnoteRef/>
      </w:r>
      <w:r>
        <w:t xml:space="preserve"> </w:t>
      </w:r>
      <w:r>
        <w:t xml:space="preserve">Exceptions exist.</w:t>
      </w:r>
      <w:r>
        <w:t xml:space="preserve"> </w:t>
      </w:r>
      <w:r>
        <w:rPr>
          <w:i/>
          <w:iCs/>
        </w:rPr>
        <w:t xml:space="preserve">Jackson</w:t>
      </w:r>
      <w:r>
        <w:t xml:space="preserve">, 164 So.3d at 535-⁠36 (exceptions “adequately address . . . concerns that, with regard to the enforcement of contractual obligations, granting a county board of education sovereign immunity is unjust”). But even if one of the narrow exceptions was properly pursued, it still would not enable an unsuccessful bidder to recoup money damages where such damages are not available at law.</w:t>
      </w:r>
      <w:r>
        <w:t xml:space="preserve"> </w:t>
      </w:r>
      <w:r>
        <w:rPr>
          <w:i/>
          <w:iCs/>
        </w:rPr>
        <w:t xml:space="preserve">See</w:t>
      </w:r>
      <w:r>
        <w:t xml:space="preserve"> </w:t>
      </w:r>
      <w:r>
        <w:t xml:space="preserve">fn. 8,</w:t>
      </w:r>
      <w:r>
        <w:t xml:space="preserve"> </w:t>
      </w:r>
      <w:r>
        <w:rPr>
          <w:i/>
          <w:iCs/>
        </w:rPr>
        <w:t xml:space="preserve">supra</w:t>
      </w:r>
      <w:r>
        <w:t xml:space="preserv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72"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72"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28" w:after="168"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68" w:after="168" w:line="336" w:lineRule="exact"/>
      <w:ind w:left="720" w:right="720" w:firstLine="0"/>
      <w:jc w:val="both"/>
    </w:pPr>
  </w:style>
  <w:style w:type="paragraph" w:customStyle="1" w:styleId="XdQuoteFirst">
    <w:name w:val="Xd Quote First"/>
    <w:basedOn w:val="Normal"/>
    <w:qFormat/>
    <w:pPr>
      <w:spacing w:before="224" w:after="168" w:line="336" w:lineRule="exact"/>
      <w:ind w:left="720" w:right="720" w:firstLine="0"/>
      <w:jc w:val="both"/>
    </w:pPr>
  </w:style>
  <w:style w:type="paragraph" w:customStyle="1" w:styleId="XdQuoteLast">
    <w:name w:val="Xd Quote Last"/>
    <w:basedOn w:val="Normal"/>
    <w:qFormat/>
    <w:pPr>
      <w:spacing w:before="168"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XdList1">
    <w:name w:val="XdList 1"/>
    <w:basedOn w:val="Normal"/>
    <w:qFormat/>
    <w:pPr>
      <w:spacing w:before="0" w:after="0" w:line="672" w:lineRule="exact"/>
      <w:ind w:left="720" w:hanging="720"/>
      <w:jc w:val="both"/>
    </w:pPr>
  </w:style>
  <w:style w:type="paragraph" w:customStyle="1" w:styleId="XdList2">
    <w:name w:val="XdList 2"/>
    <w:basedOn w:val="Normal"/>
    <w:qFormat/>
    <w:pPr>
      <w:spacing w:before="0" w:after="0" w:line="672" w:lineRule="exact"/>
      <w:ind w:left="1440" w:hanging="720"/>
      <w:jc w:val="both"/>
    </w:pPr>
  </w:style>
  <w:style w:type="paragraph" w:customStyle="1" w:styleId="XdList3">
    <w:name w:val="XdList 3"/>
    <w:basedOn w:val="Normal"/>
    <w:qFormat/>
    <w:pPr>
      <w:spacing w:before="0" w:after="0" w:line="672"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