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1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p>
    <w:p>
      <w:pPr>
        <w:spacing w:before="0" w:after="0" w:line="312"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GEORGIA</w:t>
      </w:r>
    </w:p>
    <w:p>
      <w:pPr>
        <w:spacing w:before="0" w:after="0" w:line="6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12" w:lineRule="exact"/>
              <w:ind w:left="0" w:firstLine="0"/>
              <w:jc w:val="left"/>
            </w:pPr>
            <w:r>
              <w:t xml:space="preserve">CHARLES</w:t>
            </w:r>
            <w:r>
              <w:t xml:space="preserve"> </w:t>
            </w:r>
            <w:r>
              <w:t xml:space="preserve">CLARK</w:t>
            </w:r>
            <w:r>
              <w:t xml:space="preserve"> </w:t>
            </w:r>
            <w:r>
              <w:t xml:space="preserve">et</w:t>
            </w:r>
            <w:r>
              <w:t xml:space="preserve"> </w:t>
            </w:r>
            <w:r>
              <w:t xml:space="preserve">al.,</w:t>
            </w:r>
          </w:p>
          <w:p>
            <w:pPr>
              <w:spacing w:before="0" w:after="0" w:line="312" w:lineRule="exact"/>
              <w:ind w:left="720" w:firstLine="0"/>
              <w:jc w:val="left"/>
            </w:pPr>
            <w:r>
              <w:t xml:space="preserve">Appellants,</w:t>
            </w:r>
          </w:p>
          <w:p>
            <w:pPr>
              <w:spacing w:before="312" w:after="312" w:line="312" w:lineRule="exact"/>
              <w:ind w:left="720" w:firstLine="0"/>
              <w:jc w:val="left"/>
            </w:pPr>
            <w:r>
              <w:t xml:space="preserve">v.</w:t>
            </w:r>
          </w:p>
          <w:p>
            <w:pPr>
              <w:spacing w:before="0" w:after="0" w:line="312" w:lineRule="exact"/>
              <w:ind w:left="0" w:firstLine="0"/>
              <w:jc w:val="left"/>
            </w:pPr>
            <w:r>
              <w:t xml:space="preserve">THOMAS</w:t>
            </w:r>
            <w:r>
              <w:t xml:space="preserve"> </w:t>
            </w:r>
            <w:r>
              <w:t xml:space="preserve">B.</w:t>
            </w:r>
            <w:r>
              <w:t xml:space="preserve"> </w:t>
            </w:r>
            <w:r>
              <w:t xml:space="preserve">LEIGH,</w:t>
            </w:r>
            <w:r>
              <w:t xml:space="preserve"> </w:t>
            </w:r>
            <w:r>
              <w:t xml:space="preserve">M.D.</w:t>
            </w:r>
            <w:r>
              <w:t xml:space="preserve"> </w:t>
            </w:r>
            <w:r>
              <w:t xml:space="preserve">et</w:t>
            </w:r>
            <w:r>
              <w:t xml:space="preserve"> </w:t>
            </w:r>
            <w:r>
              <w:t xml:space="preserve">al.</w:t>
            </w:r>
          </w:p>
          <w:p>
            <w:pPr>
              <w:spacing w:before="0" w:after="0" w:line="312" w:lineRule="exact"/>
              <w:ind w:left="720" w:firstLine="0"/>
              <w:jc w:val="left"/>
            </w:pPr>
            <w:r>
              <w:t xml:space="preserve">Appellees.</w:t>
            </w:r>
          </w:p>
        </w:tc>
        <w:tc>
          <w:tcPr>
            <w:tcW w:w="4968" w:type="dxa"/>
            <w:tcMar>
              <w:left w:w="576" w:type="dxa"/>
            </w:tcMar>
          </w:tcPr>
          <w:p>
            <w:pPr>
              <w:spacing w:before="0" w:after="0" w:line="312" w:lineRule="exact"/>
              <w:ind w:left="0" w:firstLine="0"/>
              <w:jc w:val="left"/>
            </w:pPr>
            <w:r>
              <w:t xml:space="preserve">Case</w:t>
            </w:r>
            <w:r>
              <w:t xml:space="preserve"> </w:t>
            </w:r>
            <w:r>
              <w:t xml:space="preserve">No.</w:t>
            </w:r>
            <w:r>
              <w:t xml:space="preserve"> </w:t>
            </w:r>
            <w:r>
              <w:t xml:space="preserve">S26A0349</w:t>
            </w:r>
          </w:p>
          <w:p>
            <w:pPr>
              <w:spacing w:before="312" w:after="0" w:line="312" w:lineRule="exact"/>
              <w:ind w:left="0" w:firstLine="0"/>
              <w:jc w:val="left"/>
            </w:pPr>
            <w:r>
              <w:t xml:space="preserve">Lower</w:t>
            </w:r>
            <w:r>
              <w:t xml:space="preserve"> </w:t>
            </w:r>
            <w:r>
              <w:t xml:space="preserve">Court</w:t>
            </w:r>
            <w:r>
              <w:t xml:space="preserve"> </w:t>
            </w:r>
            <w:r>
              <w:t xml:space="preserve">Case</w:t>
            </w:r>
            <w:r>
              <w:t xml:space="preserve"> </w:t>
            </w:r>
            <w:r>
              <w:t xml:space="preserve">No.</w:t>
            </w:r>
            <w:r>
              <w:t xml:space="preserve"> </w:t>
            </w:r>
            <w:r>
              <w:t xml:space="preserve">20SCCV091967</w:t>
            </w:r>
            <w:r>
              <w:t xml:space="preserve"> </w:t>
            </w:r>
            <w:r>
              <w:t xml:space="preserve">(Bibb</w:t>
            </w:r>
            <w:r>
              <w:t xml:space="preserve"> </w:t>
            </w:r>
            <w:r>
              <w:t xml:space="preserve">State</w:t>
            </w:r>
            <w:r>
              <w:t xml:space="preserve"> </w:t>
            </w:r>
            <w:r>
              <w:t xml:space="preserve">Court)</w:t>
            </w:r>
          </w:p>
        </w:tc>
      </w:tr>
    </w:tbl>
    <w:p>
      <w:pPr>
        <w:spacing w:before="624" w:after="0" w:line="312"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APPELLANTS</w:t>
      </w:r>
    </w:p>
    <w:p>
      <w:pPr>
        <w:spacing w:before="0" w:after="0" w:line="9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12" w:lineRule="exact"/>
              <w:ind w:left="0" w:firstLine="0"/>
              <w:jc w:val="left"/>
            </w:pPr>
            <w:r>
              <w:t xml:space="preserve">Darren</w:t>
            </w:r>
            <w:r>
              <w:t xml:space="preserve"> </w:t>
            </w:r>
            <w:r>
              <w:t xml:space="preserve">Summerville</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691978</w:t>
            </w:r>
          </w:p>
          <w:p>
            <w:pPr>
              <w:spacing w:before="0" w:after="0" w:line="312" w:lineRule="exact"/>
              <w:ind w:left="0" w:firstLine="0"/>
              <w:jc w:val="left"/>
            </w:pPr>
            <w:r>
              <w:t xml:space="preserve">Elizabeth</w:t>
            </w:r>
            <w:r>
              <w:t xml:space="preserve"> </w:t>
            </w:r>
            <w:r>
              <w:t xml:space="preserve">Stone</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684098</w:t>
            </w:r>
          </w:p>
          <w:p>
            <w:pPr>
              <w:spacing w:before="0" w:after="0" w:line="312" w:lineRule="exact"/>
              <w:ind w:left="0" w:firstLine="0"/>
              <w:jc w:val="left"/>
            </w:pPr>
            <w:r>
              <w:rPr>
                <w:i/>
                <w:iCs/>
              </w:rPr>
              <w:t xml:space="preserve">THE</w:t>
            </w:r>
            <w:r>
              <w:rPr>
                <w:i/>
                <w:iCs/>
              </w:rPr>
              <w:t xml:space="preserve"> </w:t>
            </w:r>
            <w:r>
              <w:rPr>
                <w:i/>
                <w:iCs/>
              </w:rPr>
              <w:t xml:space="preserve">SUMMERVILLE</w:t>
            </w:r>
            <w:r>
              <w:rPr>
                <w:i/>
                <w:iCs/>
              </w:rPr>
              <w:t xml:space="preserve"> </w:t>
            </w:r>
            <w:r>
              <w:rPr>
                <w:i/>
                <w:iCs/>
              </w:rPr>
              <w:t xml:space="preserve">FIRM</w:t>
            </w:r>
          </w:p>
          <w:p>
            <w:pPr>
              <w:spacing w:before="0" w:after="0" w:line="312" w:lineRule="exact"/>
              <w:ind w:left="0" w:firstLine="0"/>
              <w:jc w:val="left"/>
            </w:pPr>
            <w:r>
              <w:rPr>
                <w:i/>
                <w:iCs/>
              </w:rPr>
              <w:t xml:space="preserve">1226</w:t>
            </w:r>
            <w:r>
              <w:rPr>
                <w:i/>
                <w:iCs/>
              </w:rPr>
              <w:t xml:space="preserve"> </w:t>
            </w:r>
            <w:r>
              <w:rPr>
                <w:i/>
                <w:iCs/>
              </w:rPr>
              <w:t xml:space="preserve">Ponce</w:t>
            </w:r>
            <w:r>
              <w:rPr>
                <w:i/>
                <w:iCs/>
              </w:rPr>
              <w:t xml:space="preserve"> </w:t>
            </w:r>
            <w:r>
              <w:rPr>
                <w:i/>
                <w:iCs/>
              </w:rPr>
              <w:t xml:space="preserve">de</w:t>
            </w:r>
            <w:r>
              <w:rPr>
                <w:i/>
                <w:iCs/>
              </w:rPr>
              <w:t xml:space="preserve"> </w:t>
            </w:r>
            <w:r>
              <w:rPr>
                <w:i/>
                <w:iCs/>
              </w:rPr>
              <w:t xml:space="preserve">Leon</w:t>
            </w:r>
            <w:r>
              <w:rPr>
                <w:i/>
                <w:iCs/>
              </w:rPr>
              <w:t xml:space="preserve"> </w:t>
            </w:r>
            <w:r>
              <w:rPr>
                <w:i/>
                <w:iCs/>
              </w:rPr>
              <w:t xml:space="preserve">Avenue</w:t>
            </w:r>
            <w:r>
              <w:rPr>
                <w:i/>
                <w:iCs/>
              </w:rPr>
              <w:t xml:space="preserve"> </w:t>
            </w:r>
            <w:r>
              <w:rPr>
                <w:i/>
                <w:iCs/>
              </w:rPr>
              <w:t xml:space="preserve">NE</w:t>
            </w:r>
          </w:p>
          <w:p>
            <w:pPr>
              <w:spacing w:before="0" w:after="0" w:line="312" w:lineRule="exact"/>
              <w:ind w:left="0" w:firstLine="0"/>
              <w:jc w:val="left"/>
            </w:pPr>
            <w:r>
              <w:rPr>
                <w:i/>
                <w:iCs/>
              </w:rPr>
              <w:t xml:space="preserve">Atlanta,</w:t>
            </w:r>
            <w:r>
              <w:rPr>
                <w:i/>
                <w:iCs/>
              </w:rPr>
              <w:t xml:space="preserve"> </w:t>
            </w:r>
            <w:r>
              <w:rPr>
                <w:i/>
                <w:iCs/>
              </w:rPr>
              <w:t xml:space="preserve">Georgia</w:t>
            </w:r>
            <w:r>
              <w:rPr>
                <w:i/>
                <w:iCs/>
              </w:rPr>
              <w:t xml:space="preserve"> </w:t>
            </w:r>
            <w:r>
              <w:rPr>
                <w:i/>
                <w:iCs/>
              </w:rPr>
              <w:t xml:space="preserve">30306</w:t>
            </w:r>
          </w:p>
          <w:p>
            <w:pPr>
              <w:spacing w:before="0" w:after="0" w:line="312" w:lineRule="exact"/>
              <w:ind w:left="0" w:firstLine="0"/>
              <w:jc w:val="left"/>
            </w:pPr>
            <w:r>
              <w:rPr>
                <w:i/>
                <w:iCs/>
              </w:rPr>
              <w:t xml:space="preserve">T:</w:t>
            </w:r>
            <w:r>
              <w:rPr>
                <w:i/>
                <w:iCs/>
              </w:rPr>
              <w:t xml:space="preserve"> </w:t>
            </w:r>
            <w:r>
              <w:rPr>
                <w:i/>
                <w:iCs/>
              </w:rPr>
              <w:t xml:space="preserve">(770)</w:t>
            </w:r>
            <w:r>
              <w:rPr>
                <w:i/>
                <w:iCs/>
              </w:rPr>
              <w:t xml:space="preserve"> </w:t>
            </w:r>
            <w:r>
              <w:rPr>
                <w:i/>
                <w:iCs/>
              </w:rPr>
              <w:t xml:space="preserve">635-⁠0030</w:t>
            </w:r>
          </w:p>
          <w:p>
            <w:pPr>
              <w:spacing w:before="0" w:after="0" w:line="312" w:lineRule="exact"/>
              <w:ind w:left="0" w:firstLine="0"/>
              <w:jc w:val="left"/>
            </w:pPr>
            <w:r>
              <w:rPr>
                <w:i/>
                <w:iCs/>
              </w:rPr>
              <w:t xml:space="preserve">darren@summervillefirm.com</w:t>
            </w:r>
          </w:p>
        </w:tc>
        <w:tc>
          <w:tcPr>
            <w:tcW w:w="4896" w:type="dxa"/>
            <w:tcMar>
              <w:left w:w="432" w:type="dxa"/>
            </w:tcMar>
          </w:tcPr>
          <w:p>
            <w:pPr>
              <w:spacing w:before="0" w:after="0" w:line="312" w:lineRule="exact"/>
              <w:ind w:left="0" w:firstLine="0"/>
              <w:jc w:val="left"/>
            </w:pPr>
            <w:r>
              <w:t xml:space="preserve">Laura</w:t>
            </w:r>
            <w:r>
              <w:t xml:space="preserve"> </w:t>
            </w:r>
            <w:r>
              <w:t xml:space="preserve">M.</w:t>
            </w:r>
            <w:r>
              <w:t xml:space="preserve"> </w:t>
            </w:r>
            <w:r>
              <w:t xml:space="preserve">Shamp</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637560</w:t>
            </w:r>
          </w:p>
          <w:p>
            <w:pPr>
              <w:spacing w:before="0" w:after="0" w:line="312" w:lineRule="exact"/>
              <w:ind w:left="0" w:firstLine="0"/>
              <w:jc w:val="left"/>
            </w:pPr>
            <w:r>
              <w:t xml:space="preserve">Joshua</w:t>
            </w:r>
            <w:r>
              <w:t xml:space="preserve"> </w:t>
            </w:r>
            <w:r>
              <w:t xml:space="preserve">F.</w:t>
            </w:r>
            <w:r>
              <w:t xml:space="preserve"> </w:t>
            </w:r>
            <w:r>
              <w:t xml:space="preserve">Silk</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903916</w:t>
            </w:r>
          </w:p>
          <w:p>
            <w:pPr>
              <w:spacing w:before="0" w:after="0" w:line="312" w:lineRule="exact"/>
              <w:ind w:left="0" w:firstLine="0"/>
              <w:jc w:val="left"/>
            </w:pPr>
            <w:r>
              <w:rPr>
                <w:i/>
                <w:iCs/>
              </w:rPr>
              <w:t xml:space="preserve">SHAMP</w:t>
            </w:r>
            <w:r>
              <w:rPr>
                <w:i/>
                <w:iCs/>
              </w:rPr>
              <w:t xml:space="preserve"> </w:t>
            </w:r>
            <w:r>
              <w:rPr>
                <w:i/>
                <w:iCs/>
              </w:rPr>
              <w:t xml:space="preserve">SILK</w:t>
            </w:r>
          </w:p>
          <w:p>
            <w:pPr>
              <w:spacing w:before="0" w:after="0" w:line="312" w:lineRule="exact"/>
              <w:ind w:left="0" w:firstLine="0"/>
              <w:jc w:val="left"/>
            </w:pPr>
            <w:r>
              <w:rPr>
                <w:i/>
                <w:iCs/>
              </w:rPr>
              <w:t xml:space="preserve">1718</w:t>
            </w:r>
            <w:r>
              <w:rPr>
                <w:i/>
                <w:iCs/>
              </w:rPr>
              <w:t xml:space="preserve"> </w:t>
            </w:r>
            <w:r>
              <w:rPr>
                <w:i/>
                <w:iCs/>
              </w:rPr>
              <w:t xml:space="preserve">Peachtree</w:t>
            </w:r>
            <w:r>
              <w:rPr>
                <w:i/>
                <w:iCs/>
              </w:rPr>
              <w:t xml:space="preserve"> </w:t>
            </w:r>
            <w:r>
              <w:rPr>
                <w:i/>
                <w:iCs/>
              </w:rPr>
              <w:t xml:space="preserve">Street,</w:t>
            </w:r>
            <w:r>
              <w:rPr>
                <w:i/>
                <w:iCs/>
              </w:rPr>
              <w:t xml:space="preserve"> </w:t>
            </w:r>
            <w:r>
              <w:rPr>
                <w:i/>
                <w:iCs/>
              </w:rPr>
              <w:t xml:space="preserve">Suite</w:t>
            </w:r>
            <w:r>
              <w:rPr>
                <w:i/>
                <w:iCs/>
              </w:rPr>
              <w:t xml:space="preserve"> </w:t>
            </w:r>
            <w:r>
              <w:rPr>
                <w:i/>
                <w:iCs/>
              </w:rPr>
              <w:t xml:space="preserve">900</w:t>
            </w:r>
          </w:p>
          <w:p>
            <w:pPr>
              <w:spacing w:before="0" w:after="0" w:line="312" w:lineRule="exact"/>
              <w:ind w:left="0" w:firstLine="0"/>
              <w:jc w:val="left"/>
            </w:pPr>
            <w:r>
              <w:rPr>
                <w:i/>
                <w:iCs/>
              </w:rPr>
              <w:t xml:space="preserve">Atlanta,</w:t>
            </w:r>
            <w:r>
              <w:rPr>
                <w:i/>
                <w:iCs/>
              </w:rPr>
              <w:t xml:space="preserve"> </w:t>
            </w:r>
            <w:r>
              <w:rPr>
                <w:i/>
                <w:iCs/>
              </w:rPr>
              <w:t xml:space="preserve">Georgia</w:t>
            </w:r>
            <w:r>
              <w:rPr>
                <w:i/>
                <w:iCs/>
              </w:rPr>
              <w:t xml:space="preserve"> </w:t>
            </w:r>
            <w:r>
              <w:rPr>
                <w:i/>
                <w:iCs/>
              </w:rPr>
              <w:t xml:space="preserve">30309</w:t>
            </w:r>
          </w:p>
          <w:p>
            <w:pPr>
              <w:spacing w:before="0" w:after="0" w:line="312" w:lineRule="exact"/>
              <w:ind w:left="0" w:firstLine="0"/>
              <w:jc w:val="left"/>
            </w:pPr>
            <w:r>
              <w:rPr>
                <w:i/>
                <w:iCs/>
              </w:rPr>
              <w:t xml:space="preserve">T:</w:t>
            </w:r>
            <w:r>
              <w:rPr>
                <w:i/>
                <w:iCs/>
              </w:rPr>
              <w:t xml:space="preserve"> </w:t>
            </w:r>
            <w:r>
              <w:rPr>
                <w:i/>
                <w:iCs/>
              </w:rPr>
              <w:t xml:space="preserve">(404)</w:t>
            </w:r>
            <w:r>
              <w:rPr>
                <w:i/>
                <w:iCs/>
              </w:rPr>
              <w:t xml:space="preserve"> </w:t>
            </w:r>
            <w:r>
              <w:rPr>
                <w:i/>
                <w:iCs/>
              </w:rPr>
              <w:t xml:space="preserve">893-⁠9400</w:t>
            </w:r>
          </w:p>
          <w:p>
            <w:pPr>
              <w:spacing w:before="0" w:after="0" w:line="312" w:lineRule="exact"/>
              <w:ind w:left="0" w:firstLine="0"/>
              <w:jc w:val="left"/>
            </w:pPr>
            <w:r>
              <w:rPr>
                <w:i/>
                <w:iCs/>
              </w:rPr>
              <w:t xml:space="preserve">shamp@shampsilk.com</w:t>
            </w:r>
          </w:p>
        </w:tc>
      </w:tr>
    </w:tbl>
    <w:p>
      <w:pPr>
        <w:spacing w:before="0" w:after="0" w:line="1" w:lineRule="exact"/>
        <w:sectPr>
          <w:footerReference w:type="default" r:id="rIdXdNone"/>
          <w:pgSz w:w="12240" w:h="15840"/>
          <w:pgMar w:top="1440" w:right="1440" w:bottom="1440" w:left="1440" w:header="720" w:footer="696" w:gutter="0"/>
          <w:pgNumType w:fmt="lowerRoman" w:start="1"/>
        </w:sectPr>
      </w:pPr>
    </w:p>
    <w:p>
      <w:pPr>
        <w:keepNext/>
        <w:keepLines/>
        <w:spacing w:before="0" w:after="312" w:line="31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312" w:after="0" w:line="312" w:lineRule="exact"/>
        <w:ind w:left="0" w:right="720" w:firstLine="0"/>
      </w:pPr>
      <w:r>
        <w:t xml:space="preserve">I.</w:t>
      </w:r>
      <w:r>
        <w:t xml:space="preserve"> </w:t>
      </w:r>
      <w:r>
        <w:t xml:space="preserve">INTRODUCTION</w:t>
      </w:r>
      <w:r>
        <w:t xml:space="preserve">   </w:t>
      </w:r>
      <w:r>
        <w:tab/>
      </w:r>
      <w:r>
        <w:t xml:space="preserve">1</w:t>
      </w:r>
    </w:p>
    <w:p>
      <w:pPr>
        <w:keepLines/>
        <w:tabs>
          <w:tab w:val="right" w:leader="dot" w:pos="9360"/>
        </w:tabs>
        <w:spacing w:before="312" w:after="0" w:line="312" w:lineRule="exact"/>
        <w:ind w:left="720" w:right="720" w:firstLine="0"/>
      </w:pPr>
      <w:r>
        <w:t xml:space="preserve">A.</w:t>
      </w:r>
      <w:r>
        <w:t xml:space="preserve"> </w:t>
      </w:r>
      <w:r>
        <w:t xml:space="preserve">Case</w:t>
      </w:r>
      <w:r>
        <w:t xml:space="preserve"> </w:t>
      </w:r>
      <w:r>
        <w:t xml:space="preserve">Summary</w:t>
      </w:r>
      <w:r>
        <w:t xml:space="preserve">   </w:t>
      </w:r>
      <w:r>
        <w:tab/>
      </w:r>
      <w:r>
        <w:t xml:space="preserve">1</w:t>
      </w:r>
    </w:p>
    <w:p>
      <w:pPr>
        <w:keepLines/>
        <w:tabs>
          <w:tab w:val="right" w:leader="dot" w:pos="9360"/>
        </w:tabs>
        <w:spacing w:before="312" w:after="0" w:line="312" w:lineRule="exact"/>
        <w:ind w:left="720" w:right="720" w:firstLine="0"/>
      </w:pPr>
      <w:r>
        <w:t xml:space="preserve">B.</w:t>
      </w:r>
      <w:r>
        <w:t xml:space="preserve"> </w:t>
      </w:r>
      <w:r>
        <w:t xml:space="preserve">Jurisdiction</w:t>
      </w:r>
      <w:r>
        <w:t xml:space="preserve">   </w:t>
      </w:r>
      <w:r>
        <w:tab/>
      </w:r>
      <w:r>
        <w:t xml:space="preserve">3</w:t>
      </w:r>
    </w:p>
    <w:p>
      <w:pPr>
        <w:keepLines/>
        <w:tabs>
          <w:tab w:val="right" w:leader="dot" w:pos="9360"/>
        </w:tabs>
        <w:spacing w:before="312" w:after="0" w:line="312" w:lineRule="exact"/>
        <w:ind w:left="720" w:right="720" w:firstLine="0"/>
      </w:pPr>
      <w:r>
        <w:t xml:space="preserve">C.</w:t>
      </w:r>
      <w:r>
        <w:t xml:space="preserve"> </w:t>
      </w:r>
      <w:r>
        <w:t xml:space="preserve">Enumeration</w:t>
      </w:r>
      <w:r>
        <w:t xml:space="preserve"> </w:t>
      </w:r>
      <w:r>
        <w:t xml:space="preserve">of</w:t>
      </w:r>
      <w:r>
        <w:t xml:space="preserve"> </w:t>
      </w:r>
      <w:r>
        <w:t xml:space="preserve">Errors</w:t>
      </w:r>
      <w:r>
        <w:t xml:space="preserve">   </w:t>
      </w:r>
      <w:r>
        <w:tab/>
      </w:r>
      <w:r>
        <w:t xml:space="preserve">4</w:t>
      </w:r>
    </w:p>
    <w:p>
      <w:pPr>
        <w:keepLines/>
        <w:tabs>
          <w:tab w:val="right" w:leader="dot" w:pos="9360"/>
        </w:tabs>
        <w:spacing w:before="312" w:after="0" w:line="312" w:lineRule="exact"/>
        <w:ind w:left="720" w:right="720" w:firstLine="0"/>
      </w:pPr>
      <w:r>
        <w:t xml:space="preserve">D.</w:t>
      </w:r>
      <w:r>
        <w:t xml:space="preserve"> </w:t>
      </w: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4</w:t>
      </w:r>
    </w:p>
    <w:p>
      <w:pPr>
        <w:keepLines/>
        <w:tabs>
          <w:tab w:val="right" w:leader="dot" w:pos="9360"/>
        </w:tabs>
        <w:spacing w:before="312" w:after="0" w:line="312" w:lineRule="exact"/>
        <w:ind w:left="720" w:right="720" w:firstLine="0"/>
      </w:pPr>
      <w:r>
        <w:t xml:space="preserve">E.</w:t>
      </w:r>
      <w:r>
        <w:t xml:space="preserve"> </w:t>
      </w:r>
      <w:r>
        <w:t xml:space="preserve">Summary</w:t>
      </w:r>
      <w:r>
        <w:t xml:space="preserve"> </w:t>
      </w:r>
      <w:r>
        <w:t xml:space="preserve">of</w:t>
      </w:r>
      <w:r>
        <w:t xml:space="preserve"> </w:t>
      </w:r>
      <w:r>
        <w:t xml:space="preserve">Argument</w:t>
      </w:r>
      <w:r>
        <w:t xml:space="preserve">   </w:t>
      </w:r>
      <w:r>
        <w:tab/>
      </w:r>
      <w:r>
        <w:t xml:space="preserve">7</w:t>
      </w:r>
    </w:p>
    <w:p>
      <w:pPr>
        <w:keepLines/>
        <w:tabs>
          <w:tab w:val="right" w:leader="dot" w:pos="9360"/>
        </w:tabs>
        <w:spacing w:before="312" w:after="0" w:line="312" w:lineRule="exact"/>
        <w:ind w:left="0" w:right="720" w:firstLine="0"/>
      </w:pPr>
      <w:r>
        <w:t xml:space="preserve">II.</w:t>
      </w:r>
      <w:r>
        <w:t xml:space="preserve"> </w:t>
      </w:r>
      <w:r>
        <w:t xml:space="preserve">ARGUMENT</w:t>
      </w:r>
      <w:r>
        <w:t xml:space="preserve"> </w:t>
      </w:r>
      <w:r>
        <w:t xml:space="preserve">AND</w:t>
      </w:r>
      <w:r>
        <w:t xml:space="preserve"> </w:t>
      </w:r>
      <w:r>
        <w:t xml:space="preserve">CITATION</w:t>
      </w:r>
      <w:r>
        <w:t xml:space="preserve"> </w:t>
      </w:r>
      <w:r>
        <w:t xml:space="preserve">TO</w:t>
      </w:r>
      <w:r>
        <w:t xml:space="preserve"> </w:t>
      </w:r>
      <w:r>
        <w:t xml:space="preserve">AUTHORITIES</w:t>
      </w:r>
      <w:r>
        <w:t xml:space="preserve">   </w:t>
      </w:r>
      <w:r>
        <w:tab/>
      </w:r>
      <w:r>
        <w:t xml:space="preserve">9</w:t>
      </w:r>
    </w:p>
    <w:p>
      <w:pPr>
        <w:keepLines/>
        <w:tabs>
          <w:tab w:val="right" w:leader="dot" w:pos="9360"/>
        </w:tabs>
        <w:spacing w:before="312" w:after="0" w:line="312" w:lineRule="exact"/>
        <w:ind w:left="720" w:right="720" w:firstLine="0"/>
      </w:pPr>
      <w:r>
        <w:t xml:space="preserve">A.</w:t>
      </w:r>
      <w:r>
        <w:t xml:space="preserve"> </w:t>
      </w:r>
      <w:r>
        <w:t xml:space="preserve">Georgia’s</w:t>
      </w:r>
      <w:r>
        <w:t xml:space="preserve"> </w:t>
      </w:r>
      <w:r>
        <w:t xml:space="preserve">noneconomic</w:t>
      </w:r>
      <w:r>
        <w:t xml:space="preserve"> </w:t>
      </w:r>
      <w:r>
        <w:t xml:space="preserve">damages</w:t>
      </w:r>
      <w:r>
        <w:t xml:space="preserve"> </w:t>
      </w:r>
      <w:r>
        <w:t xml:space="preserve">“cap”</w:t>
      </w:r>
      <w:r>
        <w:t xml:space="preserve"> </w:t>
      </w:r>
      <w:r>
        <w:t xml:space="preserve">–</w:t>
      </w:r>
      <w:r>
        <w:t xml:space="preserve"> </w:t>
      </w:r>
      <w:r>
        <w:t xml:space="preserve">generally,</w:t>
      </w:r>
      <w:r>
        <w:t xml:space="preserve"> </w:t>
      </w:r>
      <w:r>
        <w:t xml:space="preserve">and</w:t>
      </w:r>
      <w:r>
        <w:t xml:space="preserve"> </w:t>
      </w:r>
      <w:r>
        <w:t xml:space="preserve">in</w:t>
      </w:r>
      <w:r>
        <w:t xml:space="preserve"> </w:t>
      </w:r>
      <w:r>
        <w:t xml:space="preserve">light</w:t>
      </w:r>
      <w:r>
        <w:t xml:space="preserve"> </w:t>
      </w:r>
      <w:r>
        <w:t xml:space="preserve">of</w:t>
      </w:r>
      <w:r>
        <w:t xml:space="preserve"> </w:t>
      </w:r>
      <w:r>
        <w:t xml:space="preserve">Nestlehutt</w:t>
      </w:r>
      <w:r>
        <w:t xml:space="preserve">   </w:t>
      </w:r>
      <w:r>
        <w:tab/>
      </w:r>
      <w:r>
        <w:t xml:space="preserve">9</w:t>
      </w:r>
    </w:p>
    <w:p>
      <w:pPr>
        <w:keepLines/>
        <w:tabs>
          <w:tab w:val="right" w:leader="dot" w:pos="9360"/>
        </w:tabs>
        <w:spacing w:before="312" w:after="0" w:line="312" w:lineRule="exact"/>
        <w:ind w:left="0" w:right="720" w:firstLine="0"/>
      </w:pPr>
      <w:r>
        <w:t xml:space="preserve">CONCLUSION</w:t>
      </w:r>
      <w:r>
        <w:t xml:space="preserve">   </w:t>
      </w:r>
      <w:r>
        <w:tab/>
      </w:r>
      <w:r>
        <w:t xml:space="preserve">11</w:t>
      </w:r>
    </w:p>
    <w:p>
      <w:pPr>
        <w:pageBreakBefore/>
        <w:spacing w:before="0" w:after="0" w:line="1" w:lineRule="exact"/>
      </w:pPr>
    </w:p>
    <w:p>
      <w:pPr>
        <w:keepNext/>
        <w:keepLines/>
        <w:spacing w:before="0" w:after="312" w:line="31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12" w:after="156" w:line="312" w:lineRule="exact"/>
        <w:ind w:left="0" w:firstLine="0"/>
        <w:jc w:val="left"/>
      </w:pPr>
      <w:r>
        <w:rPr>
          <w:b/>
          <w:bCs/>
        </w:rPr>
        <w:t xml:space="preserve">CASES</w:t>
      </w:r>
    </w:p>
    <w:p>
      <w:pPr>
        <w:keepLines/>
        <w:tabs>
          <w:tab w:val="right" w:leader="dot" w:pos="9360"/>
        </w:tabs>
        <w:spacing w:before="156" w:after="0" w:line="312" w:lineRule="exact"/>
        <w:ind w:left="576" w:right="1440" w:hanging="576"/>
      </w:pPr>
      <w:r>
        <w:rPr>
          <w:i/>
          <w:iCs/>
        </w:rPr>
        <w:t xml:space="preserve">Atlanta</w:t>
      </w:r>
      <w:r>
        <w:rPr>
          <w:i/>
          <w:iCs/>
        </w:rPr>
        <w:t xml:space="preserve"> </w:t>
      </w:r>
      <w:r>
        <w:rPr>
          <w:i/>
          <w:iCs/>
        </w:rPr>
        <w:t xml:space="preserve">Oculoplastic</w:t>
      </w:r>
      <w:r>
        <w:rPr>
          <w:i/>
          <w:iCs/>
        </w:rPr>
        <w:t xml:space="preserve"> </w:t>
      </w:r>
      <w:r>
        <w:rPr>
          <w:i/>
          <w:iCs/>
        </w:rPr>
        <w:t xml:space="preserve">Surgery,</w:t>
      </w:r>
      <w:r>
        <w:rPr>
          <w:i/>
          <w:iCs/>
        </w:rPr>
        <w:t xml:space="preserve"> </w:t>
      </w:r>
      <w:r>
        <w:rPr>
          <w:i/>
          <w:iCs/>
        </w:rPr>
        <w:t xml:space="preserve">P.C.</w:t>
      </w:r>
      <w:r>
        <w:rPr>
          <w:i/>
          <w:iCs/>
        </w:rPr>
        <w:t xml:space="preserve"> </w:t>
      </w:r>
      <w:r>
        <w:rPr>
          <w:i/>
          <w:iCs/>
        </w:rPr>
        <w:t xml:space="preserve">v.</w:t>
      </w:r>
      <w:r>
        <w:rPr>
          <w:i/>
          <w:iCs/>
        </w:rPr>
        <w:t xml:space="preserve"> </w:t>
      </w:r>
      <w:r>
        <w:rPr>
          <w:i/>
          <w:iCs/>
        </w:rPr>
        <w:t xml:space="preserve">Nestlehutt</w:t>
      </w:r>
      <w:r>
        <w:t xml:space="preserve">,</w:t>
      </w:r>
      <w:r>
        <w:t xml:space="preserve"> </w:t>
      </w:r>
      <w:r>
        <w:t xml:space="preserve">286</w:t>
      </w:r>
      <w:r>
        <w:t xml:space="preserve"> </w:t>
      </w:r>
      <w:r>
        <w:t xml:space="preserve">Ga.</w:t>
      </w:r>
      <w:r>
        <w:t xml:space="preserve"> </w:t>
      </w:r>
      <w:r>
        <w:t xml:space="preserve">731</w:t>
      </w:r>
      <w:r>
        <w:t xml:space="preserve"> </w:t>
      </w:r>
      <w:r>
        <w:t xml:space="preserve">(2010)</w:t>
      </w:r>
      <w:r>
        <w:t xml:space="preserve">   </w:t>
      </w:r>
      <w:r>
        <w:tab/>
      </w:r>
      <w:r>
        <w:t xml:space="preserve">2, 3, 8, 9</w:t>
      </w:r>
    </w:p>
    <w:p>
      <w:pPr>
        <w:keepLines/>
        <w:tabs>
          <w:tab w:val="right" w:leader="dot" w:pos="9360"/>
        </w:tabs>
        <w:spacing w:before="156" w:after="0" w:line="312" w:lineRule="exact"/>
        <w:ind w:left="576" w:right="1440" w:hanging="576"/>
      </w:pPr>
      <w:r>
        <w:rPr>
          <w:i/>
          <w:iCs/>
        </w:rPr>
        <w:t xml:space="preserve">Bibbs</w:t>
      </w:r>
      <w:r>
        <w:rPr>
          <w:i/>
          <w:iCs/>
        </w:rPr>
        <w:t xml:space="preserve"> </w:t>
      </w:r>
      <w:r>
        <w:rPr>
          <w:i/>
          <w:iCs/>
        </w:rPr>
        <w:t xml:space="preserve">v.</w:t>
      </w:r>
      <w:r>
        <w:rPr>
          <w:i/>
          <w:iCs/>
        </w:rPr>
        <w:t xml:space="preserve"> </w:t>
      </w:r>
      <w:r>
        <w:rPr>
          <w:i/>
          <w:iCs/>
        </w:rPr>
        <w:t xml:space="preserve">Toyota</w:t>
      </w:r>
      <w:r>
        <w:rPr>
          <w:i/>
          <w:iCs/>
        </w:rPr>
        <w:t xml:space="preserve"> </w:t>
      </w:r>
      <w:r>
        <w:rPr>
          <w:i/>
          <w:iCs/>
        </w:rPr>
        <w:t xml:space="preserve">Motor</w:t>
      </w:r>
      <w:r>
        <w:rPr>
          <w:i/>
          <w:iCs/>
        </w:rPr>
        <w:t xml:space="preserve"> </w:t>
      </w:r>
      <w:r>
        <w:rPr>
          <w:i/>
          <w:iCs/>
        </w:rPr>
        <w:t xml:space="preserve">Corp.</w:t>
      </w:r>
      <w:r>
        <w:t xml:space="preserve">,</w:t>
      </w:r>
      <w:r>
        <w:t xml:space="preserve"> </w:t>
      </w:r>
      <w:r>
        <w:t xml:space="preserve">304</w:t>
      </w:r>
      <w:r>
        <w:t xml:space="preserve"> </w:t>
      </w:r>
      <w:r>
        <w:t xml:space="preserve">Ga.</w:t>
      </w:r>
      <w:r>
        <w:t xml:space="preserve"> </w:t>
      </w:r>
      <w:r>
        <w:t xml:space="preserve">68</w:t>
      </w:r>
      <w:r>
        <w:t xml:space="preserve"> </w:t>
      </w:r>
      <w:r>
        <w:t xml:space="preserve">(2018)</w:t>
      </w:r>
      <w:r>
        <w:t xml:space="preserve">   </w:t>
      </w:r>
      <w:r>
        <w:tab/>
      </w:r>
      <w:r>
        <w:t xml:space="preserve">10</w:t>
      </w:r>
    </w:p>
    <w:p>
      <w:pPr>
        <w:keepLines/>
        <w:tabs>
          <w:tab w:val="right" w:leader="dot" w:pos="9360"/>
        </w:tabs>
        <w:spacing w:before="156" w:after="0" w:line="312" w:lineRule="exact"/>
        <w:ind w:left="576" w:right="1440" w:hanging="576"/>
      </w:pPr>
      <w:r>
        <w:rPr>
          <w:i/>
          <w:iCs/>
        </w:rPr>
        <w:t xml:space="preserve">City</w:t>
      </w:r>
      <w:r>
        <w:rPr>
          <w:i/>
          <w:iCs/>
        </w:rPr>
        <w:t xml:space="preserve"> </w:t>
      </w:r>
      <w:r>
        <w:rPr>
          <w:i/>
          <w:iCs/>
        </w:rPr>
        <w:t xml:space="preserve">of</w:t>
      </w:r>
      <w:r>
        <w:rPr>
          <w:i/>
          <w:iCs/>
        </w:rPr>
        <w:t xml:space="preserve"> </w:t>
      </w:r>
      <w:r>
        <w:rPr>
          <w:i/>
          <w:iCs/>
        </w:rPr>
        <w:t xml:space="preserve">Atlanta</w:t>
      </w:r>
      <w:r>
        <w:rPr>
          <w:i/>
          <w:iCs/>
        </w:rPr>
        <w:t xml:space="preserve"> </w:t>
      </w:r>
      <w:r>
        <w:rPr>
          <w:i/>
          <w:iCs/>
        </w:rPr>
        <w:t xml:space="preserve">v.</w:t>
      </w:r>
      <w:r>
        <w:rPr>
          <w:i/>
          <w:iCs/>
        </w:rPr>
        <w:t xml:space="preserve"> </w:t>
      </w:r>
      <w:r>
        <w:rPr>
          <w:i/>
          <w:iCs/>
        </w:rPr>
        <w:t xml:space="preserve">Watson</w:t>
      </w:r>
      <w:r>
        <w:t xml:space="preserve">,</w:t>
      </w:r>
      <w:r>
        <w:t xml:space="preserve"> </w:t>
      </w:r>
      <w:r>
        <w:t xml:space="preserve">267</w:t>
      </w:r>
      <w:r>
        <w:t xml:space="preserve"> </w:t>
      </w:r>
      <w:r>
        <w:t xml:space="preserve">Ga.</w:t>
      </w:r>
      <w:r>
        <w:t xml:space="preserve"> </w:t>
      </w:r>
      <w:r>
        <w:t xml:space="preserve">185</w:t>
      </w:r>
      <w:r>
        <w:t xml:space="preserve"> </w:t>
      </w:r>
      <w:r>
        <w:t xml:space="preserve">(1996)</w:t>
      </w:r>
      <w:r>
        <w:t xml:space="preserve">   </w:t>
      </w:r>
      <w:r>
        <w:tab/>
      </w:r>
      <w:r>
        <w:t xml:space="preserve">10</w:t>
      </w:r>
    </w:p>
    <w:p>
      <w:pPr>
        <w:keepLines/>
        <w:tabs>
          <w:tab w:val="right" w:leader="dot" w:pos="9360"/>
        </w:tabs>
        <w:spacing w:before="156" w:after="0" w:line="312" w:lineRule="exact"/>
        <w:ind w:left="576" w:right="1440" w:hanging="576"/>
      </w:pPr>
      <w:r>
        <w:rPr>
          <w:i/>
          <w:iCs/>
        </w:rPr>
        <w:t xml:space="preserve">Ga.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Human</w:t>
      </w:r>
      <w:r>
        <w:rPr>
          <w:i/>
          <w:iCs/>
        </w:rPr>
        <w:t xml:space="preserve"> </w:t>
      </w:r>
      <w:r>
        <w:rPr>
          <w:i/>
          <w:iCs/>
        </w:rPr>
        <w:t xml:space="preserve">Res.</w:t>
      </w:r>
      <w:r>
        <w:rPr>
          <w:i/>
          <w:iCs/>
        </w:rPr>
        <w:t xml:space="preserve"> </w:t>
      </w:r>
      <w:r>
        <w:rPr>
          <w:i/>
          <w:iCs/>
        </w:rPr>
        <w:t xml:space="preserve">v.</w:t>
      </w:r>
      <w:r>
        <w:rPr>
          <w:i/>
          <w:iCs/>
        </w:rPr>
        <w:t xml:space="preserve"> </w:t>
      </w:r>
      <w:r>
        <w:rPr>
          <w:i/>
          <w:iCs/>
        </w:rPr>
        <w:t xml:space="preserve">Phillips</w:t>
      </w:r>
      <w:r>
        <w:t xml:space="preserve">,</w:t>
      </w:r>
      <w:r>
        <w:t xml:space="preserve"> </w:t>
      </w:r>
      <w:r>
        <w:t xml:space="preserve">268</w:t>
      </w:r>
      <w:r>
        <w:t xml:space="preserve"> </w:t>
      </w:r>
      <w:r>
        <w:t xml:space="preserve">Ga.</w:t>
      </w:r>
      <w:r>
        <w:t xml:space="preserve"> </w:t>
      </w:r>
      <w:r>
        <w:t xml:space="preserve">316</w:t>
      </w:r>
      <w:r>
        <w:t xml:space="preserve"> </w:t>
      </w:r>
      <w:r>
        <w:t xml:space="preserve">(1997)</w:t>
      </w:r>
      <w:r>
        <w:t xml:space="preserve">   </w:t>
      </w:r>
      <w:r>
        <w:tab/>
      </w:r>
      <w:r>
        <w:t xml:space="preserve">8</w:t>
      </w:r>
    </w:p>
    <w:p>
      <w:pPr>
        <w:keepLines/>
        <w:tabs>
          <w:tab w:val="right" w:leader="dot" w:pos="9360"/>
        </w:tabs>
        <w:spacing w:before="156" w:after="0" w:line="312" w:lineRule="exact"/>
        <w:ind w:left="576" w:right="1440" w:hanging="576"/>
      </w:pPr>
      <w:r>
        <w:rPr>
          <w:i/>
          <w:iCs/>
        </w:rPr>
        <w:t xml:space="preserve">Med.</w:t>
      </w:r>
      <w:r>
        <w:rPr>
          <w:i/>
          <w:iCs/>
        </w:rPr>
        <w:t xml:space="preserve"> </w:t>
      </w:r>
      <w:r>
        <w:rPr>
          <w:i/>
          <w:iCs/>
        </w:rPr>
        <w:t xml:space="preserve">Ctr.</w:t>
      </w:r>
      <w:r>
        <w:rPr>
          <w:i/>
          <w:iCs/>
        </w:rPr>
        <w:t xml:space="preserve"> </w:t>
      </w:r>
      <w:r>
        <w:rPr>
          <w:i/>
          <w:iCs/>
        </w:rPr>
        <w:t xml:space="preserve">of</w:t>
      </w:r>
      <w:r>
        <w:rPr>
          <w:i/>
          <w:iCs/>
        </w:rPr>
        <w:t xml:space="preserve"> </w:t>
      </w:r>
      <w:r>
        <w:rPr>
          <w:i/>
          <w:iCs/>
        </w:rPr>
        <w:t xml:space="preserve">Cent.</w:t>
      </w:r>
      <w:r>
        <w:rPr>
          <w:i/>
          <w:iCs/>
        </w:rPr>
        <w:t xml:space="preserve"> </w:t>
      </w:r>
      <w:r>
        <w:rPr>
          <w:i/>
          <w:iCs/>
        </w:rPr>
        <w:t xml:space="preserve">Ga.,</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Turner</w:t>
      </w:r>
      <w:r>
        <w:t xml:space="preserve">,</w:t>
      </w:r>
      <w:r>
        <w:t xml:space="preserve"> </w:t>
      </w:r>
      <w:r>
        <w:t xml:space="preserve">322</w:t>
      </w:r>
      <w:r>
        <w:t xml:space="preserve"> </w:t>
      </w:r>
      <w:r>
        <w:t xml:space="preserve">Ga.</w:t>
      </w:r>
      <w:r>
        <w:t xml:space="preserve"> </w:t>
      </w:r>
      <w:r>
        <w:t xml:space="preserve">129</w:t>
      </w:r>
      <w:r>
        <w:t xml:space="preserve"> </w:t>
      </w:r>
      <w:r>
        <w:t xml:space="preserve">(2025)</w:t>
      </w:r>
      <w:r>
        <w:t xml:space="preserve">   </w:t>
      </w:r>
      <w:r>
        <w:tab/>
      </w:r>
      <w:r>
        <w:t xml:space="preserve">3, 7, 8</w:t>
      </w:r>
    </w:p>
    <w:p>
      <w:pPr>
        <w:keepNext/>
        <w:keepLines/>
        <w:spacing w:before="312" w:after="156" w:line="312" w:lineRule="exact"/>
        <w:ind w:left="0" w:firstLine="0"/>
        <w:jc w:val="left"/>
      </w:pPr>
      <w:r>
        <w:rPr>
          <w:b/>
          <w:bCs/>
        </w:rPr>
        <w:t xml:space="preserve">STATUTES</w:t>
      </w:r>
    </w:p>
    <w:p>
      <w:pPr>
        <w:keepLines/>
        <w:tabs>
          <w:tab w:val="right" w:leader="dot" w:pos="9360"/>
        </w:tabs>
        <w:spacing w:before="156" w:after="0" w:line="312" w:lineRule="exact"/>
        <w:ind w:left="576" w:right="1440" w:hanging="576"/>
      </w:pPr>
      <w:r>
        <w:t xml:space="preserve">O.C.G.A.</w:t>
      </w:r>
      <w:r>
        <w:t xml:space="preserve"> </w:t>
      </w:r>
      <w:r>
        <w:t xml:space="preserve">§</w:t>
      </w:r>
      <w:r>
        <w:t xml:space="preserve"> </w:t>
      </w:r>
      <w:r>
        <w:t xml:space="preserve">5-⁠6-⁠34</w:t>
      </w:r>
      <w:r>
        <w:t xml:space="preserve">   </w:t>
      </w:r>
      <w:r>
        <w:tab/>
      </w:r>
      <w:r>
        <w:t xml:space="preserve">3</w:t>
      </w:r>
    </w:p>
    <w:p>
      <w:pPr>
        <w:keepLines/>
        <w:tabs>
          <w:tab w:val="right" w:leader="dot" w:pos="9360"/>
        </w:tabs>
        <w:spacing w:before="156" w:after="0" w:line="312" w:lineRule="exact"/>
        <w:ind w:left="576" w:right="1440" w:hanging="576"/>
      </w:pPr>
      <w:r>
        <w:t xml:space="preserve">O.C.G.A.</w:t>
      </w:r>
      <w:r>
        <w:t xml:space="preserve"> </w:t>
      </w:r>
      <w:r>
        <w:t xml:space="preserve">§</w:t>
      </w:r>
      <w:r>
        <w:t xml:space="preserve"> </w:t>
      </w:r>
      <w:r>
        <w:t xml:space="preserve">5-⁠6-⁠38</w:t>
      </w:r>
      <w:r>
        <w:t xml:space="preserve">   </w:t>
      </w:r>
      <w:r>
        <w:tab/>
      </w:r>
      <w:r>
        <w:t xml:space="preserve">4</w:t>
      </w:r>
    </w:p>
    <w:p>
      <w:pPr>
        <w:keepLines/>
        <w:tabs>
          <w:tab w:val="right" w:leader="dot" w:pos="9360"/>
        </w:tabs>
        <w:spacing w:before="156" w:after="0" w:line="312" w:lineRule="exact"/>
        <w:ind w:left="576" w:right="1440" w:hanging="576"/>
      </w:pPr>
      <w:r>
        <w:t xml:space="preserve">O.C.G.A.</w:t>
      </w:r>
      <w:r>
        <w:t xml:space="preserve"> </w:t>
      </w:r>
      <w:r>
        <w:t xml:space="preserve">§</w:t>
      </w:r>
      <w:r>
        <w:t xml:space="preserve"> </w:t>
      </w:r>
      <w:r>
        <w:t xml:space="preserve">51-⁠13-⁠1</w:t>
      </w:r>
      <w:r>
        <w:t xml:space="preserve">   </w:t>
      </w:r>
      <w:r>
        <w:tab/>
      </w:r>
      <w:r>
        <w:rPr>
          <w:i/>
          <w:iCs/>
        </w:rPr>
        <w:t xml:space="preserve">passim</w:t>
      </w:r>
    </w:p>
    <w:p>
      <w:pPr>
        <w:keepLines/>
        <w:tabs>
          <w:tab w:val="right" w:leader="dot" w:pos="9360"/>
        </w:tabs>
        <w:spacing w:before="156" w:after="0" w:line="312" w:lineRule="exact"/>
        <w:ind w:left="576" w:right="1440" w:hanging="576"/>
      </w:pPr>
      <w:r>
        <w:t xml:space="preserve">O.C.G.A.</w:t>
      </w:r>
      <w:r>
        <w:t xml:space="preserve"> </w:t>
      </w:r>
      <w:r>
        <w:t xml:space="preserve">§</w:t>
      </w:r>
      <w:r>
        <w:t xml:space="preserve"> </w:t>
      </w:r>
      <w:r>
        <w:t xml:space="preserve">51-⁠4-⁠1</w:t>
      </w:r>
      <w:r>
        <w:t xml:space="preserve">   </w:t>
      </w:r>
      <w:r>
        <w:tab/>
      </w:r>
      <w:r>
        <w:t xml:space="preserve">6, 8, 11</w:t>
      </w:r>
    </w:p>
    <w:p>
      <w:pPr>
        <w:keepNext/>
        <w:keepLines/>
        <w:spacing w:before="312" w:after="156" w:line="31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156" w:after="0" w:line="312" w:lineRule="exact"/>
        <w:ind w:left="576" w:right="1440" w:hanging="576"/>
      </w:pPr>
      <w:r>
        <w:t xml:space="preserve">Ga.</w:t>
      </w:r>
      <w:r>
        <w:t xml:space="preserve"> </w:t>
      </w:r>
      <w:r>
        <w:t xml:space="preserve">Const.</w:t>
      </w:r>
      <w:r>
        <w:t xml:space="preserve"> </w:t>
      </w:r>
      <w:r>
        <w:t xml:space="preserve">of</w:t>
      </w:r>
      <w:r>
        <w:t xml:space="preserve"> </w:t>
      </w:r>
      <w:r>
        <w:t xml:space="preserve">1983,</w:t>
      </w:r>
      <w:r>
        <w:t xml:space="preserve"> </w:t>
      </w:r>
      <w:r>
        <w:t xml:space="preserve">Art.</w:t>
      </w:r>
      <w:r>
        <w:t xml:space="preserve"> </w:t>
      </w:r>
      <w:r>
        <w:t xml:space="preserve">VI,</w:t>
      </w:r>
      <w:r>
        <w:t xml:space="preserve"> </w:t>
      </w:r>
      <w:r>
        <w:t xml:space="preserve">Sec.</w:t>
      </w:r>
      <w:r>
        <w:t xml:space="preserve"> </w:t>
      </w:r>
      <w:r>
        <w:t xml:space="preserve">VI,</w:t>
      </w:r>
      <w:r>
        <w:t xml:space="preserve"> </w:t>
      </w:r>
      <w:r>
        <w:t xml:space="preserve">Par.</w:t>
      </w:r>
      <w:r>
        <w:t xml:space="preserve"> </w:t>
      </w:r>
      <w:r>
        <w:t xml:space="preserve">II(1)</w:t>
      </w:r>
      <w:r>
        <w:t xml:space="preserve">   </w:t>
      </w:r>
      <w:r>
        <w:tab/>
      </w:r>
      <w:r>
        <w:t xml:space="preserve">3</w:t>
      </w:r>
    </w:p>
    <w:p>
      <w:pPr>
        <w:keepLines/>
        <w:tabs>
          <w:tab w:val="right" w:leader="dot" w:pos="9360"/>
        </w:tabs>
        <w:spacing w:before="156" w:after="0" w:line="312" w:lineRule="exact"/>
        <w:ind w:left="576" w:right="1440" w:hanging="576"/>
      </w:pPr>
      <w:r>
        <w:t xml:space="preserve">Ga.</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I,</w:t>
      </w:r>
      <w:r>
        <w:t xml:space="preserve"> </w:t>
      </w:r>
      <w:r>
        <w:t xml:space="preserve">¶</w:t>
      </w:r>
      <w:r>
        <w:t xml:space="preserve"> </w:t>
      </w:r>
      <w:r>
        <w:t xml:space="preserve">II</w:t>
      </w:r>
      <w:r>
        <w:t xml:space="preserve">   </w:t>
      </w:r>
      <w:r>
        <w:tab/>
      </w:r>
      <w:r>
        <w:t xml:space="preserve">8</w:t>
      </w:r>
    </w:p>
    <w:p>
      <w:pPr>
        <w:spacing w:before="0" w:after="0" w:line="1" w:lineRule="exact"/>
        <w:sectPr>
          <w:footerReference w:type="default" r:id="rIdXdPage"/>
          <w:pgSz w:w="12240" w:h="15840"/>
          <w:pgMar w:top="1440" w:right="1440" w:bottom="1440" w:left="1440" w:header="720" w:footer="696" w:gutter="0"/>
          <w:pgNumType w:fmt="lowerRoman"/>
        </w:sectPr>
      </w:pPr>
    </w:p>
    <w:p>
      <w:pPr>
        <w:keepNext/>
        <w:keepLines/>
        <w:spacing w:before="0" w:after="156" w:line="312" w:lineRule="exact"/>
        <w:ind w:left="0" w:firstLine="0"/>
        <w:jc w:val="center"/>
      </w:pPr>
      <w:r>
        <w:rPr>
          <w:b/>
          <w:bCs/>
        </w:rPr>
        <w:t xml:space="preserve">I.</w:t>
      </w:r>
      <w:r>
        <w:rPr>
          <w:b/>
          <w:bCs/>
        </w:rPr>
        <w:t xml:space="preserve"> </w:t>
      </w:r>
      <w:r>
        <w:rPr>
          <w:b/>
          <w:bCs/>
        </w:rPr>
        <w:t xml:space="preserve">INTRODUCTION</w:t>
      </w:r>
    </w:p>
    <w:p>
      <w:pPr>
        <w:keepNext/>
        <w:keepLines/>
        <w:spacing w:before="156" w:after="0" w:line="312" w:lineRule="exact"/>
        <w:ind w:left="0" w:firstLine="0"/>
        <w:jc w:val="left"/>
      </w:pPr>
      <w:r>
        <w:rPr>
          <w:b/>
          <w:bCs/>
        </w:rPr>
        <w:t xml:space="preserve">A.</w:t>
      </w:r>
      <w:r>
        <w:rPr>
          <w:b/>
          <w:bCs/>
        </w:rPr>
        <w:t xml:space="preserve"> </w:t>
      </w:r>
      <w:r>
        <w:rPr>
          <w:b/>
          <w:bCs/>
        </w:rPr>
        <w:t xml:space="preserve">Case</w:t>
      </w:r>
      <w:r>
        <w:rPr>
          <w:b/>
          <w:bCs/>
        </w:rPr>
        <w:t xml:space="preserve"> </w:t>
      </w:r>
      <w:r>
        <w:rPr>
          <w:b/>
          <w:bCs/>
        </w:rPr>
        <w:t xml:space="preserve">Summary</w:t>
      </w:r>
    </w:p>
    <w:p>
      <w:pPr>
        <w:pStyle w:val="BodyTextNote"/>
      </w:pPr>
      <w:r>
        <w:t xml:space="preserve">Though centering on purely legal issues, this appeal arises from the wrongful death of April Clark, as a result of medical negligence committed by the various Defendants/​Appellees – Thomas B. Leigh, M.D.; William Shirley, M.D., and OB/​GYN Specialists, LLC.</w:t>
      </w:r>
      <w:r>
        <w:rPr>
          <w:rStyle w:val="FootnoteReference"/>
        </w:rPr>
        <w:footnoteReference w:id="9"/>
      </w:r>
      <w:r>
        <w:t xml:space="preserve"> </w:t>
      </w:r>
      <w:r>
        <w:t xml:space="preserve">The underlying litigation resulted in a multimillion-dollar award for the full value of Ms. Clark’s life. Facing that hefty judgment, Defendants for the first time then claimed that Clark’s noneconomic damages should be capped under O.C.G.A.</w:t>
      </w:r>
      <w:r>
        <w:t xml:space="preserve"> </w:t>
      </w:r>
      <w:r>
        <w:t xml:space="preserve">§ 51-⁠13-⁠1, the State’s “medical malpractice damages cap.”</w:t>
      </w:r>
    </w:p>
    <w:p>
      <w:pPr>
        <w:pStyle w:val="BodyText"/>
      </w:pPr>
      <w:r>
        <w:t xml:space="preserve">Buying into that argument, the trial court invalidated the largest portion of the jury’s award, “capping” the wrongful death verdict at $350,000 under the Cap Statute. There were several problems with that approach.</w:t>
      </w:r>
    </w:p>
    <w:p>
      <w:pPr>
        <w:pStyle w:val="BodyText"/>
      </w:pPr>
      <w:r>
        <w:t xml:space="preserve">On purely procedural grounds, the Defendants waived the cap issue not only by failing to so much as mention it until after the trial, verdict and judgment, but also by affirmatively stating in the Pretrial Order that the measure of damages for any wrongful death claim was the “full value of the life” of Ms. Clark, as determined by the enlightened conscience of a reasonable jury. The trial, of course, was conducted in reliance on the Pretrial Order, and so the evidence that Clark introduced, and the strategic choices her counsel made before and during trial, were premised on the “rules of engagement” laid out in that Order.</w:t>
      </w:r>
    </w:p>
    <w:p>
      <w:pPr>
        <w:pStyle w:val="BodyText"/>
      </w:pPr>
      <w:r>
        <w:t xml:space="preserve">Substantively, the statute as currently written leaves no room for a standalone “cap” on wrongful death damages in medical malpractice cases, much less one that survives constitutional muster. Since this Court, in</w:t>
      </w:r>
      <w:r>
        <w:t xml:space="preserve"> </w:t>
      </w:r>
      <w:r>
        <w:rPr>
          <w:i/>
          <w:iCs/>
        </w:rPr>
        <w:t xml:space="preserve">Atlanta</w:t>
      </w:r>
      <w:r>
        <w:rPr>
          <w:i/>
          <w:iCs/>
        </w:rPr>
        <w:t xml:space="preserve"> </w:t>
      </w:r>
      <w:r>
        <w:rPr>
          <w:i/>
          <w:iCs/>
        </w:rPr>
        <w:t xml:space="preserve">Oculoplastic Surgery, P.C. v. Nestlehutt</w:t>
      </w:r>
      <w:r>
        <w:t xml:space="preserve">, 286 Ga. 731 (2010), invalidated vast swaths of the “cap” – specifically, as to pain and suffering and consortium claims – the remaining portions of the statute cannot operate without violating the severability clause of the tort reform legislation of which the “cap” is a part and contravening the clear intent of the General Assembly in passing the omnibus cap. And even if some semblance of a wrongful death cap could be cobbled together in the wake of</w:t>
      </w:r>
      <w:r>
        <w:t xml:space="preserve"> </w:t>
      </w:r>
      <w:r>
        <w:rPr>
          <w:i/>
          <w:iCs/>
        </w:rPr>
        <w:t xml:space="preserve">Nestlehutt</w:t>
      </w:r>
      <w:r>
        <w:t xml:space="preserve">, the end result would be constitutionally infirm for reasons different than those espoused in</w:t>
      </w:r>
      <w:r>
        <w:t xml:space="preserve"> </w:t>
      </w:r>
      <w:r>
        <w:rPr>
          <w:i/>
          <w:iCs/>
        </w:rPr>
        <w:t xml:space="preserve">Nestlehutt</w:t>
      </w:r>
      <w:r>
        <w:t xml:space="preserve">.</w:t>
      </w:r>
    </w:p>
    <w:p>
      <w:pPr>
        <w:pStyle w:val="BodyText"/>
      </w:pPr>
      <w:r>
        <w:t xml:space="preserve">At base, the trial court upheld a “cap” that no Court, plaintiff, litigant, scholar, or citizen appeared to have believed existed in the wake of</w:t>
      </w:r>
      <w:r>
        <w:t xml:space="preserve"> </w:t>
      </w:r>
      <w:r>
        <w:rPr>
          <w:i/>
          <w:iCs/>
        </w:rPr>
        <w:t xml:space="preserve">Nestlehutt</w:t>
      </w:r>
      <w:r>
        <w:t xml:space="preserve">, for the better part of two decades. The General Assembly might wish to pick up the issue using a new pen, on a blank slate, but that is for another day. What the cap is, now, is void and unconstitutional, and the trial court erred in finding otherwise.</w:t>
      </w:r>
    </w:p>
    <w:p>
      <w:pPr>
        <w:keepNext/>
        <w:keepLines/>
        <w:spacing w:before="156" w:after="0" w:line="312" w:lineRule="exact"/>
        <w:ind w:left="0" w:firstLine="0"/>
        <w:jc w:val="left"/>
      </w:pPr>
      <w:r>
        <w:rPr>
          <w:b/>
          <w:bCs/>
        </w:rPr>
        <w:t xml:space="preserve">B.</w:t>
      </w:r>
      <w:r>
        <w:rPr>
          <w:b/>
          <w:bCs/>
        </w:rPr>
        <w:t xml:space="preserve"> </w:t>
      </w:r>
      <w:r>
        <w:rPr>
          <w:b/>
          <w:bCs/>
        </w:rPr>
        <w:t xml:space="preserve">Jurisdiction</w:t>
      </w:r>
    </w:p>
    <w:p>
      <w:pPr>
        <w:pStyle w:val="BodyText"/>
      </w:pPr>
      <w:r>
        <w:t xml:space="preserve">This appeal is timely, as the rulings below – following a full trial and months of post-trial motions practice – resulted in a final judgment, suitable for appeal. O.C.G.A.</w:t>
      </w:r>
      <w:r>
        <w:t xml:space="preserve"> </w:t>
      </w:r>
      <w:r>
        <w:t xml:space="preserve">§ 5-⁠6-⁠34(a)⁠(1)⁠(B); see V1 1-⁠2 (Plaintiff’s Notice of Appeal).</w:t>
      </w:r>
    </w:p>
    <w:p>
      <w:pPr>
        <w:pStyle w:val="BodyText"/>
      </w:pPr>
      <w:r>
        <w:t xml:space="preserve">Appeal to this Court is proper, as this Court exercises exclusive appellate jurisdiction over “[a]ll cases involving the construction . . . of the Constitution of the State of Georgia or of the United States and all cases in which the constitutionality of a law, ordinance, or constitutional provision has been drawn in question.” Ga.</w:t>
      </w:r>
      <w:r>
        <w:t xml:space="preserve"> </w:t>
      </w:r>
      <w:r>
        <w:t xml:space="preserve">Const. of 1983, Art. VI, Sec. VI, Par. II(1).</w:t>
      </w:r>
    </w:p>
    <w:p>
      <w:pPr>
        <w:pStyle w:val="BodyText"/>
      </w:pPr>
      <w:r>
        <w:t xml:space="preserve">Here, the Trial Court’s Amended Judgment (and underlying Order) squarely addressed and ruled upon the constitutionality of O.C.G.A.</w:t>
      </w:r>
      <w:r>
        <w:t xml:space="preserve"> </w:t>
      </w:r>
      <w:r>
        <w:t xml:space="preserve">§ 51-⁠13-⁠1. V26 149-⁠53 (jury trial right); 153-⁠54 (separation of powers); 154-⁠55 (equal protection); see V26 158-⁠59 (Amended Judgment). The constitutionality of the wrongful death portion of the “cap” statute has not been previously ruled on by this Court.</w:t>
      </w:r>
      <w:r>
        <w:t xml:space="preserve"> </w:t>
      </w:r>
      <w:r>
        <w:rPr>
          <w:i/>
          <w:iCs/>
        </w:rPr>
        <w:t xml:space="preserve">Med.</w:t>
      </w:r>
      <w:r>
        <w:rPr>
          <w:i/>
          <w:iCs/>
        </w:rPr>
        <w:t xml:space="preserve"> </w:t>
      </w:r>
      <w:r>
        <w:rPr>
          <w:i/>
          <w:iCs/>
        </w:rPr>
        <w:t xml:space="preserve">Ctr. of Cent. Ga., Inc. v. Turner</w:t>
      </w:r>
      <w:r>
        <w:t xml:space="preserve">, 322 Ga. 129 (June 24, 2025) (remanding, declining to reach the constitutionality of the damages cap to wrongful death award); see generally</w:t>
      </w:r>
      <w:r>
        <w:t xml:space="preserve"> </w:t>
      </w:r>
      <w:r>
        <w:rPr>
          <w:i/>
          <w:iCs/>
        </w:rPr>
        <w:t xml:space="preserve">Nestlehutt</w:t>
      </w:r>
      <w:r>
        <w:t xml:space="preserve">, supra.</w:t>
      </w:r>
    </w:p>
    <w:p>
      <w:pPr>
        <w:pStyle w:val="BodyText"/>
      </w:pPr>
      <w:r>
        <w:t xml:space="preserve">The trial court’s Amended Judgment was entered on August 14, 2025. V26 158-⁠59; see V26 147 (Order granting Motion to Remit, filed August 13, 2025). Clark’s Notice of Appeal was filed the next day, timely under O.C.G.A.</w:t>
      </w:r>
      <w:r>
        <w:t xml:space="preserve"> </w:t>
      </w:r>
      <w:r>
        <w:t xml:space="preserve">§ 5-⁠6-⁠38(a). This appeal was docketed on October 15, 2025, and this initial brief follows within twenty days of that date.</w:t>
      </w:r>
    </w:p>
    <w:p>
      <w:pPr>
        <w:keepNext/>
        <w:keepLines/>
        <w:spacing w:before="156" w:after="0" w:line="312" w:lineRule="exact"/>
        <w:ind w:left="0" w:firstLine="0"/>
        <w:jc w:val="left"/>
      </w:pPr>
      <w:r>
        <w:rPr>
          <w:b/>
          <w:bCs/>
        </w:rPr>
        <w:t xml:space="preserve">C.</w:t>
      </w:r>
      <w:r>
        <w:rPr>
          <w:b/>
          <w:bCs/>
        </w:rPr>
        <w:t xml:space="preserve"> </w:t>
      </w:r>
      <w:r>
        <w:rPr>
          <w:b/>
          <w:bCs/>
        </w:rPr>
        <w:t xml:space="preserve">Enumeration</w:t>
      </w:r>
      <w:r>
        <w:rPr>
          <w:b/>
          <w:bCs/>
        </w:rPr>
        <w:t xml:space="preserve"> </w:t>
      </w:r>
      <w:r>
        <w:rPr>
          <w:b/>
          <w:bCs/>
        </w:rPr>
        <w:t xml:space="preserve">of</w:t>
      </w:r>
      <w:r>
        <w:rPr>
          <w:b/>
          <w:bCs/>
        </w:rPr>
        <w:t xml:space="preserve"> </w:t>
      </w:r>
      <w:r>
        <w:rPr>
          <w:b/>
          <w:bCs/>
        </w:rPr>
        <w:t xml:space="preserve">Errors</w:t>
      </w:r>
    </w:p>
    <w:p>
      <w:pPr>
        <w:pStyle w:val="BodyText"/>
      </w:pPr>
      <w:r>
        <w:t xml:space="preserve">The trial court erred in enforcing the “cap” on wrongful death damages under O.C.G.A.</w:t>
      </w:r>
      <w:r>
        <w:t xml:space="preserve"> </w:t>
      </w:r>
      <w:r>
        <w:t xml:space="preserve">§ 51-⁠13-⁠1.</w:t>
      </w:r>
    </w:p>
    <w:p>
      <w:pPr>
        <w:pStyle w:val="XdList1"/>
      </w:pPr>
      <w:r>
        <w:t xml:space="preserve">1.</w:t>
      </w:r>
      <w:r>
        <w:tab/>
      </w:r>
      <w:r>
        <w:t xml:space="preserve">The trial court erred in determining that Defendants had not waived the right to assert the “cap.”</w:t>
      </w:r>
    </w:p>
    <w:p>
      <w:pPr>
        <w:pStyle w:val="XdList1"/>
      </w:pPr>
      <w:r>
        <w:t xml:space="preserve">2.</w:t>
      </w:r>
      <w:r>
        <w:tab/>
      </w:r>
      <w:r>
        <w:t xml:space="preserve">The trial court erred in concluding that it could enforce the “cap” as to wrongful death claims without effectively rewriting the statute—in violation of the constitutional separation of powers and general severability principles.</w:t>
      </w:r>
    </w:p>
    <w:p>
      <w:pPr>
        <w:pStyle w:val="XdList1"/>
      </w:pPr>
      <w:r>
        <w:t xml:space="preserve">3.</w:t>
      </w:r>
      <w:r>
        <w:tab/>
      </w:r>
      <w:r>
        <w:t xml:space="preserve">The trial court erred in concluding that enforcing the “cap” as to wrongful death claims would not violate the right to trial by jury.</w:t>
      </w:r>
    </w:p>
    <w:p>
      <w:pPr>
        <w:pStyle w:val="XdList1"/>
      </w:pPr>
      <w:r>
        <w:t xml:space="preserve">4.</w:t>
      </w:r>
      <w:r>
        <w:tab/>
      </w:r>
      <w:r>
        <w:t xml:space="preserve">The trial court erred in concluding that enforcing a “cap” as to wrongful death claims would not violate equal protection guarantees.</w:t>
      </w:r>
    </w:p>
    <w:p>
      <w:pPr>
        <w:keepNext/>
        <w:keepLines/>
        <w:spacing w:before="156" w:after="0" w:line="312" w:lineRule="exact"/>
        <w:ind w:left="0" w:firstLine="0"/>
        <w:jc w:val="left"/>
      </w:pPr>
      <w:r>
        <w:rPr>
          <w:b/>
          <w:bCs/>
        </w:rPr>
        <w:t xml:space="preserve">D.</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Though most of the “medicine” and trial proceedings are more germane to the companion appeal, S26X0349, a brief recap is necessary given some of Clark’s procedural arguments, which the trial court misconstrued.</w:t>
      </w:r>
    </w:p>
    <w:p>
      <w:pPr>
        <w:keepNext/>
        <w:keepLines/>
        <w:spacing w:before="156" w:after="0" w:line="312" w:lineRule="exact"/>
        <w:ind w:left="0" w:firstLine="0"/>
        <w:jc w:val="left"/>
      </w:pPr>
      <w:r>
        <w:rPr>
          <w:b/>
          <w:bCs/>
          <w:i/>
          <w:iCs/>
        </w:rPr>
        <w:t xml:space="preserve">Underlying</w:t>
      </w:r>
      <w:r>
        <w:rPr>
          <w:b/>
          <w:bCs/>
          <w:i/>
          <w:iCs/>
        </w:rPr>
        <w:t xml:space="preserve"> </w:t>
      </w:r>
      <w:r>
        <w:rPr>
          <w:b/>
          <w:bCs/>
          <w:i/>
          <w:iCs/>
        </w:rPr>
        <w:t xml:space="preserve">Facts</w:t>
      </w:r>
    </w:p>
    <w:p>
      <w:pPr>
        <w:pStyle w:val="BodyText"/>
      </w:pPr>
      <w:r>
        <w:t xml:space="preserve">In 2019, April Clark underwent abdominal surgery to remove a cyst on her ovary; her surgeons that day were Defendants Leigh and Shirley. Though initially planned as an outpatient procedure, Clark was held overnight at the hospital for observation. Her condition worsened and by the following afternoon she developed classic signs of a bowel perforation – fever, tachycardia (rapid heart rate), pain, and a distended abdomen. Both Dr. Leigh and Dr. Shirley had the opportunity to diagnose her deteriorating condition, and both failed to do so.</w:t>
      </w:r>
    </w:p>
    <w:p>
      <w:pPr>
        <w:pStyle w:val="BodyText"/>
      </w:pPr>
      <w:r>
        <w:t xml:space="preserve">About 48 hours after her surgery, Clark suddenly became unresponsive. CT imaging revealed the presence of “free air” in Clark’s abdomen – a classic sign of bowel perforation and red flag for sepsis. She underwent emergency surgery to repair the bowel leak, and her heart stopped while she was on the operating table. Clark never regained consciousness. V23 33, 45. She remained on life support for 31 days, and died on June 27, 2019.</w:t>
      </w:r>
      <w:r>
        <w:t xml:space="preserve"> </w:t>
      </w:r>
      <w:r>
        <w:rPr>
          <w:i/>
          <w:iCs/>
        </w:rPr>
        <w:t xml:space="preserve">Id.</w:t>
      </w:r>
    </w:p>
    <w:p>
      <w:pPr>
        <w:keepNext/>
        <w:keepLines/>
        <w:spacing w:before="156" w:after="0" w:line="312" w:lineRule="exact"/>
        <w:ind w:left="0" w:firstLine="0"/>
        <w:jc w:val="left"/>
      </w:pPr>
      <w:r>
        <w:rPr>
          <w:b/>
          <w:bCs/>
          <w:i/>
          <w:iCs/>
        </w:rPr>
        <w:t xml:space="preserve">Relevant</w:t>
      </w:r>
      <w:r>
        <w:rPr>
          <w:b/>
          <w:bCs/>
          <w:i/>
          <w:iCs/>
        </w:rPr>
        <w:t xml:space="preserve"> </w:t>
      </w:r>
      <w:r>
        <w:rPr>
          <w:b/>
          <w:bCs/>
          <w:i/>
          <w:iCs/>
        </w:rPr>
        <w:t xml:space="preserve">Proceedings</w:t>
      </w:r>
    </w:p>
    <w:p>
      <w:pPr>
        <w:pStyle w:val="BodyText"/>
      </w:pPr>
      <w:r>
        <w:t xml:space="preserve">Litigation followed. Clark’s family members brought claims for wrongful death: her surviving husband, Charles, as the statutory wrongful death plaintiff, and her daughter, April, as Administrator of the Estate, for conscious pain and suffering and medical bills. V1 6 (original Complaint).</w:t>
      </w:r>
    </w:p>
    <w:p>
      <w:pPr>
        <w:pStyle w:val="BodyText"/>
      </w:pPr>
      <w:r>
        <w:t xml:space="preserve">After years of litigation, in which the “cap” issue was never raised, the case convened for trial in 2024. See generally Volumes 21-⁠25 (Days I-V of trial). By that point, three separate Consolidated Pre-Trial Orders had been submitted and entered by the court. None mentioned any “cap,” at all. V13 157-⁠93 (PTO of May 21, 2024);</w:t>
      </w:r>
      <w:r>
        <w:t xml:space="preserve"> </w:t>
      </w:r>
      <w:r>
        <w:rPr>
          <w:i/>
          <w:iCs/>
        </w:rPr>
        <w:t xml:space="preserve">id.</w:t>
      </w:r>
      <w:r>
        <w:t xml:space="preserve"> </w:t>
      </w:r>
      <w:r>
        <w:t xml:space="preserve">305-⁠27 (PTO of July 18, 2024); V20 33-⁠55.</w:t>
      </w:r>
    </w:p>
    <w:p>
      <w:pPr>
        <w:pStyle w:val="BodyText"/>
      </w:pPr>
      <w:r>
        <w:t xml:space="preserve">In fact, in each PTO, these Defendants explained that the proper measure of damages for any wrongful death claim was indeed governed by statute – but not the “cap” statute they now champion. Instead, in each PTO, these Defendants agreed that “should the jury find in favor of plaintiffs, the applicable damages would be those damages appropriate pursuant to OCGA</w:t>
      </w:r>
      <w:r>
        <w:t xml:space="preserve"> </w:t>
      </w:r>
      <w:r>
        <w:t xml:space="preserve">§ 51-⁠4-⁠1 and OCGA § 51-⁠12-⁠2.” V13 173; V13 315 (same); V20 43 (same; operative PTO).</w:t>
      </w:r>
    </w:p>
    <w:p>
      <w:pPr>
        <w:pStyle w:val="BodyTextNote"/>
      </w:pPr>
      <w:r>
        <w:t xml:space="preserve">After a five-day trial – including a full day’s worth of “damages” witnesses – the jury deliberated for some time and ultimately, unanimously, awarded a significant verdict: $29,250,000 for the full value of the life of Ms. Clark;</w:t>
      </w:r>
      <w:r>
        <w:rPr>
          <w:rStyle w:val="FootnoteReference"/>
        </w:rPr>
        <w:footnoteReference w:id="10"/>
      </w:r>
      <w:r>
        <w:t xml:space="preserve"> </w:t>
      </w:r>
      <w:r>
        <w:t xml:space="preserve">$2,500,000 for the pain and suffering of Ms. Clark; and $1,715,176 in medical expenses. V25 at 1003-⁠04; V20 74-⁠75 (verdict form). In total, $33,465,716.</w:t>
      </w:r>
      <w:r>
        <w:rPr>
          <w:rStyle w:val="FootnoteReference"/>
        </w:rPr>
        <w:footnoteReference w:id="11"/>
      </w:r>
    </w:p>
    <w:p>
      <w:pPr>
        <w:pStyle w:val="BodyText"/>
      </w:pPr>
      <w:r>
        <w:t xml:space="preserve">Following apportionment to non-parties, the verdict was still north of $20 million. V20 76-⁠77 (Judgment).</w:t>
      </w:r>
    </w:p>
    <w:p>
      <w:pPr>
        <w:keepNext/>
        <w:keepLines/>
        <w:spacing w:before="156" w:after="0" w:line="312" w:lineRule="exact"/>
        <w:ind w:left="0" w:firstLine="0"/>
        <w:jc w:val="left"/>
      </w:pPr>
      <w:r>
        <w:rPr>
          <w:b/>
          <w:bCs/>
          <w:i/>
          <w:iCs/>
        </w:rPr>
        <w:t xml:space="preserve">The</w:t>
      </w:r>
      <w:r>
        <w:rPr>
          <w:b/>
          <w:bCs/>
          <w:i/>
          <w:iCs/>
        </w:rPr>
        <w:t xml:space="preserve"> </w:t>
      </w:r>
      <w:r>
        <w:rPr>
          <w:b/>
          <w:bCs/>
          <w:i/>
          <w:iCs/>
        </w:rPr>
        <w:t xml:space="preserve">Relevant</w:t>
      </w:r>
      <w:r>
        <w:rPr>
          <w:b/>
          <w:bCs/>
          <w:i/>
          <w:iCs/>
        </w:rPr>
        <w:t xml:space="preserve"> </w:t>
      </w:r>
      <w:r>
        <w:rPr>
          <w:b/>
          <w:bCs/>
          <w:i/>
          <w:iCs/>
        </w:rPr>
        <w:t xml:space="preserve">Order</w:t>
      </w:r>
    </w:p>
    <w:p>
      <w:pPr>
        <w:pStyle w:val="BodyText"/>
      </w:pPr>
      <w:r>
        <w:t xml:space="preserve">The trial court’s Order straightforwardly, but incorrectly, held that the post-Nestlehutt remnants of O.C.G.A.</w:t>
      </w:r>
      <w:r>
        <w:t xml:space="preserve"> </w:t>
      </w:r>
      <w:r>
        <w:t xml:space="preserve">§ 51-⁠13-⁠1(b) capped the wrongful death award. V26 148. Noting that this Court’s decision in</w:t>
      </w:r>
      <w:r>
        <w:t xml:space="preserve"> </w:t>
      </w:r>
      <w:r>
        <w:rPr>
          <w:i/>
          <w:iCs/>
        </w:rPr>
        <w:t xml:space="preserve">Turner</w:t>
      </w:r>
      <w:r>
        <w:t xml:space="preserve"> </w:t>
      </w:r>
      <w:r>
        <w:t xml:space="preserve">meant that the “wrongful death cap” issue was still an open one, the trial court proceeded without significant elaboration to reject Clark’s procedural and constitutional claims. V26 149-⁠53 (jury trial right); 153-⁠54 (separation of powers); 154-⁠55 (equal protection); 155-⁠57 (procedural objections). Perhaps most notably, the trial court ruled that since the cap statute “as applied” would pass constitutional muster, it need not engage in any more painstaking redline/​blue pencil of what portions of the statute were even in play.</w:t>
      </w:r>
    </w:p>
    <w:p>
      <w:pPr>
        <w:keepNext/>
        <w:keepLines/>
        <w:spacing w:before="156" w:after="0" w:line="312" w:lineRule="exact"/>
        <w:ind w:left="0" w:firstLine="0"/>
        <w:jc w:val="left"/>
      </w:pPr>
      <w:r>
        <w:rPr>
          <w:b/>
          <w:bCs/>
        </w:rPr>
        <w:t xml:space="preserve">E.</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The trial court erred in enforcing the §</w:t>
      </w:r>
      <w:r>
        <w:t xml:space="preserve"> </w:t>
      </w:r>
      <w:r>
        <w:t xml:space="preserve">51-⁠13-⁠1(b) “cap” in this case.</w:t>
      </w:r>
    </w:p>
    <w:p>
      <w:pPr>
        <w:pStyle w:val="BodyText"/>
      </w:pPr>
      <w:r>
        <w:t xml:space="preserve">First, the “cap” argument was waived – the contention that the death of April Clark could only ever be worth $350,000 was never mentioned – not one syllable – until after the litigation, trial, verdict, and Judgment. Even more telling, the Defendants affirmatively took the position in multiple Pre-Trial Orders that another statute would govern Plaintiff’s damages – the “full value of the life” standard memorialized in O.C.G.A.</w:t>
      </w:r>
      <w:r>
        <w:t xml:space="preserve"> </w:t>
      </w:r>
      <w:r>
        <w:t xml:space="preserve">§ 51-⁠4-⁠1</w:t>
      </w:r>
      <w:r>
        <w:t xml:space="preserve"> </w:t>
      </w:r>
      <w:r>
        <w:rPr>
          <w:i/>
          <w:iCs/>
        </w:rPr>
        <w:t xml:space="preserve">et seq.</w:t>
      </w:r>
      <w:r>
        <w:t xml:space="preserve">; see</w:t>
      </w:r>
      <w:r>
        <w:t xml:space="preserve"> </w:t>
      </w:r>
      <w:r>
        <w:rPr>
          <w:i/>
          <w:iCs/>
        </w:rPr>
        <w:t xml:space="preserve">Ga.</w:t>
      </w:r>
      <w:r>
        <w:rPr>
          <w:i/>
          <w:iCs/>
        </w:rPr>
        <w:t xml:space="preserve"> </w:t>
      </w:r>
      <w:r>
        <w:rPr>
          <w:i/>
          <w:iCs/>
        </w:rPr>
        <w:t xml:space="preserve">Dep’t of Human Res. v. Phillips</w:t>
      </w:r>
      <w:r>
        <w:t xml:space="preserve">, 268 Ga. 316, 318 (1997).</w:t>
      </w:r>
    </w:p>
    <w:p>
      <w:pPr>
        <w:pStyle w:val="BodyText"/>
      </w:pPr>
      <w:r>
        <w:t xml:space="preserve">Second, application of the “cap” as construed by the trial court is impossible, in light of</w:t>
      </w:r>
      <w:r>
        <w:t xml:space="preserve"> </w:t>
      </w:r>
      <w:r>
        <w:rPr>
          <w:i/>
          <w:iCs/>
        </w:rPr>
        <w:t xml:space="preserve">Nestlehutt</w:t>
      </w:r>
      <w:r>
        <w:t xml:space="preserve">, under longstanding separation-of-powers principles, which forbid courts from rewriting or “adding a line” to a given statute. The trial court’s enforcement of the “cap” post-</w:t>
      </w:r>
      <w:r>
        <w:rPr>
          <w:i/>
          <w:iCs/>
        </w:rPr>
        <w:t xml:space="preserve">Nestlehutt</w:t>
      </w:r>
      <w:r>
        <w:t xml:space="preserve"> </w:t>
      </w:r>
      <w:r>
        <w:t xml:space="preserve">also contravenes the severability provision of the Tort Reform Act of 2005, of which §</w:t>
      </w:r>
      <w:r>
        <w:t xml:space="preserve"> </w:t>
      </w:r>
      <w:r>
        <w:t xml:space="preserve">51-⁠13-⁠1 is a part.</w:t>
      </w:r>
    </w:p>
    <w:p>
      <w:pPr>
        <w:pStyle w:val="BodyText"/>
      </w:pPr>
      <w:r>
        <w:t xml:space="preserve">Third, application of the “cap” would violate the inviolate right to a trial by jury under Georgia’s Constitution, whether utilizing Georgia’s 1798 version examined in</w:t>
      </w:r>
      <w:r>
        <w:t xml:space="preserve"> </w:t>
      </w:r>
      <w:r>
        <w:rPr>
          <w:i/>
          <w:iCs/>
        </w:rPr>
        <w:t xml:space="preserve">Nestlehutt</w:t>
      </w:r>
      <w:r>
        <w:t xml:space="preserve"> </w:t>
      </w:r>
      <w:r>
        <w:t xml:space="preserve">and</w:t>
      </w:r>
      <w:r>
        <w:t xml:space="preserve"> </w:t>
      </w:r>
      <w:r>
        <w:rPr>
          <w:i/>
          <w:iCs/>
        </w:rPr>
        <w:t xml:space="preserve">Turner</w:t>
      </w:r>
      <w:r>
        <w:t xml:space="preserve">, the post-Civil War 1868 Constitution, or Georgia’s current (1983) version. Actions for wrongful death did exist at common law, as did jury deliberation on damages almost precisely like those at issue, here. Caps are unconstitutional.</w:t>
      </w:r>
    </w:p>
    <w:p>
      <w:pPr>
        <w:pStyle w:val="BodyText"/>
      </w:pPr>
      <w:r>
        <w:t xml:space="preserve">Fourth, application of the “cap” via some post-</w:t>
      </w:r>
      <w:r>
        <w:rPr>
          <w:i/>
          <w:iCs/>
        </w:rPr>
        <w:t xml:space="preserve">Nestlehutt</w:t>
      </w:r>
      <w:r>
        <w:t xml:space="preserve"> </w:t>
      </w:r>
      <w:r>
        <w:t xml:space="preserve">rewriting would violate the Georgia and United States Constitutional guarantees of equal protection of the laws. See GA.</w:t>
      </w:r>
      <w:r>
        <w:t xml:space="preserve"> </w:t>
      </w:r>
      <w:r>
        <w:t xml:space="preserve">CONST. art. I, § I, ¶ II (“Protection to person and property is the paramount duty of government and shall be impartial and complete. No person shall be denied the equal protection of the laws”). The trial court erred in ruling otherwise.</w:t>
      </w:r>
    </w:p>
    <w:p>
      <w:pPr>
        <w:keepNext/>
        <w:keepLines/>
        <w:spacing w:before="312" w:after="156" w:line="312" w:lineRule="exact"/>
        <w:ind w:left="0" w:firstLine="0"/>
        <w:jc w:val="center"/>
      </w:pPr>
      <w:r>
        <w:rPr>
          <w:b/>
          <w:bCs/>
        </w:rPr>
        <w:t xml:space="preserve">II.</w:t>
      </w:r>
      <w:r>
        <w:rPr>
          <w:b/>
          <w:bCs/>
        </w:rPr>
        <w:t xml:space="preserve"> </w:t>
      </w:r>
      <w:r>
        <w:rPr>
          <w:b/>
          <w:bCs/>
        </w:rPr>
        <w:t xml:space="preserve">ARGUMENT</w:t>
      </w:r>
      <w:r>
        <w:rPr>
          <w:b/>
          <w:bCs/>
        </w:rPr>
        <w:t xml:space="preserve"> </w:t>
      </w:r>
      <w:r>
        <w:rPr>
          <w:b/>
          <w:bCs/>
        </w:rPr>
        <w:t xml:space="preserve">AND</w:t>
      </w:r>
      <w:r>
        <w:rPr>
          <w:b/>
          <w:bCs/>
        </w:rPr>
        <w:t xml:space="preserve"> </w:t>
      </w:r>
      <w:r>
        <w:rPr>
          <w:b/>
          <w:bCs/>
        </w:rPr>
        <w:t xml:space="preserve">CITATION</w:t>
      </w:r>
      <w:r>
        <w:rPr>
          <w:b/>
          <w:bCs/>
        </w:rPr>
        <w:t xml:space="preserve"> </w:t>
      </w:r>
      <w:r>
        <w:rPr>
          <w:b/>
          <w:bCs/>
        </w:rPr>
        <w:t xml:space="preserve">TO</w:t>
      </w:r>
      <w:r>
        <w:rPr>
          <w:b/>
          <w:bCs/>
        </w:rPr>
        <w:t xml:space="preserve"> </w:t>
      </w:r>
      <w:r>
        <w:rPr>
          <w:b/>
          <w:bCs/>
        </w:rPr>
        <w:t xml:space="preserve">AUTHORITIES</w:t>
      </w:r>
    </w:p>
    <w:p>
      <w:pPr>
        <w:keepNext/>
        <w:keepLines/>
        <w:spacing w:before="156" w:after="0" w:line="312" w:lineRule="exact"/>
        <w:ind w:left="0" w:firstLine="0"/>
        <w:jc w:val="left"/>
      </w:pPr>
      <w:r>
        <w:rPr>
          <w:b/>
          <w:bCs/>
        </w:rPr>
        <w:t xml:space="preserve">A.</w:t>
      </w:r>
      <w:r>
        <w:rPr>
          <w:b/>
          <w:bCs/>
        </w:rPr>
        <w:t xml:space="preserve"> </w:t>
      </w:r>
      <w:r>
        <w:rPr>
          <w:b/>
          <w:bCs/>
        </w:rPr>
        <w:t xml:space="preserve">Georgia’s</w:t>
      </w:r>
      <w:r>
        <w:rPr>
          <w:b/>
          <w:bCs/>
        </w:rPr>
        <w:t xml:space="preserve"> </w:t>
      </w:r>
      <w:r>
        <w:rPr>
          <w:b/>
          <w:bCs/>
        </w:rPr>
        <w:t xml:space="preserve">noneconomic</w:t>
      </w:r>
      <w:r>
        <w:rPr>
          <w:b/>
          <w:bCs/>
        </w:rPr>
        <w:t xml:space="preserve"> </w:t>
      </w:r>
      <w:r>
        <w:rPr>
          <w:b/>
          <w:bCs/>
        </w:rPr>
        <w:t xml:space="preserve">damages</w:t>
      </w:r>
      <w:r>
        <w:rPr>
          <w:b/>
          <w:bCs/>
        </w:rPr>
        <w:t xml:space="preserve"> </w:t>
      </w:r>
      <w:r>
        <w:rPr>
          <w:b/>
          <w:bCs/>
        </w:rPr>
        <w:t xml:space="preserve">“cap”</w:t>
      </w:r>
      <w:r>
        <w:rPr>
          <w:b/>
          <w:bCs/>
        </w:rPr>
        <w:t xml:space="preserve"> </w:t>
      </w:r>
      <w:r>
        <w:rPr>
          <w:b/>
          <w:bCs/>
        </w:rPr>
        <w:t xml:space="preserve">–</w:t>
      </w:r>
      <w:r>
        <w:rPr>
          <w:b/>
          <w:bCs/>
        </w:rPr>
        <w:t xml:space="preserve"> </w:t>
      </w:r>
      <w:r>
        <w:rPr>
          <w:b/>
          <w:bCs/>
        </w:rPr>
        <w:t xml:space="preserve">generally,</w:t>
      </w:r>
      <w:r>
        <w:rPr>
          <w:b/>
          <w:bCs/>
        </w:rPr>
        <w:t xml:space="preserve"> </w:t>
      </w:r>
      <w:r>
        <w:rPr>
          <w:b/>
          <w:bCs/>
        </w:rPr>
        <w:t xml:space="preserve">and</w:t>
      </w:r>
      <w:r>
        <w:rPr>
          <w:b/>
          <w:bCs/>
        </w:rPr>
        <w:t xml:space="preserve"> </w:t>
      </w:r>
      <w:r>
        <w:rPr>
          <w:b/>
          <w:bCs/>
        </w:rPr>
        <w:t xml:space="preserve">in</w:t>
      </w:r>
      <w:r>
        <w:rPr>
          <w:b/>
          <w:bCs/>
        </w:rPr>
        <w:t xml:space="preserve"> </w:t>
      </w:r>
      <w:r>
        <w:rPr>
          <w:b/>
          <w:bCs/>
        </w:rPr>
        <w:t xml:space="preserve">light</w:t>
      </w:r>
      <w:r>
        <w:rPr>
          <w:b/>
          <w:bCs/>
        </w:rPr>
        <w:t xml:space="preserve"> </w:t>
      </w:r>
      <w:r>
        <w:rPr>
          <w:b/>
          <w:bCs/>
        </w:rPr>
        <w:t xml:space="preserve">of</w:t>
      </w:r>
      <w:r>
        <w:rPr>
          <w:b/>
          <w:bCs/>
        </w:rPr>
        <w:t xml:space="preserve"> </w:t>
      </w:r>
      <w:r>
        <w:rPr>
          <w:b/>
          <w:bCs/>
        </w:rPr>
        <w:t xml:space="preserve">Nestlehutt</w:t>
      </w:r>
    </w:p>
    <w:p>
      <w:pPr>
        <w:pStyle w:val="BodyText"/>
      </w:pPr>
      <w:r>
        <w:t xml:space="preserve">The Court is well aware that the “cap” statute was adopted in 2005, and held largely unconstitutional in</w:t>
      </w:r>
      <w:r>
        <w:t xml:space="preserve"> </w:t>
      </w:r>
      <w:r>
        <w:rPr>
          <w:i/>
          <w:iCs/>
        </w:rPr>
        <w:t xml:space="preserve">Nestlehutt</w:t>
      </w:r>
      <w:r>
        <w:t xml:space="preserve"> </w:t>
      </w:r>
      <w:r>
        <w:t xml:space="preserve">five years later. Since then, there has been no trial court ruling or appellate decision holding that whatever language or vestige remains of O.C.G.A.</w:t>
      </w:r>
      <w:r>
        <w:t xml:space="preserve"> </w:t>
      </w:r>
      <w:r>
        <w:t xml:space="preserve">§ 51-⁠13-⁠1 still caps wrongful death awards in medical malpractice actions. There are numerous reasons why, to be explored below.</w:t>
      </w:r>
    </w:p>
    <w:p>
      <w:pPr>
        <w:pStyle w:val="BodyText"/>
      </w:pPr>
      <w:r>
        <w:t xml:space="preserve">But first, in any dispute over statutory language, a good starting point is, well, the statute. The cap applies to any “claimant,” which (though singular) means any and all persons who might claim damages from malpractice involving a single victim. O.C.G.A.</w:t>
      </w:r>
      <w:r>
        <w:t xml:space="preserve"> </w:t>
      </w:r>
      <w:r>
        <w:t xml:space="preserve">§ 51-⁠13-⁠1(a)⁠(1) (“All persons claiming to have sustained damages as the result of the bodily injury or death of a single person are considered a single claimant”) (emphasis added). That means in this matter, both Mr. Clark (wrongful death plaintiff, supposedly “capped”) and April Clark (Estate representative, whose damages, under</w:t>
      </w:r>
      <w:r>
        <w:t xml:space="preserve"> </w:t>
      </w:r>
      <w:r>
        <w:rPr>
          <w:i/>
          <w:iCs/>
        </w:rPr>
        <w:t xml:space="preserve">Nestlehutt</w:t>
      </w:r>
      <w:r>
        <w:t xml:space="preserve">, are not subject to any cap) are the same claimant.</w:t>
      </w:r>
    </w:p>
    <w:p>
      <w:pPr>
        <w:pStyle w:val="BodyText"/>
      </w:pPr>
      <w:r>
        <w:t xml:space="preserve">The Defendants have asked the trial court to imagine reasons why Plaintiffs are different than others that might be entitled to uncapped awards of damages. But that is not what the General Assembly did. Under the rational-basis test, it is the “classification drawn by the legislation” – not by lawyers for defendants after the fact – that matters.</w:t>
      </w:r>
      <w:r>
        <w:t xml:space="preserve"> </w:t>
      </w:r>
      <w:r>
        <w:rPr>
          <w:i/>
          <w:iCs/>
        </w:rPr>
        <w:t xml:space="preserve">City</w:t>
      </w:r>
      <w:r>
        <w:rPr>
          <w:i/>
          <w:iCs/>
        </w:rPr>
        <w:t xml:space="preserve"> </w:t>
      </w:r>
      <w:r>
        <w:rPr>
          <w:i/>
          <w:iCs/>
        </w:rPr>
        <w:t xml:space="preserve">of Atlanta v. Watson</w:t>
      </w:r>
      <w:r>
        <w:t xml:space="preserve">, 267 Ga. 185, 187 (1996) (emphasis added).</w:t>
      </w:r>
    </w:p>
    <w:p>
      <w:pPr>
        <w:pStyle w:val="BodyText"/>
      </w:pPr>
      <w:r>
        <w:t xml:space="preserve">At base, Code</w:t>
      </w:r>
      <w:r>
        <w:t xml:space="preserve"> </w:t>
      </w:r>
      <w:r>
        <w:t xml:space="preserve">Section 51-⁠13-⁠1 doesn’t draw any classification or distinction between damages for pain and suffering and damages for wrongful death. None; in fact, the opposite. Such a classification defies common sense, and precedent of this Court, which establishes that the type of damages in wrongful death cases is functionally the same as in injury cases brought by an injured party that happens to survive. See, e.g.,</w:t>
      </w:r>
      <w:r>
        <w:t xml:space="preserve"> </w:t>
      </w:r>
      <w:r>
        <w:rPr>
          <w:i/>
          <w:iCs/>
        </w:rPr>
        <w:t xml:space="preserve">Bibbs</w:t>
      </w:r>
      <w:r>
        <w:rPr>
          <w:i/>
          <w:iCs/>
        </w:rPr>
        <w:t xml:space="preserve"> </w:t>
      </w:r>
      <w:r>
        <w:rPr>
          <w:i/>
          <w:iCs/>
        </w:rPr>
        <w:t xml:space="preserve">v. Toyota Motor Corp.</w:t>
      </w:r>
      <w:r>
        <w:t xml:space="preserve">, 304 Ga. 68, 75 (2018) (“[T]he sorts of damages recoverable in wrongful death actions are substantially the same as the kinds of damages that may be recovered in personal injury actions.”) (cleaned up, emphasis added). If that is indeed the case (as this Court has pronounced), then any wrongful-death only cap is irrational and violative of Georgia’s constitutional equal protection framework.</w:t>
      </w:r>
    </w:p>
    <w:p>
      <w:pPr>
        <w:keepNext/>
        <w:keepLines/>
        <w:spacing w:before="312" w:after="156" w:line="312" w:lineRule="exact"/>
        <w:ind w:left="0" w:firstLine="0"/>
        <w:jc w:val="center"/>
      </w:pPr>
      <w:r>
        <w:rPr>
          <w:b/>
          <w:bCs/>
        </w:rPr>
        <w:t xml:space="preserve">CONCLUSION</w:t>
      </w:r>
    </w:p>
    <w:p>
      <w:pPr>
        <w:pStyle w:val="BodyText"/>
      </w:pPr>
      <w:r>
        <w:t xml:space="preserve">The trial court’s resurrection of the Cap Statute was procedurally barred and constitutionally infirm. This Court should reverse and reinstate the unanimous jury award under O.C.G.A.</w:t>
      </w:r>
      <w:r>
        <w:t xml:space="preserve"> </w:t>
      </w:r>
      <w:r>
        <w:t xml:space="preserve">§ 51-⁠4-⁠1</w:t>
      </w:r>
      <w:r>
        <w:t xml:space="preserve"> </w:t>
      </w:r>
      <w:r>
        <w:rPr>
          <w:i/>
          <w:iCs/>
        </w:rPr>
        <w:t xml:space="preserve">et seq.</w:t>
      </w:r>
      <w:r>
        <w:t xml:space="preserve">, the statute that the Defendants themselves conceded would apply to any jury award, here.</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24" w:lineRule="exact"/>
              <w:ind w:left="0" w:firstLine="0"/>
              <w:jc w:val="left"/>
            </w:pPr>
            <w:r>
              <w:t xml:space="preserve">This</w:t>
            </w:r>
            <w:r>
              <w:t xml:space="preserve"> </w:t>
            </w:r>
            <w:r>
              <w:t xml:space="preserve">submission</w:t>
            </w:r>
            <w:r>
              <w:t xml:space="preserve"> </w:t>
            </w:r>
            <w:r>
              <w:t xml:space="preserve">does</w:t>
            </w:r>
            <w:r>
              <w:t xml:space="preserve"> </w:t>
            </w:r>
            <w:r>
              <w:t xml:space="preserve">not</w:t>
            </w:r>
            <w:r>
              <w:t xml:space="preserve"> </w:t>
            </w:r>
            <w:r>
              <w:t xml:space="preserve">exceed</w:t>
            </w:r>
            <w:r>
              <w:t xml:space="preserve"> </w:t>
            </w:r>
            <w:r>
              <w:t xml:space="preserve">the</w:t>
            </w:r>
            <w:r>
              <w:t xml:space="preserve"> </w:t>
            </w:r>
            <w:r>
              <w:t xml:space="preserve">word-count</w:t>
            </w:r>
            <w:r>
              <w:t xml:space="preserve"> </w:t>
            </w:r>
            <w:r>
              <w:t xml:space="preserve">limit</w:t>
            </w:r>
            <w:r>
              <w:t xml:space="preserve"> </w:t>
            </w:r>
            <w:r>
              <w:t xml:space="preserve">imposed</w:t>
            </w:r>
            <w:r>
              <w:t xml:space="preserve"> </w:t>
            </w:r>
            <w:r>
              <w:t xml:space="preserve">by</w:t>
            </w:r>
            <w:r>
              <w:t xml:space="preserve"> </w:t>
            </w:r>
            <w:r>
              <w:t xml:space="preserve">Rule</w:t>
            </w:r>
            <w:r>
              <w:t xml:space="preserve"> </w:t>
            </w:r>
            <w:r>
              <w:t xml:space="preserve">20.</w:t>
            </w:r>
          </w:p>
          <w:p>
            <w:pPr>
              <w:spacing w:before="0" w:after="0" w:line="624" w:lineRule="exact"/>
              <w:ind w:left="0" w:firstLine="0"/>
              <w:jc w:val="left"/>
            </w:pPr>
            <w:r>
              <w:t xml:space="preserve">Respectfully</w:t>
            </w:r>
            <w:r>
              <w:t xml:space="preserve"> </w:t>
            </w:r>
            <w:r>
              <w:t xml:space="preserve">submitted,</w:t>
            </w:r>
            <w:r>
              <w:t xml:space="preserve"> </w:t>
            </w:r>
            <w:r>
              <w:t xml:space="preserve">this</w:t>
            </w:r>
            <w:r>
              <w:t xml:space="preserve"> </w:t>
            </w:r>
            <w:r>
              <w:t xml:space="preserve">4th</w:t>
            </w:r>
            <w:r>
              <w:t xml:space="preserve"> </w:t>
            </w:r>
            <w:r>
              <w:t xml:space="preserve">day</w:t>
            </w:r>
            <w:r>
              <w:t xml:space="preserve"> </w:t>
            </w:r>
            <w:r>
              <w:t xml:space="preserve">of</w:t>
            </w:r>
            <w:r>
              <w:t xml:space="preserve"> </w:t>
            </w:r>
            <w:r>
              <w:t xml:space="preserve">November,</w:t>
            </w:r>
            <w:r>
              <w:t xml:space="preserve"> </w:t>
            </w:r>
            <w:r>
              <w:t xml:space="preserve">2025.</w:t>
            </w:r>
          </w:p>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12" w:lineRule="exact"/>
                    <w:ind w:left="0" w:firstLine="0"/>
                    <w:jc w:val="left"/>
                  </w:pPr>
                  <w:r>
                    <w:t xml:space="preserve">/s/</w:t>
                  </w:r>
                  <w:r>
                    <w:t xml:space="preserve"> </w:t>
                  </w:r>
                  <w:r>
                    <w:t xml:space="preserve">Darren</w:t>
                  </w:r>
                  <w:r>
                    <w:t xml:space="preserve"> </w:t>
                  </w:r>
                  <w:r>
                    <w:t xml:space="preserve">Summerville</w:t>
                  </w:r>
                </w:p>
                <w:p>
                  <w:pPr>
                    <w:spacing w:before="0" w:after="0" w:line="312" w:lineRule="exact"/>
                    <w:ind w:left="0" w:firstLine="0"/>
                    <w:jc w:val="left"/>
                  </w:pPr>
                  <w:r>
                    <w:t xml:space="preserve">Darren</w:t>
                  </w:r>
                  <w:r>
                    <w:t xml:space="preserve"> </w:t>
                  </w:r>
                  <w:r>
                    <w:t xml:space="preserve">Summerville</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691978</w:t>
                  </w:r>
                </w:p>
                <w:p>
                  <w:pPr>
                    <w:spacing w:before="0" w:after="0" w:line="312" w:lineRule="exact"/>
                    <w:ind w:left="0" w:firstLine="0"/>
                    <w:jc w:val="left"/>
                  </w:pPr>
                  <w:r>
                    <w:t xml:space="preserve">Elizabeth</w:t>
                  </w:r>
                  <w:r>
                    <w:t xml:space="preserve"> </w:t>
                  </w:r>
                  <w:r>
                    <w:t xml:space="preserve">Stone</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684098</w:t>
                  </w:r>
                </w:p>
                <w:p>
                  <w:pPr>
                    <w:spacing w:before="0" w:after="0" w:line="312" w:lineRule="exact"/>
                    <w:ind w:left="0" w:firstLine="0"/>
                    <w:jc w:val="left"/>
                  </w:pPr>
                  <w:r>
                    <w:t xml:space="preserve">THE</w:t>
                  </w:r>
                  <w:r>
                    <w:t xml:space="preserve"> </w:t>
                  </w:r>
                  <w:r>
                    <w:t xml:space="preserve">SUMMERVILLE</w:t>
                  </w:r>
                  <w:r>
                    <w:t xml:space="preserve"> </w:t>
                  </w:r>
                  <w:r>
                    <w:t xml:space="preserve">FIRM,</w:t>
                  </w:r>
                  <w:r>
                    <w:t xml:space="preserve"> </w:t>
                  </w:r>
                  <w:r>
                    <w:t xml:space="preserve">LLC</w:t>
                  </w:r>
                </w:p>
                <w:p>
                  <w:pPr>
                    <w:spacing w:before="0" w:after="0" w:line="312" w:lineRule="exact"/>
                    <w:ind w:left="0" w:firstLine="0"/>
                    <w:jc w:val="left"/>
                  </w:pPr>
                  <w:r>
                    <w:t xml:space="preserve">1226</w:t>
                  </w:r>
                  <w:r>
                    <w:t xml:space="preserve"> </w:t>
                  </w:r>
                  <w:r>
                    <w:t xml:space="preserve">Ponce</w:t>
                  </w:r>
                  <w:r>
                    <w:t xml:space="preserve"> </w:t>
                  </w:r>
                  <w:r>
                    <w:t xml:space="preserve">de</w:t>
                  </w:r>
                  <w:r>
                    <w:t xml:space="preserve"> </w:t>
                  </w:r>
                  <w:r>
                    <w:t xml:space="preserve">Leon</w:t>
                  </w:r>
                  <w:r>
                    <w:t xml:space="preserve"> </w:t>
                  </w:r>
                  <w:r>
                    <w:t xml:space="preserve">Avenue</w:t>
                  </w:r>
                </w:p>
                <w:p>
                  <w:pPr>
                    <w:spacing w:before="0" w:after="0" w:line="312" w:lineRule="exact"/>
                    <w:ind w:left="0" w:firstLine="0"/>
                    <w:jc w:val="left"/>
                  </w:pPr>
                  <w:r>
                    <w:t xml:space="preserve">Atlanta,</w:t>
                  </w:r>
                  <w:r>
                    <w:t xml:space="preserve"> </w:t>
                  </w:r>
                  <w:r>
                    <w:t xml:space="preserve">Georgia</w:t>
                  </w:r>
                  <w:r>
                    <w:t xml:space="preserve"> </w:t>
                  </w:r>
                  <w:r>
                    <w:t xml:space="preserve">30306</w:t>
                  </w:r>
                </w:p>
                <w:p>
                  <w:pPr>
                    <w:spacing w:before="0" w:after="0" w:line="312" w:lineRule="exact"/>
                    <w:ind w:left="0" w:firstLine="0"/>
                    <w:jc w:val="left"/>
                  </w:pPr>
                  <w:r>
                    <w:t xml:space="preserve">(770)</w:t>
                  </w:r>
                  <w:r>
                    <w:t xml:space="preserve"> </w:t>
                  </w:r>
                  <w:r>
                    <w:t xml:space="preserve">635.0030</w:t>
                  </w:r>
                </w:p>
                <w:p>
                  <w:pPr>
                    <w:spacing w:before="0" w:after="0" w:line="312" w:lineRule="exact"/>
                    <w:ind w:left="0" w:firstLine="0"/>
                    <w:jc w:val="left"/>
                  </w:pPr>
                  <w:r>
                    <w:t xml:space="preserve">darren@summervillefirm.com</w:t>
                  </w:r>
                </w:p>
                <w:p>
                  <w:pPr>
                    <w:spacing w:before="0" w:after="0" w:line="312" w:lineRule="exact"/>
                    <w:ind w:left="0" w:firstLine="0"/>
                    <w:jc w:val="left"/>
                  </w:pPr>
                  <w:r>
                    <w:t xml:space="preserve">elizabeth@summervillefirm.com</w:t>
                  </w:r>
                </w:p>
                <w:p>
                  <w:pPr>
                    <w:spacing w:before="0" w:after="0" w:line="312" w:lineRule="exact"/>
                    <w:ind w:left="0" w:firstLine="0"/>
                    <w:jc w:val="left"/>
                  </w:pPr>
                  <w:r>
                    <w:t xml:space="preserve">Counsel</w:t>
                  </w:r>
                  <w:r>
                    <w:t xml:space="preserve"> </w:t>
                  </w:r>
                  <w:r>
                    <w:t xml:space="preserve">for</w:t>
                  </w:r>
                  <w:r>
                    <w:t xml:space="preserve"> </w:t>
                  </w:r>
                  <w:r>
                    <w:t xml:space="preserve">Appellants</w:t>
                  </w:r>
                </w:p>
              </w:tc>
              <w:tc>
                <w:tcPr>
                  <w:tcW w:w="4896" w:type="dxa"/>
                  <w:tcMar>
                    <w:left w:w="432" w:type="dxa"/>
                  </w:tcMar>
                </w:tcPr>
                <w:p>
                  <w:pPr>
                    <w:spacing w:before="0" w:after="0" w:line="312" w:lineRule="exact"/>
                    <w:ind w:left="0" w:firstLine="0"/>
                    <w:jc w:val="left"/>
                  </w:pPr>
                  <w:r>
                    <w:t xml:space="preserve">/s/</w:t>
                  </w:r>
                  <w:r>
                    <w:t xml:space="preserve"> </w:t>
                  </w:r>
                  <w:r>
                    <w:t xml:space="preserve">Laura</w:t>
                  </w:r>
                  <w:r>
                    <w:t xml:space="preserve"> </w:t>
                  </w:r>
                  <w:r>
                    <w:t xml:space="preserve">M.</w:t>
                  </w:r>
                  <w:r>
                    <w:t xml:space="preserve"> </w:t>
                  </w:r>
                  <w:r>
                    <w:t xml:space="preserve">Shamp</w:t>
                  </w:r>
                </w:p>
                <w:p>
                  <w:pPr>
                    <w:spacing w:before="0" w:after="0" w:line="312" w:lineRule="exact"/>
                    <w:ind w:left="0" w:firstLine="0"/>
                    <w:jc w:val="left"/>
                  </w:pPr>
                  <w:r>
                    <w:t xml:space="preserve">Laura</w:t>
                  </w:r>
                  <w:r>
                    <w:t xml:space="preserve"> </w:t>
                  </w:r>
                  <w:r>
                    <w:t xml:space="preserve">M.</w:t>
                  </w:r>
                  <w:r>
                    <w:t xml:space="preserve"> </w:t>
                  </w:r>
                  <w:r>
                    <w:t xml:space="preserve">Shamp</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637560</w:t>
                  </w:r>
                </w:p>
                <w:p>
                  <w:pPr>
                    <w:spacing w:before="0" w:after="0" w:line="312" w:lineRule="exact"/>
                    <w:ind w:left="0" w:firstLine="0"/>
                    <w:jc w:val="left"/>
                  </w:pPr>
                  <w:r>
                    <w:t xml:space="preserve">Joshua</w:t>
                  </w:r>
                  <w:r>
                    <w:t xml:space="preserve"> </w:t>
                  </w:r>
                  <w:r>
                    <w:t xml:space="preserve">F.</w:t>
                  </w:r>
                  <w:r>
                    <w:t xml:space="preserve"> </w:t>
                  </w:r>
                  <w:r>
                    <w:t xml:space="preserve">Silk</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903916</w:t>
                  </w:r>
                </w:p>
                <w:p>
                  <w:pPr>
                    <w:spacing w:before="0" w:after="0" w:line="312" w:lineRule="exact"/>
                    <w:ind w:left="0" w:firstLine="0"/>
                    <w:jc w:val="left"/>
                  </w:pPr>
                  <w:r>
                    <w:t xml:space="preserve">SHAMP</w:t>
                  </w:r>
                  <w:r>
                    <w:t xml:space="preserve"> </w:t>
                  </w:r>
                  <w:r>
                    <w:t xml:space="preserve">SILK</w:t>
                  </w:r>
                </w:p>
                <w:p>
                  <w:pPr>
                    <w:spacing w:before="0" w:after="0" w:line="312" w:lineRule="exact"/>
                    <w:ind w:left="0" w:firstLine="0"/>
                    <w:jc w:val="left"/>
                  </w:pPr>
                  <w:r>
                    <w:t xml:space="preserve">1718</w:t>
                  </w:r>
                  <w:r>
                    <w:t xml:space="preserve"> </w:t>
                  </w:r>
                  <w:r>
                    <w:t xml:space="preserve">Peachtree</w:t>
                  </w:r>
                  <w:r>
                    <w:t xml:space="preserve"> </w:t>
                  </w:r>
                  <w:r>
                    <w:t xml:space="preserve">Street,</w:t>
                  </w:r>
                  <w:r>
                    <w:t xml:space="preserve"> </w:t>
                  </w:r>
                  <w:r>
                    <w:t xml:space="preserve">Suite</w:t>
                  </w:r>
                  <w:r>
                    <w:t xml:space="preserve"> </w:t>
                  </w:r>
                  <w:r>
                    <w:t xml:space="preserve">900</w:t>
                  </w:r>
                </w:p>
                <w:p>
                  <w:pPr>
                    <w:spacing w:before="0" w:after="0" w:line="312" w:lineRule="exact"/>
                    <w:ind w:left="0" w:firstLine="0"/>
                    <w:jc w:val="left"/>
                  </w:pPr>
                  <w:r>
                    <w:t xml:space="preserve">Atlanta,</w:t>
                  </w:r>
                  <w:r>
                    <w:t xml:space="preserve"> </w:t>
                  </w:r>
                  <w:r>
                    <w:t xml:space="preserve">Georgia</w:t>
                  </w:r>
                  <w:r>
                    <w:t xml:space="preserve"> </w:t>
                  </w:r>
                  <w:r>
                    <w:t xml:space="preserve">30309</w:t>
                  </w:r>
                </w:p>
                <w:p>
                  <w:pPr>
                    <w:spacing w:before="0" w:after="0" w:line="312" w:lineRule="exact"/>
                    <w:ind w:left="0" w:firstLine="0"/>
                    <w:jc w:val="left"/>
                  </w:pPr>
                  <w:r>
                    <w:t xml:space="preserve">T:</w:t>
                  </w:r>
                  <w:r>
                    <w:t xml:space="preserve"> </w:t>
                  </w:r>
                  <w:r>
                    <w:t xml:space="preserve">(404)</w:t>
                  </w:r>
                  <w:r>
                    <w:t xml:space="preserve"> </w:t>
                  </w:r>
                  <w:r>
                    <w:t xml:space="preserve">893-⁠9400</w:t>
                  </w:r>
                </w:p>
                <w:p>
                  <w:pPr>
                    <w:spacing w:before="0" w:after="0" w:line="312" w:lineRule="exact"/>
                    <w:ind w:left="0" w:firstLine="0"/>
                    <w:jc w:val="left"/>
                  </w:pPr>
                  <w:r>
                    <w:t xml:space="preserve">shamp@shampsilk.com</w:t>
                  </w:r>
                </w:p>
                <w:p>
                  <w:pPr>
                    <w:spacing w:before="0" w:after="0" w:line="312" w:lineRule="exact"/>
                    <w:ind w:left="0" w:firstLine="0"/>
                    <w:jc w:val="left"/>
                  </w:pPr>
                  <w:r>
                    <w:t xml:space="preserve">silk@shampsilk.com</w:t>
                  </w:r>
                </w:p>
                <w:p>
                  <w:pPr>
                    <w:spacing w:before="0" w:after="0" w:line="312" w:lineRule="exact"/>
                    <w:ind w:left="0" w:firstLine="0"/>
                    <w:jc w:val="left"/>
                  </w:pPr>
                  <w:r>
                    <w:t xml:space="preserve">Counsel</w:t>
                  </w:r>
                  <w:r>
                    <w:t xml:space="preserve"> </w:t>
                  </w:r>
                  <w:r>
                    <w:t xml:space="preserve">for</w:t>
                  </w:r>
                  <w:r>
                    <w:t xml:space="preserve"> </w:t>
                  </w:r>
                  <w:r>
                    <w:t xml:space="preserve">Appellants</w:t>
                  </w:r>
                </w:p>
              </w:tc>
            </w:tr>
          </w:tbl>
          <w:p>
            <w:pPr>
              <w:spacing w:before="0" w:after="0" w:line="1" w:lineRule="exact"/>
            </w:pPr>
          </w:p>
        </w:tc>
      </w:tr>
    </w:tbl>
    <w:p>
      <w:pPr>
        <w:pageBreakBefore/>
        <w:spacing w:before="0" w:after="0" w:line="1" w:lineRule="exact"/>
      </w:pPr>
    </w:p>
    <w:p>
      <w:pPr>
        <w:spacing w:before="0" w:after="312" w:line="31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24" w:lineRule="exact"/>
        <w:ind w:left="0" w:firstLine="0"/>
        <w:jc w:val="left"/>
      </w:pPr>
      <w:r>
        <w:t xml:space="preserve">I</w:t>
      </w:r>
      <w:r>
        <w:t xml:space="preserve"> </w:t>
      </w:r>
      <w:r>
        <w:t xml:space="preserve">certify</w:t>
      </w:r>
      <w:r>
        <w:t xml:space="preserve"> </w:t>
      </w:r>
      <w:r>
        <w:t xml:space="preserve">that</w:t>
      </w:r>
      <w:r>
        <w:t xml:space="preserve"> </w:t>
      </w:r>
      <w:r>
        <w:t xml:space="preserve">there</w:t>
      </w:r>
      <w:r>
        <w:t xml:space="preserve"> </w:t>
      </w:r>
      <w:r>
        <w:t xml:space="preserve">is</w:t>
      </w:r>
      <w:r>
        <w:t xml:space="preserve"> </w:t>
      </w:r>
      <w:r>
        <w:t xml:space="preserve">a</w:t>
      </w:r>
      <w:r>
        <w:t xml:space="preserve"> </w:t>
      </w:r>
      <w:r>
        <w:t xml:space="preserve">prior</w:t>
      </w:r>
      <w:r>
        <w:t xml:space="preserve"> </w:t>
      </w:r>
      <w:r>
        <w:t xml:space="preserve">agreement</w:t>
      </w:r>
      <w:r>
        <w:t xml:space="preserve"> </w:t>
      </w:r>
      <w:r>
        <w:t xml:space="preserve">with</w:t>
      </w:r>
      <w:r>
        <w:t xml:space="preserve"> </w:t>
      </w:r>
      <w:r>
        <w:t xml:space="preserve">counsel</w:t>
      </w:r>
      <w:r>
        <w:t xml:space="preserve"> </w:t>
      </w:r>
      <w:r>
        <w:t xml:space="preserve">to</w:t>
      </w:r>
      <w:r>
        <w:t xml:space="preserve"> </w:t>
      </w:r>
      <w:r>
        <w:t xml:space="preserve">allow</w:t>
      </w:r>
      <w:r>
        <w:t xml:space="preserve"> </w:t>
      </w:r>
      <w:r>
        <w:t xml:space="preserve">documents</w:t>
      </w:r>
      <w:r>
        <w:t xml:space="preserve"> </w:t>
      </w:r>
      <w:r>
        <w:t xml:space="preserve">in</w:t>
      </w:r>
      <w:r>
        <w:t xml:space="preserve"> </w:t>
      </w:r>
      <w:r>
        <w:t xml:space="preserve">a</w:t>
      </w:r>
      <w:r>
        <w:t xml:space="preserve"> </w:t>
      </w:r>
      <w:r>
        <w:t xml:space="preserve">PDF</w:t>
      </w:r>
      <w:r>
        <w:t xml:space="preserve"> </w:t>
      </w:r>
      <w:r>
        <w:t xml:space="preserve">format</w:t>
      </w:r>
      <w:r>
        <w:t xml:space="preserve"> </w:t>
      </w:r>
      <w:r>
        <w:t xml:space="preserve">sent</w:t>
      </w:r>
      <w:r>
        <w:t xml:space="preserve"> </w:t>
      </w:r>
      <w:r>
        <w:t xml:space="preserve">via</w:t>
      </w:r>
      <w:r>
        <w:t xml:space="preserve"> </w:t>
      </w:r>
      <w:r>
        <w:t xml:space="preserve">e-mail</w:t>
      </w:r>
      <w:r>
        <w:t xml:space="preserve"> </w:t>
      </w:r>
      <w:r>
        <w:t xml:space="preserve">to</w:t>
      </w:r>
      <w:r>
        <w:t xml:space="preserve"> </w:t>
      </w:r>
      <w:r>
        <w:t xml:space="preserve">suffice</w:t>
      </w:r>
      <w:r>
        <w:t xml:space="preserve"> </w:t>
      </w:r>
      <w:r>
        <w:t xml:space="preserve">for</w:t>
      </w:r>
      <w:r>
        <w:t xml:space="preserve"> </w:t>
      </w:r>
      <w:r>
        <w:t xml:space="preserve">service</w:t>
      </w:r>
      <w:r>
        <w:t xml:space="preserve"> </w:t>
      </w:r>
      <w:r>
        <w:t xml:space="preserve">under</w:t>
      </w:r>
      <w:r>
        <w:t xml:space="preserve"> </w:t>
      </w:r>
      <w:r>
        <w:t xml:space="preserve">Supreme</w:t>
      </w:r>
      <w:r>
        <w:t xml:space="preserve"> </w:t>
      </w:r>
      <w:r>
        <w:t xml:space="preserve">Court</w:t>
      </w:r>
      <w:r>
        <w:t xml:space="preserve"> </w:t>
      </w:r>
      <w:r>
        <w:t xml:space="preserve">Rule</w:t>
      </w:r>
      <w:r>
        <w:t xml:space="preserve"> </w:t>
      </w:r>
      <w:r>
        <w:t xml:space="preserve">14.</w:t>
      </w:r>
      <w:r>
        <w:t xml:space="preserve"> </w:t>
      </w:r>
      <w:r>
        <w:t xml:space="preserve">I</w:t>
      </w:r>
      <w:r>
        <w:t xml:space="preserve"> </w:t>
      </w:r>
      <w:r>
        <w:t xml:space="preserve">further</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on</w:t>
      </w:r>
      <w:r>
        <w:t xml:space="preserve"> </w:t>
      </w:r>
      <w:r>
        <w:t xml:space="preserve">this</w:t>
      </w:r>
      <w:r>
        <w:t xml:space="preserve"> </w:t>
      </w:r>
      <w:r>
        <w:t xml:space="preserve">day</w:t>
      </w:r>
      <w:r>
        <w:t xml:space="preserve"> </w:t>
      </w:r>
      <w:r>
        <w:t xml:space="preserve">served</w:t>
      </w:r>
      <w:r>
        <w:t xml:space="preserve"> </w:t>
      </w:r>
      <w:r>
        <w:t xml:space="preserve">true</w:t>
      </w:r>
      <w:r>
        <w:t xml:space="preserve"> </w:t>
      </w:r>
      <w:r>
        <w:t xml:space="preserve">and</w:t>
      </w:r>
      <w:r>
        <w:t xml:space="preserve"> </w:t>
      </w:r>
      <w:r>
        <w:t xml:space="preserve">correct</w:t>
      </w:r>
      <w:r>
        <w:t xml:space="preserve"> </w:t>
      </w:r>
      <w:r>
        <w:t xml:space="preserve">copies</w:t>
      </w:r>
      <w:r>
        <w:t xml:space="preserve"> </w:t>
      </w:r>
      <w:r>
        <w:t xml:space="preserve">of</w:t>
      </w:r>
      <w:r>
        <w:t xml:space="preserve"> </w:t>
      </w:r>
      <w:r>
        <w:t xml:space="preserve">the</w:t>
      </w:r>
      <w:r>
        <w:t xml:space="preserve"> </w:t>
      </w:r>
      <w:r>
        <w:t xml:space="preserve">foregoing</w:t>
      </w:r>
      <w:r>
        <w:t xml:space="preserve"> </w:t>
      </w:r>
      <w:r>
        <w:t xml:space="preserve">upon</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r>
        <w:t xml:space="preserve"> </w:t>
      </w:r>
      <w:r>
        <w:t xml:space="preserve">via</w:t>
      </w:r>
      <w:r>
        <w:t xml:space="preserve"> </w:t>
      </w:r>
      <w:r>
        <w:t xml:space="preserve">e-mail:</w:t>
      </w:r>
    </w:p>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12" w:lineRule="exact"/>
              <w:ind w:left="0" w:firstLine="0"/>
              <w:jc w:val="left"/>
            </w:pPr>
            <w:r>
              <w:t xml:space="preserve">David</w:t>
            </w:r>
            <w:r>
              <w:t xml:space="preserve"> </w:t>
            </w:r>
            <w:r>
              <w:t xml:space="preserve">N.</w:t>
            </w:r>
            <w:r>
              <w:t xml:space="preserve"> </w:t>
            </w:r>
            <w:r>
              <w:t xml:space="preserve">Nelson,</w:t>
            </w:r>
            <w:r>
              <w:t xml:space="preserve"> </w:t>
            </w:r>
            <w:r>
              <w:t xml:space="preserve">Esq.</w:t>
            </w:r>
          </w:p>
          <w:p>
            <w:pPr>
              <w:spacing w:before="0" w:after="0" w:line="312" w:lineRule="exact"/>
              <w:ind w:left="0" w:firstLine="0"/>
              <w:jc w:val="left"/>
            </w:pPr>
            <w:r>
              <w:t xml:space="preserve">Elizabeth</w:t>
            </w:r>
            <w:r>
              <w:t xml:space="preserve"> </w:t>
            </w:r>
            <w:r>
              <w:t xml:space="preserve">L.</w:t>
            </w:r>
            <w:r>
              <w:t xml:space="preserve"> </w:t>
            </w:r>
            <w:r>
              <w:t xml:space="preserve">Ford,</w:t>
            </w:r>
            <w:r>
              <w:t xml:space="preserve"> </w:t>
            </w:r>
            <w:r>
              <w:t xml:space="preserve">Esq.</w:t>
            </w:r>
          </w:p>
          <w:p>
            <w:pPr>
              <w:spacing w:before="0" w:after="0" w:line="312" w:lineRule="exact"/>
              <w:ind w:left="0" w:firstLine="0"/>
              <w:jc w:val="left"/>
            </w:pPr>
            <w:r>
              <w:t xml:space="preserve">CHAMBLESS,</w:t>
            </w:r>
            <w:r>
              <w:t xml:space="preserve"> </w:t>
            </w:r>
            <w:r>
              <w:t xml:space="preserve">HIGDON,</w:t>
            </w:r>
            <w:r>
              <w:t xml:space="preserve"> </w:t>
            </w:r>
            <w:r>
              <w:t xml:space="preserve">RICHARDSON,</w:t>
            </w:r>
            <w:r>
              <w:t xml:space="preserve"> </w:t>
            </w:r>
            <w:r>
              <w:t xml:space="preserve">KATZ</w:t>
            </w:r>
            <w:r>
              <w:t xml:space="preserve"> </w:t>
            </w:r>
            <w:r>
              <w:t xml:space="preserve">&amp;</w:t>
            </w:r>
            <w:r>
              <w:t xml:space="preserve"> </w:t>
            </w:r>
            <w:r>
              <w:t xml:space="preserve">GRIGGS,</w:t>
            </w:r>
            <w:r>
              <w:t xml:space="preserve"> </w:t>
            </w:r>
            <w:r>
              <w:t xml:space="preserve">LLP</w:t>
            </w:r>
          </w:p>
          <w:p>
            <w:pPr>
              <w:spacing w:before="0" w:after="0" w:line="312" w:lineRule="exact"/>
              <w:ind w:left="0" w:firstLine="0"/>
              <w:jc w:val="left"/>
            </w:pPr>
            <w:r>
              <w:t xml:space="preserve">P.O.</w:t>
            </w:r>
            <w:r>
              <w:t xml:space="preserve"> </w:t>
            </w:r>
            <w:r>
              <w:t xml:space="preserve">Box</w:t>
            </w:r>
            <w:r>
              <w:t xml:space="preserve"> </w:t>
            </w:r>
            <w:r>
              <w:t xml:space="preserve">18086</w:t>
            </w:r>
          </w:p>
          <w:p>
            <w:pPr>
              <w:spacing w:before="0" w:after="0" w:line="312" w:lineRule="exact"/>
              <w:ind w:left="0" w:firstLine="0"/>
              <w:jc w:val="left"/>
            </w:pPr>
            <w:r>
              <w:t xml:space="preserve">Macon,</w:t>
            </w:r>
            <w:r>
              <w:t xml:space="preserve"> </w:t>
            </w:r>
            <w:r>
              <w:t xml:space="preserve">Georgia</w:t>
            </w:r>
            <w:r>
              <w:t xml:space="preserve"> </w:t>
            </w:r>
            <w:r>
              <w:t xml:space="preserve">31209</w:t>
            </w:r>
          </w:p>
          <w:p>
            <w:pPr>
              <w:spacing w:before="0" w:after="0" w:line="312" w:lineRule="exact"/>
              <w:ind w:left="0" w:firstLine="0"/>
              <w:jc w:val="left"/>
            </w:pPr>
            <w:r>
              <w:t xml:space="preserve">Attorneys</w:t>
            </w:r>
            <w:r>
              <w:t xml:space="preserve"> </w:t>
            </w:r>
            <w:r>
              <w:t xml:space="preserve">for</w:t>
            </w:r>
            <w:r>
              <w:t xml:space="preserve"> </w:t>
            </w:r>
            <w:r>
              <w:t xml:space="preserve">Appellees</w:t>
            </w:r>
          </w:p>
        </w:tc>
        <w:tc>
          <w:tcPr>
            <w:tcW w:w="4896" w:type="dxa"/>
            <w:tcMar>
              <w:left w:w="432" w:type="dxa"/>
            </w:tcMar>
          </w:tcPr>
          <w:p>
            <w:pPr>
              <w:spacing w:before="0" w:after="0" w:line="312" w:lineRule="exact"/>
              <w:ind w:left="0" w:firstLine="0"/>
              <w:jc w:val="left"/>
            </w:pPr>
            <w:r>
              <w:t xml:space="preserve">R.</w:t>
            </w:r>
            <w:r>
              <w:t xml:space="preserve"> </w:t>
            </w:r>
            <w:r>
              <w:t xml:space="preserve">Page</w:t>
            </w:r>
            <w:r>
              <w:t xml:space="preserve"> </w:t>
            </w:r>
            <w:r>
              <w:t xml:space="preserve">Powell,</w:t>
            </w:r>
            <w:r>
              <w:t xml:space="preserve"> </w:t>
            </w:r>
            <w:r>
              <w:t xml:space="preserve">Jr.,</w:t>
            </w:r>
            <w:r>
              <w:t xml:space="preserve"> </w:t>
            </w:r>
            <w:r>
              <w:t xml:space="preserve">Esq.</w:t>
            </w:r>
          </w:p>
          <w:p>
            <w:pPr>
              <w:spacing w:before="0" w:after="0" w:line="312" w:lineRule="exact"/>
              <w:ind w:left="0" w:firstLine="0"/>
              <w:jc w:val="left"/>
            </w:pPr>
            <w:r>
              <w:t xml:space="preserve">Alexander</w:t>
            </w:r>
            <w:r>
              <w:t xml:space="preserve"> </w:t>
            </w:r>
            <w:r>
              <w:t xml:space="preserve">C.</w:t>
            </w:r>
            <w:r>
              <w:t xml:space="preserve"> </w:t>
            </w:r>
            <w:r>
              <w:t xml:space="preserve">Vey,</w:t>
            </w:r>
            <w:r>
              <w:t xml:space="preserve"> </w:t>
            </w:r>
            <w:r>
              <w:t xml:space="preserve">Esq.</w:t>
            </w:r>
          </w:p>
          <w:p>
            <w:pPr>
              <w:spacing w:before="0" w:after="0" w:line="312" w:lineRule="exact"/>
              <w:ind w:left="0" w:firstLine="0"/>
              <w:jc w:val="left"/>
            </w:pPr>
            <w:r>
              <w:t xml:space="preserve">HUFF,</w:t>
            </w:r>
            <w:r>
              <w:t xml:space="preserve"> </w:t>
            </w:r>
            <w:r>
              <w:t xml:space="preserve">POWELL</w:t>
            </w:r>
            <w:r>
              <w:t xml:space="preserve"> </w:t>
            </w:r>
            <w:r>
              <w:t xml:space="preserve">&amp;</w:t>
            </w:r>
            <w:r>
              <w:t xml:space="preserve"> </w:t>
            </w:r>
            <w:r>
              <w:t xml:space="preserve">BAILEY,</w:t>
            </w:r>
            <w:r>
              <w:t xml:space="preserve"> </w:t>
            </w:r>
            <w:r>
              <w:t xml:space="preserve">LLC</w:t>
            </w:r>
          </w:p>
          <w:p>
            <w:pPr>
              <w:spacing w:before="0" w:after="0" w:line="312" w:lineRule="exact"/>
              <w:ind w:left="0" w:firstLine="0"/>
              <w:jc w:val="left"/>
            </w:pPr>
            <w:r>
              <w:t xml:space="preserve">999</w:t>
            </w:r>
            <w:r>
              <w:t xml:space="preserve"> </w:t>
            </w:r>
            <w:r>
              <w:t xml:space="preserve">Peachtree</w:t>
            </w:r>
            <w:r>
              <w:t xml:space="preserve"> </w:t>
            </w:r>
            <w:r>
              <w:t xml:space="preserve">Street,</w:t>
            </w:r>
            <w:r>
              <w:t xml:space="preserve"> </w:t>
            </w:r>
            <w:r>
              <w:t xml:space="preserve">Suite</w:t>
            </w:r>
            <w:r>
              <w:t xml:space="preserve"> </w:t>
            </w:r>
            <w:r>
              <w:t xml:space="preserve">950</w:t>
            </w:r>
          </w:p>
          <w:p>
            <w:pPr>
              <w:spacing w:before="0" w:after="0" w:line="312" w:lineRule="exact"/>
              <w:ind w:left="0" w:firstLine="0"/>
              <w:jc w:val="left"/>
            </w:pPr>
            <w:r>
              <w:t xml:space="preserve">Atlanta,</w:t>
            </w:r>
            <w:r>
              <w:t xml:space="preserve"> </w:t>
            </w:r>
            <w:r>
              <w:t xml:space="preserve">Georgia</w:t>
            </w:r>
            <w:r>
              <w:t xml:space="preserve"> </w:t>
            </w:r>
            <w:r>
              <w:t xml:space="preserve">30309</w:t>
            </w:r>
          </w:p>
          <w:p>
            <w:pPr>
              <w:spacing w:before="0" w:after="0" w:line="312" w:lineRule="exact"/>
              <w:ind w:left="0" w:firstLine="0"/>
              <w:jc w:val="left"/>
            </w:pPr>
            <w:r>
              <w:t xml:space="preserve">Attorneys</w:t>
            </w:r>
            <w:r>
              <w:t xml:space="preserve"> </w:t>
            </w:r>
            <w:r>
              <w:t xml:space="preserve">for</w:t>
            </w:r>
            <w:r>
              <w:t xml:space="preserve"> </w:t>
            </w:r>
            <w:r>
              <w:t xml:space="preserve">Appellees</w:t>
            </w:r>
          </w:p>
        </w:tc>
      </w:tr>
    </w:tbl>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24" w:lineRule="exact"/>
              <w:ind w:left="0" w:firstLine="0"/>
              <w:jc w:val="left"/>
            </w:pPr>
            <w:r>
              <w:t xml:space="preserve">Respectfully</w:t>
            </w:r>
            <w:r>
              <w:t xml:space="preserve"> </w:t>
            </w:r>
            <w:r>
              <w:t xml:space="preserve">submitted,</w:t>
            </w:r>
            <w:r>
              <w:t xml:space="preserve"> </w:t>
            </w:r>
            <w:r>
              <w:t xml:space="preserve">this</w:t>
            </w:r>
            <w:r>
              <w:t xml:space="preserve"> </w:t>
            </w:r>
            <w:r>
              <w:t xml:space="preserve">4th</w:t>
            </w:r>
            <w:r>
              <w:t xml:space="preserve"> </w:t>
            </w:r>
            <w:r>
              <w:t xml:space="preserve">day</w:t>
            </w:r>
            <w:r>
              <w:t xml:space="preserve"> </w:t>
            </w:r>
            <w:r>
              <w:t xml:space="preserve">of</w:t>
            </w:r>
            <w:r>
              <w:t xml:space="preserve"> </w:t>
            </w:r>
            <w:r>
              <w:t xml:space="preserve">November,</w:t>
            </w:r>
            <w:r>
              <w:t xml:space="preserve"> </w:t>
            </w:r>
            <w:r>
              <w:t xml:space="preserve">2025.</w:t>
            </w:r>
          </w:p>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12" w:lineRule="exact"/>
                    <w:ind w:left="0" w:firstLine="0"/>
                    <w:jc w:val="left"/>
                  </w:pPr>
                  <w:r>
                    <w:t xml:space="preserve">/s/</w:t>
                  </w:r>
                  <w:r>
                    <w:t xml:space="preserve"> </w:t>
                  </w:r>
                  <w:r>
                    <w:t xml:space="preserve">Darren</w:t>
                  </w:r>
                  <w:r>
                    <w:t xml:space="preserve"> </w:t>
                  </w:r>
                  <w:r>
                    <w:t xml:space="preserve">Summerville</w:t>
                  </w:r>
                </w:p>
                <w:p>
                  <w:pPr>
                    <w:spacing w:before="0" w:after="0" w:line="312" w:lineRule="exact"/>
                    <w:ind w:left="0" w:firstLine="0"/>
                    <w:jc w:val="left"/>
                  </w:pPr>
                  <w:r>
                    <w:t xml:space="preserve">Darren</w:t>
                  </w:r>
                  <w:r>
                    <w:t xml:space="preserve"> </w:t>
                  </w:r>
                  <w:r>
                    <w:t xml:space="preserve">Summerville</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691978</w:t>
                  </w:r>
                </w:p>
                <w:p>
                  <w:pPr>
                    <w:spacing w:before="0" w:after="0" w:line="312" w:lineRule="exact"/>
                    <w:ind w:left="0" w:firstLine="0"/>
                    <w:jc w:val="left"/>
                  </w:pPr>
                  <w:r>
                    <w:t xml:space="preserve">Elizabeth</w:t>
                  </w:r>
                  <w:r>
                    <w:t xml:space="preserve"> </w:t>
                  </w:r>
                  <w:r>
                    <w:t xml:space="preserve">Stone</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684098</w:t>
                  </w:r>
                </w:p>
                <w:p>
                  <w:pPr>
                    <w:spacing w:before="0" w:after="0" w:line="312" w:lineRule="exact"/>
                    <w:ind w:left="0" w:firstLine="0"/>
                    <w:jc w:val="left"/>
                  </w:pPr>
                  <w:r>
                    <w:t xml:space="preserve">THE</w:t>
                  </w:r>
                  <w:r>
                    <w:t xml:space="preserve"> </w:t>
                  </w:r>
                  <w:r>
                    <w:t xml:space="preserve">SUMMERVILLE</w:t>
                  </w:r>
                  <w:r>
                    <w:t xml:space="preserve"> </w:t>
                  </w:r>
                  <w:r>
                    <w:t xml:space="preserve">FIRM,</w:t>
                  </w:r>
                  <w:r>
                    <w:t xml:space="preserve"> </w:t>
                  </w:r>
                  <w:r>
                    <w:t xml:space="preserve">LLC</w:t>
                  </w:r>
                </w:p>
                <w:p>
                  <w:pPr>
                    <w:spacing w:before="0" w:after="0" w:line="312" w:lineRule="exact"/>
                    <w:ind w:left="0" w:firstLine="0"/>
                    <w:jc w:val="left"/>
                  </w:pPr>
                  <w:r>
                    <w:t xml:space="preserve">1226</w:t>
                  </w:r>
                  <w:r>
                    <w:t xml:space="preserve"> </w:t>
                  </w:r>
                  <w:r>
                    <w:t xml:space="preserve">Ponce</w:t>
                  </w:r>
                  <w:r>
                    <w:t xml:space="preserve"> </w:t>
                  </w:r>
                  <w:r>
                    <w:t xml:space="preserve">de</w:t>
                  </w:r>
                  <w:r>
                    <w:t xml:space="preserve"> </w:t>
                  </w:r>
                  <w:r>
                    <w:t xml:space="preserve">Leon</w:t>
                  </w:r>
                  <w:r>
                    <w:t xml:space="preserve"> </w:t>
                  </w:r>
                  <w:r>
                    <w:t xml:space="preserve">Avenue</w:t>
                  </w:r>
                </w:p>
                <w:p>
                  <w:pPr>
                    <w:spacing w:before="0" w:after="0" w:line="312" w:lineRule="exact"/>
                    <w:ind w:left="0" w:firstLine="0"/>
                    <w:jc w:val="left"/>
                  </w:pPr>
                  <w:r>
                    <w:t xml:space="preserve">Atlanta,</w:t>
                  </w:r>
                  <w:r>
                    <w:t xml:space="preserve"> </w:t>
                  </w:r>
                  <w:r>
                    <w:t xml:space="preserve">Georgia</w:t>
                  </w:r>
                  <w:r>
                    <w:t xml:space="preserve"> </w:t>
                  </w:r>
                  <w:r>
                    <w:t xml:space="preserve">30306</w:t>
                  </w:r>
                </w:p>
                <w:p>
                  <w:pPr>
                    <w:spacing w:before="0" w:after="0" w:line="312" w:lineRule="exact"/>
                    <w:ind w:left="0" w:firstLine="0"/>
                    <w:jc w:val="left"/>
                  </w:pPr>
                  <w:r>
                    <w:t xml:space="preserve">(770)</w:t>
                  </w:r>
                  <w:r>
                    <w:t xml:space="preserve"> </w:t>
                  </w:r>
                  <w:r>
                    <w:t xml:space="preserve">635.0030</w:t>
                  </w:r>
                </w:p>
                <w:p>
                  <w:pPr>
                    <w:spacing w:before="0" w:after="0" w:line="312" w:lineRule="exact"/>
                    <w:ind w:left="0" w:firstLine="0"/>
                    <w:jc w:val="left"/>
                  </w:pPr>
                  <w:r>
                    <w:t xml:space="preserve">darren@summervillefirm.com</w:t>
                  </w:r>
                </w:p>
                <w:p>
                  <w:pPr>
                    <w:spacing w:before="0" w:after="0" w:line="312" w:lineRule="exact"/>
                    <w:ind w:left="0" w:firstLine="0"/>
                    <w:jc w:val="left"/>
                  </w:pPr>
                  <w:r>
                    <w:t xml:space="preserve">elizabeth@summervillefirm.com</w:t>
                  </w:r>
                </w:p>
                <w:p>
                  <w:pPr>
                    <w:spacing w:before="0" w:after="0" w:line="312" w:lineRule="exact"/>
                    <w:ind w:left="0" w:firstLine="0"/>
                    <w:jc w:val="left"/>
                  </w:pPr>
                  <w:r>
                    <w:t xml:space="preserve">Counsel</w:t>
                  </w:r>
                  <w:r>
                    <w:t xml:space="preserve"> </w:t>
                  </w:r>
                  <w:r>
                    <w:t xml:space="preserve">for</w:t>
                  </w:r>
                  <w:r>
                    <w:t xml:space="preserve"> </w:t>
                  </w:r>
                  <w:r>
                    <w:t xml:space="preserve">Appellants</w:t>
                  </w:r>
                </w:p>
              </w:tc>
              <w:tc>
                <w:tcPr>
                  <w:tcW w:w="4896" w:type="dxa"/>
                  <w:tcMar>
                    <w:left w:w="432" w:type="dxa"/>
                  </w:tcMar>
                </w:tcPr>
                <w:p>
                  <w:pPr>
                    <w:spacing w:before="0" w:after="0" w:line="312" w:lineRule="exact"/>
                    <w:ind w:left="0" w:firstLine="0"/>
                    <w:jc w:val="left"/>
                  </w:pPr>
                  <w:r>
                    <w:t xml:space="preserve">/s/</w:t>
                  </w:r>
                  <w:r>
                    <w:t xml:space="preserve"> </w:t>
                  </w:r>
                  <w:r>
                    <w:t xml:space="preserve">Laura</w:t>
                  </w:r>
                  <w:r>
                    <w:t xml:space="preserve"> </w:t>
                  </w:r>
                  <w:r>
                    <w:t xml:space="preserve">M.</w:t>
                  </w:r>
                  <w:r>
                    <w:t xml:space="preserve"> </w:t>
                  </w:r>
                  <w:r>
                    <w:t xml:space="preserve">Shamp</w:t>
                  </w:r>
                </w:p>
                <w:p>
                  <w:pPr>
                    <w:spacing w:before="0" w:after="0" w:line="312" w:lineRule="exact"/>
                    <w:ind w:left="0" w:firstLine="0"/>
                    <w:jc w:val="left"/>
                  </w:pPr>
                  <w:r>
                    <w:t xml:space="preserve">Laura</w:t>
                  </w:r>
                  <w:r>
                    <w:t xml:space="preserve"> </w:t>
                  </w:r>
                  <w:r>
                    <w:t xml:space="preserve">M.</w:t>
                  </w:r>
                  <w:r>
                    <w:t xml:space="preserve"> </w:t>
                  </w:r>
                  <w:r>
                    <w:t xml:space="preserve">Shamp</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637560</w:t>
                  </w:r>
                </w:p>
                <w:p>
                  <w:pPr>
                    <w:spacing w:before="0" w:after="0" w:line="312" w:lineRule="exact"/>
                    <w:ind w:left="0" w:firstLine="0"/>
                    <w:jc w:val="left"/>
                  </w:pPr>
                  <w:r>
                    <w:t xml:space="preserve">Joshua</w:t>
                  </w:r>
                  <w:r>
                    <w:t xml:space="preserve"> </w:t>
                  </w:r>
                  <w:r>
                    <w:t xml:space="preserve">F.</w:t>
                  </w:r>
                  <w:r>
                    <w:t xml:space="preserve"> </w:t>
                  </w:r>
                  <w:r>
                    <w:t xml:space="preserve">Silk</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903916</w:t>
                  </w:r>
                </w:p>
                <w:p>
                  <w:pPr>
                    <w:spacing w:before="0" w:after="0" w:line="312" w:lineRule="exact"/>
                    <w:ind w:left="0" w:firstLine="0"/>
                    <w:jc w:val="left"/>
                  </w:pPr>
                  <w:r>
                    <w:t xml:space="preserve">SHAMP</w:t>
                  </w:r>
                  <w:r>
                    <w:t xml:space="preserve"> </w:t>
                  </w:r>
                  <w:r>
                    <w:t xml:space="preserve">SILK</w:t>
                  </w:r>
                </w:p>
                <w:p>
                  <w:pPr>
                    <w:spacing w:before="0" w:after="0" w:line="312" w:lineRule="exact"/>
                    <w:ind w:left="0" w:firstLine="0"/>
                    <w:jc w:val="left"/>
                  </w:pPr>
                  <w:r>
                    <w:t xml:space="preserve">1718</w:t>
                  </w:r>
                  <w:r>
                    <w:t xml:space="preserve"> </w:t>
                  </w:r>
                  <w:r>
                    <w:t xml:space="preserve">Peachtree</w:t>
                  </w:r>
                  <w:r>
                    <w:t xml:space="preserve"> </w:t>
                  </w:r>
                  <w:r>
                    <w:t xml:space="preserve">Street,</w:t>
                  </w:r>
                  <w:r>
                    <w:t xml:space="preserve"> </w:t>
                  </w:r>
                  <w:r>
                    <w:t xml:space="preserve">Suite</w:t>
                  </w:r>
                  <w:r>
                    <w:t xml:space="preserve"> </w:t>
                  </w:r>
                  <w:r>
                    <w:t xml:space="preserve">900</w:t>
                  </w:r>
                </w:p>
                <w:p>
                  <w:pPr>
                    <w:spacing w:before="0" w:after="0" w:line="312" w:lineRule="exact"/>
                    <w:ind w:left="0" w:firstLine="0"/>
                    <w:jc w:val="left"/>
                  </w:pPr>
                  <w:r>
                    <w:t xml:space="preserve">Atlanta,</w:t>
                  </w:r>
                  <w:r>
                    <w:t xml:space="preserve"> </w:t>
                  </w:r>
                  <w:r>
                    <w:t xml:space="preserve">Georgia</w:t>
                  </w:r>
                  <w:r>
                    <w:t xml:space="preserve"> </w:t>
                  </w:r>
                  <w:r>
                    <w:t xml:space="preserve">30309</w:t>
                  </w:r>
                </w:p>
                <w:p>
                  <w:pPr>
                    <w:spacing w:before="0" w:after="0" w:line="312" w:lineRule="exact"/>
                    <w:ind w:left="0" w:firstLine="0"/>
                    <w:jc w:val="left"/>
                  </w:pPr>
                  <w:r>
                    <w:t xml:space="preserve">T:</w:t>
                  </w:r>
                  <w:r>
                    <w:t xml:space="preserve"> </w:t>
                  </w:r>
                  <w:r>
                    <w:t xml:space="preserve">(404)</w:t>
                  </w:r>
                  <w:r>
                    <w:t xml:space="preserve"> </w:t>
                  </w:r>
                  <w:r>
                    <w:t xml:space="preserve">893-⁠9400</w:t>
                  </w:r>
                </w:p>
                <w:p>
                  <w:pPr>
                    <w:spacing w:before="0" w:after="0" w:line="312" w:lineRule="exact"/>
                    <w:ind w:left="0" w:firstLine="0"/>
                    <w:jc w:val="left"/>
                  </w:pPr>
                  <w:r>
                    <w:t xml:space="preserve">shamp@shampsilk.com</w:t>
                  </w:r>
                </w:p>
                <w:p>
                  <w:pPr>
                    <w:spacing w:before="0" w:after="0" w:line="312" w:lineRule="exact"/>
                    <w:ind w:left="0" w:firstLine="0"/>
                    <w:jc w:val="left"/>
                  </w:pPr>
                  <w:r>
                    <w:t xml:space="preserve">silk@shampsilk.com</w:t>
                  </w:r>
                </w:p>
                <w:p>
                  <w:pPr>
                    <w:spacing w:before="0" w:after="0" w:line="312" w:lineRule="exact"/>
                    <w:ind w:left="0" w:firstLine="0"/>
                    <w:jc w:val="left"/>
                  </w:pPr>
                  <w:r>
                    <w:t xml:space="preserve">Counsel</w:t>
                  </w:r>
                  <w:r>
                    <w:t xml:space="preserve"> </w:t>
                  </w:r>
                  <w:r>
                    <w:t xml:space="preserve">for</w:t>
                  </w:r>
                  <w:r>
                    <w:t xml:space="preserve"> </w:t>
                  </w:r>
                  <w:r>
                    <w:t xml:space="preserve">Appellants</w:t>
                  </w:r>
                </w:p>
              </w:tc>
            </w:tr>
          </w:tbl>
          <w:p>
            <w:pPr>
              <w:spacing w:before="0" w:after="0" w:line="1" w:lineRule="exact"/>
            </w:pPr>
          </w:p>
        </w:tc>
      </w:tr>
    </w:tbl>
    <w:sectPr>
      <w:footerReference w:type="default" r:id="rIdXdPage"/>
      <w:pgSz w:w="12240" w:h="15840"/>
      <w:pgMar w:top="1440" w:right="1440" w:bottom="1440" w:left="1440" w:header="720" w:footer="69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For purposes of this appeal, there is no real need to distinguish between the Defendants, so the generic will be used, for readability’s sake.</w:t>
      </w:r>
    </w:p>
  </w:footnote>
  <w:footnote w:id="10">
    <w:p>
      <w:pPr>
        <w:pStyle w:val="FootnoteText"/>
      </w:pPr>
      <w:r>
        <w:rPr>
          <w:rStyle w:val="FootnoteReference"/>
        </w:rPr>
        <w:footnoteRef/>
      </w:r>
      <w:r>
        <w:t xml:space="preserve"> </w:t>
      </w:r>
      <w:r>
        <w:t xml:space="preserve">According to the evidence, including mortality tables, at the time of her unnecessary death, April Clark had more than 33 remaining years of life as a wife, mother and grandmother. V25 110-⁠13.</w:t>
      </w:r>
    </w:p>
  </w:footnote>
  <w:footnote w:id="11">
    <w:p>
      <w:pPr>
        <w:pStyle w:val="FootnoteText"/>
      </w:pPr>
      <w:r>
        <w:rPr>
          <w:rStyle w:val="FootnoteReference"/>
        </w:rPr>
        <w:footnoteRef/>
      </w:r>
      <w:r>
        <w:t xml:space="preserve"> </w:t>
      </w:r>
      <w:r>
        <w:t xml:space="preserve">The New Trial Motion ruling was ultimately reduced to a separate Order, in Clark’s favor. That ruling gives rise to a cross-appeal,</w:t>
      </w:r>
      <w:r>
        <w:t xml:space="preserve"> </w:t>
      </w:r>
      <w:r>
        <w:rPr>
          <w:i/>
          <w:iCs/>
        </w:rPr>
        <w:t xml:space="preserve">Thomas B. Leigh, M.D. et al. v. Charles Clark</w:t>
      </w:r>
      <w:r>
        <w:t xml:space="preserve">, Case No. S26X0350. The arguments raised and ruled upon as part of the New Trial Motion will be addressed in that proceeding, via separate briefing.</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1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12" w:lineRule="exact"/>
      <w:ind w:firstLine="0"/>
      <w:jc w:val="center"/>
      <w:outlineLvl w:val="0"/>
    </w:pPr>
    <w:rPr>
      <w:rFonts w:ascii="TeX Gyre Schola" w:hAnsi="TeX Gyre Schola" w:eastAsia="TeX Gyre Schola" w:cs="TeX Gyre Schola"/>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12" w:lineRule="exact"/>
      <w:ind w:firstLine="0"/>
      <w:outlineLvl w:val="1"/>
    </w:pPr>
    <w:rPr>
      <w:rFonts w:ascii="TeX Gyre Schola" w:hAnsi="TeX Gyre Schola" w:eastAsia="TeX Gyre Schola" w:cs="TeX Gyre Schola"/>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12" w:lineRule="exact"/>
      <w:ind w:firstLine="0"/>
      <w:outlineLvl w:val="2"/>
    </w:pPr>
    <w:rPr>
      <w:rFonts w:ascii="TeX Gyre Schola" w:hAnsi="TeX Gyre Schola" w:eastAsia="TeX Gyre Schola" w:cs="TeX Gyre Schola"/>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12" w:lineRule="exact"/>
      <w:ind w:firstLine="0"/>
      <w:outlineLvl w:val="3"/>
    </w:pPr>
    <w:rPr>
      <w:rFonts w:ascii="TeX Gyre Schola" w:hAnsi="TeX Gyre Schola" w:eastAsia="TeX Gyre Schola" w:cs="TeX Gyre Schola"/>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12" w:lineRule="exact"/>
      <w:ind w:firstLine="0"/>
      <w:outlineLvl w:val="4"/>
    </w:pPr>
    <w:rPr>
      <w:rFonts w:ascii="TeX Gyre Schola" w:hAnsi="TeX Gyre Schola" w:eastAsia="TeX Gyre Schola" w:cs="TeX Gyre Schola"/>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4" w:lineRule="exact"/>
      <w:ind w:left="720" w:hanging="720"/>
    </w:pPr>
  </w:style>
  <w:style w:type="paragraph" w:styleId="BlockText">
    <w:name w:val="Block Text"/>
    <w:basedOn w:val="BodyText"/>
    <w:next w:val="BodyText"/>
    <w:uiPriority w:val="9"/>
    <w:unhideWhenUsed/>
    <w:qFormat/>
    <w:pPr>
      <w:spacing w:before="280" w:after="280" w:line="312" w:lineRule="exact"/>
      <w:ind w:firstLine="0" w:left="720" w:right="720"/>
    </w:pPr>
  </w:style>
  <w:style w:type="paragraph" w:styleId="FootnoteText">
    <w:name w:val="Footnote Text"/>
    <w:basedOn w:val="Normal"/>
    <w:next w:val="FootnoteText"/>
    <w:uiPriority w:val="9"/>
    <w:unhideWhenUsed/>
    <w:qFormat/>
    <w:pPr>
      <w:keepLines/>
      <w:spacing w:before="15" w:after="132" w:line="264"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56" w:after="156" w:line="312" w:lineRule="exact"/>
      <w:ind w:left="720" w:right="720" w:firstLine="0"/>
    </w:pPr>
  </w:style>
  <w:style w:type="paragraph" w:customStyle="1" w:styleId="XdQuoteFirst">
    <w:name w:val="Xd Quote First"/>
    <w:basedOn w:val="Normal"/>
    <w:qFormat/>
    <w:pPr>
      <w:spacing w:before="156" w:after="156" w:line="312" w:lineRule="exact"/>
      <w:ind w:left="720" w:right="720" w:firstLine="0"/>
    </w:pPr>
  </w:style>
  <w:style w:type="paragraph" w:customStyle="1" w:styleId="XdQuoteLast">
    <w:name w:val="Xd Quote Last"/>
    <w:basedOn w:val="Normal"/>
    <w:qFormat/>
    <w:pPr>
      <w:spacing w:before="156" w:after="156" w:line="312" w:lineRule="exact"/>
      <w:ind w:left="720" w:right="720" w:firstLine="0"/>
    </w:pPr>
  </w:style>
  <w:style w:type="paragraph" w:customStyle="1" w:styleId="XdQuoteOnly">
    <w:name w:val="Xd Quote Only"/>
    <w:basedOn w:val="Normal"/>
    <w:qFormat/>
    <w:pPr>
      <w:spacing w:before="156" w:after="156" w:line="312" w:lineRule="exact"/>
      <w:ind w:left="720" w:right="720" w:firstLine="0"/>
    </w:pPr>
  </w:style>
  <w:style w:type="paragraph" w:customStyle="1" w:styleId="XdTail">
    <w:name w:val="Xd Tail"/>
    <w:basedOn w:val="Normal"/>
    <w:qFormat/>
    <w:pPr>
      <w:spacing w:before="0" w:after="0" w:line="312" w:lineRule="exact"/>
      <w:ind w:firstLine="0"/>
    </w:pPr>
  </w:style>
  <w:style w:type="paragraph" w:customStyle="1" w:styleId="XdList1">
    <w:name w:val="XdList 1"/>
    <w:basedOn w:val="Normal"/>
    <w:qFormat/>
    <w:pPr>
      <w:spacing w:before="0" w:after="0" w:line="624" w:lineRule="exact"/>
      <w:ind w:left="720" w:hanging="720"/>
    </w:pPr>
  </w:style>
  <w:style w:type="paragraph" w:customStyle="1" w:styleId="XdList2">
    <w:name w:val="XdList 2"/>
    <w:basedOn w:val="Normal"/>
    <w:qFormat/>
    <w:pPr>
      <w:spacing w:before="0" w:after="0" w:line="624" w:lineRule="exact"/>
      <w:ind w:left="1440" w:hanging="720"/>
    </w:pPr>
  </w:style>
  <w:style w:type="paragraph" w:customStyle="1" w:styleId="XdList3">
    <w:name w:val="XdList 3"/>
    <w:basedOn w:val="Normal"/>
    <w:qFormat/>
    <w:pPr>
      <w:spacing w:before="0" w:after="0" w:line="624" w:lineRule="exact"/>
      <w:ind w:left="2160" w:hanging="720"/>
    </w:pPr>
  </w:style>
  <w:style w:type="paragraph" w:customStyle="1" w:styleId="XdTailList1">
    <w:name w:val="XdTailList 1"/>
    <w:basedOn w:val="Normal"/>
    <w:qFormat/>
    <w:pPr>
      <w:spacing w:before="0" w:after="0" w:line="312" w:lineRule="exact"/>
      <w:ind w:left="720" w:hanging="720"/>
    </w:pPr>
  </w:style>
  <w:style w:type="paragraph" w:customStyle="1" w:styleId="XdTailList2">
    <w:name w:val="XdTailList 2"/>
    <w:basedOn w:val="Normal"/>
    <w:qFormat/>
    <w:pPr>
      <w:spacing w:before="0" w:after="0" w:line="312" w:lineRule="exact"/>
      <w:ind w:left="1440" w:hanging="720"/>
    </w:pPr>
  </w:style>
  <w:style w:type="paragraph" w:customStyle="1" w:styleId="XdTailList3">
    <w:name w:val="XdTailList 3"/>
    <w:basedOn w:val="Normal"/>
    <w:qFormat/>
    <w:pPr>
      <w:spacing w:before="0" w:after="0" w:line="312" w:lineRule="exact"/>
      <w:ind w:left="2160" w:hanging="720"/>
    </w:pPr>
  </w:style>
  <w:style w:type="paragraph" w:customStyle="1" w:styleId="XdQuoteList1">
    <w:name w:val="Xd Quote List 1"/>
    <w:basedOn w:val="Normal"/>
    <w:qFormat/>
    <w:pPr>
      <w:spacing w:before="0" w:after="0" w:line="312" w:lineRule="exact"/>
      <w:ind w:left="1440" w:right="720" w:hanging="720"/>
    </w:pPr>
  </w:style>
  <w:style w:type="paragraph" w:customStyle="1" w:styleId="XdQuoteList2">
    <w:name w:val="Xd Quote List 2"/>
    <w:basedOn w:val="Normal"/>
    <w:qFormat/>
    <w:pPr>
      <w:spacing w:before="0" w:after="0" w:line="312" w:lineRule="exact"/>
      <w:ind w:left="2160" w:right="720" w:hanging="720"/>
    </w:pPr>
  </w:style>
  <w:style w:type="paragraph" w:customStyle="1" w:styleId="XdQuoteList3">
    <w:name w:val="Xd Quote List 3"/>
    <w:basedOn w:val="Normal"/>
    <w:qFormat/>
    <w:pPr>
      <w:spacing w:before="0" w:after="0" w:line="312"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