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July</w:t>
      </w:r>
      <w:r>
        <w:t xml:space="preserve"> </w:t>
      </w:r>
      <w:r>
        <w:t xml:space="preserve">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413-⁠686-⁠9007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ARGUMENT</w:t>
      </w:r>
      <w:r>
        <w:t xml:space="preserve">   </w:t>
      </w:r>
      <w:r>
        <w:tab/>
      </w:r>
      <w:r>
        <w:t xml:space="preserve">5</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on</w:t>
      </w:r>
      <w:r>
        <w:t xml:space="preserve"> </w:t>
      </w:r>
      <w:r>
        <w:t xml:space="preserve">whether</w:t>
      </w:r>
      <w:r>
        <w:t xml:space="preserve"> </w:t>
      </w:r>
      <w:r>
        <w:t xml:space="preserve">there</w:t>
      </w:r>
      <w:r>
        <w:t xml:space="preserve"> </w:t>
      </w:r>
      <w:r>
        <w:t xml:space="preserve">is</w:t>
      </w:r>
      <w:r>
        <w:t xml:space="preserve"> </w:t>
      </w:r>
      <w:r>
        <w:t xml:space="preserve">an</w:t>
      </w:r>
      <w:r>
        <w:t xml:space="preserve"> </w:t>
      </w:r>
      <w:r>
        <w:t xml:space="preserve">amount</w:t>
      </w:r>
      <w:r>
        <w:t xml:space="preserve"> </w:t>
      </w:r>
      <w:r>
        <w:t xml:space="preserve">due.</w:t>
      </w:r>
      <w:r>
        <w:t xml:space="preserve">   </w:t>
      </w:r>
      <w:r>
        <w:tab/>
      </w:r>
      <w:r>
        <w:t xml:space="preserve">5</w:t>
      </w:r>
    </w:p>
    <w:p>
      <w:pPr>
        <w:keepLines/>
        <w:tabs>
          <w:tab w:val="right" w:leader="dot" w:pos="9360"/>
        </w:tabs>
        <w:spacing w:before="252" w:after="0" w:line="322" w:lineRule="exact"/>
        <w:ind w:left="1152" w:right="720" w:hanging="720"/>
      </w:pPr>
      <w:r>
        <w:t xml:space="preserve">B.</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There</w:t>
      </w:r>
      <w:r>
        <w:t xml:space="preserve"> </w:t>
      </w:r>
      <w:r>
        <w:t xml:space="preserve">need</w:t>
      </w:r>
      <w:r>
        <w:t xml:space="preserve"> </w:t>
      </w:r>
      <w:r>
        <w:t xml:space="preserve">not</w:t>
      </w:r>
      <w:r>
        <w:t xml:space="preserve"> </w:t>
      </w:r>
      <w:r>
        <w:t xml:space="preserve">be</w:t>
      </w:r>
      <w:r>
        <w:t xml:space="preserve"> </w:t>
      </w:r>
      <w:r>
        <w:t xml:space="preserve">any</w:t>
      </w:r>
      <w:r>
        <w:t xml:space="preserve"> </w:t>
      </w:r>
      <w:r>
        <w:t xml:space="preserve">award</w:t>
      </w:r>
      <w:r>
        <w:t xml:space="preserve"> </w:t>
      </w:r>
      <w:r>
        <w:t xml:space="preserve">of</w:t>
      </w:r>
      <w:r>
        <w:t xml:space="preserve"> </w:t>
      </w:r>
      <w:r>
        <w:t xml:space="preserve">damages</w:t>
      </w:r>
      <w:r>
        <w:t xml:space="preserve"> </w:t>
      </w:r>
      <w:r>
        <w:t xml:space="preserve">for</w:t>
      </w:r>
      <w:r>
        <w:t xml:space="preserve"> </w:t>
      </w:r>
      <w:r>
        <w:t xml:space="preserve">a</w:t>
      </w:r>
      <w:r>
        <w:t xml:space="preserve"> </w:t>
      </w:r>
      <w:r>
        <w:t xml:space="preserve">tenant</w:t>
      </w:r>
      <w:r>
        <w:t xml:space="preserve"> </w:t>
      </w:r>
      <w:r>
        <w:t xml:space="preserve">to</w:t>
      </w:r>
      <w:r>
        <w:t xml:space="preserve"> </w:t>
      </w:r>
      <w:r>
        <w:t xml:space="preserve">successfully</w:t>
      </w:r>
      <w:r>
        <w:t xml:space="preserve"> </w:t>
      </w:r>
      <w:r>
        <w:t xml:space="preserve">trigger</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ab/>
      </w:r>
      <w:r>
        <w:t xml:space="preserve">7</w:t>
      </w:r>
    </w:p>
    <w:p>
      <w:pPr>
        <w:keepLines/>
        <w:tabs>
          <w:tab w:val="right" w:leader="dot" w:pos="9360"/>
        </w:tabs>
        <w:spacing w:before="252" w:after="0" w:line="322" w:lineRule="exact"/>
        <w:ind w:left="1152" w:right="720" w:hanging="720"/>
      </w:pPr>
      <w:r>
        <w:t xml:space="preserve">C.</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§8A</w:t>
      </w:r>
      <w:r>
        <w:t xml:space="preserve"> </w:t>
      </w:r>
      <w:r>
        <w:t xml:space="preserve">does</w:t>
      </w:r>
      <w:r>
        <w:t xml:space="preserve"> </w:t>
      </w:r>
      <w:r>
        <w:t xml:space="preserve">not</w:t>
      </w:r>
      <w:r>
        <w:t xml:space="preserve"> </w:t>
      </w:r>
      <w:r>
        <w:t xml:space="preserve">discourage</w:t>
      </w:r>
      <w:r>
        <w:t xml:space="preserve"> </w:t>
      </w:r>
      <w:r>
        <w:t xml:space="preserve">landlords</w:t>
      </w:r>
      <w:r>
        <w:t xml:space="preserve"> </w:t>
      </w:r>
      <w:r>
        <w:t xml:space="preserve">from</w:t>
      </w:r>
      <w:r>
        <w:t xml:space="preserve"> </w:t>
      </w:r>
      <w:r>
        <w:t xml:space="preserve">promptly</w:t>
      </w:r>
      <w:r>
        <w:t xml:space="preserve"> </w:t>
      </w:r>
      <w:r>
        <w:t xml:space="preserve">correcting</w:t>
      </w:r>
      <w:r>
        <w:t xml:space="preserve"> </w:t>
      </w:r>
      <w:r>
        <w:t xml:space="preserve">violations</w:t>
      </w:r>
      <w:r>
        <w:t xml:space="preserve"> </w:t>
      </w:r>
      <w:r>
        <w:t xml:space="preserve">of</w:t>
      </w:r>
      <w:r>
        <w:t xml:space="preserve"> </w:t>
      </w:r>
      <w:r>
        <w:t xml:space="preserve">law.</w:t>
      </w:r>
      <w:r>
        <w:t xml:space="preserve">   </w:t>
      </w:r>
      <w:r>
        <w:tab/>
      </w:r>
      <w:r>
        <w:t xml:space="preserve">10</w:t>
      </w:r>
    </w:p>
    <w:p>
      <w:pPr>
        <w:keepLines/>
        <w:tabs>
          <w:tab w:val="right" w:leader="dot" w:pos="9360"/>
        </w:tabs>
        <w:spacing w:before="252" w:after="0" w:line="322" w:lineRule="exact"/>
        <w:ind w:left="1152" w:right="720" w:hanging="720"/>
      </w:pPr>
      <w:r>
        <w:t xml:space="preserve">D.</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The</w:t>
      </w:r>
      <w:r>
        <w:t xml:space="preserve"> </w:t>
      </w:r>
      <w:r>
        <w:t xml:space="preserve">security</w:t>
      </w:r>
      <w:r>
        <w:t xml:space="preserve"> </w:t>
      </w:r>
      <w:r>
        <w:t xml:space="preserve">deposit</w:t>
      </w:r>
      <w:r>
        <w:t xml:space="preserve"> </w:t>
      </w:r>
      <w:r>
        <w:t xml:space="preserve">statute</w:t>
      </w:r>
      <w:r>
        <w:t xml:space="preserve"> </w:t>
      </w:r>
      <w:r>
        <w:t xml:space="preserve">is</w:t>
      </w:r>
      <w:r>
        <w:t xml:space="preserve"> </w:t>
      </w:r>
      <w:r>
        <w:t xml:space="preserve">distinguishable</w:t>
      </w:r>
      <w:r>
        <w:t xml:space="preserve"> </w:t>
      </w:r>
      <w:r>
        <w:t xml:space="preserve">from</w:t>
      </w:r>
      <w:r>
        <w:t xml:space="preserve"> </w:t>
      </w:r>
      <w:r>
        <w:t xml:space="preserve">the</w:t>
      </w:r>
      <w:r>
        <w:t xml:space="preserve"> </w:t>
      </w:r>
      <w:r>
        <w:t xml:space="preserve">instant</w:t>
      </w:r>
      <w:r>
        <w:t xml:space="preserve"> </w:t>
      </w:r>
      <w:r>
        <w:t xml:space="preserve">case.</w:t>
      </w:r>
      <w:r>
        <w:t xml:space="preserve">   </w:t>
      </w:r>
      <w:r>
        <w:tab/>
      </w:r>
      <w:r>
        <w:t xml:space="preserve">11</w:t>
      </w:r>
    </w:p>
    <w:p>
      <w:pPr>
        <w:keepLines/>
        <w:tabs>
          <w:tab w:val="right" w:leader="dot" w:pos="9360"/>
        </w:tabs>
        <w:spacing w:before="252" w:after="0" w:line="322" w:lineRule="exact"/>
        <w:ind w:left="1152" w:right="720" w:hanging="720"/>
      </w:pPr>
      <w:r>
        <w:t xml:space="preserve">E.</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Ms.</w:t>
      </w:r>
      <w:r>
        <w:t xml:space="preserve"> </w:t>
      </w:r>
      <w:r>
        <w:t xml:space="preserve">Charland</w:t>
      </w:r>
      <w:r>
        <w:t xml:space="preserve"> </w:t>
      </w:r>
      <w:r>
        <w:t xml:space="preserve">never</w:t>
      </w:r>
      <w:r>
        <w:t xml:space="preserve"> </w:t>
      </w:r>
      <w:r>
        <w:t xml:space="preserve">waived</w:t>
      </w:r>
      <w:r>
        <w:t xml:space="preserve"> </w:t>
      </w:r>
      <w:r>
        <w:t xml:space="preserve">or</w:t>
      </w:r>
      <w:r>
        <w:t xml:space="preserve"> </w:t>
      </w:r>
      <w:r>
        <w:t xml:space="preserve">relinquished</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to</w:t>
      </w:r>
      <w:r>
        <w:t xml:space="preserve"> </w:t>
      </w:r>
      <w:r>
        <w:t xml:space="preserve">possession</w:t>
      </w:r>
      <w:r>
        <w:t xml:space="preserve"> </w:t>
      </w:r>
      <w:r>
        <w:t xml:space="preserve">under</w:t>
      </w:r>
      <w:r>
        <w:t xml:space="preserve"> </w:t>
      </w:r>
      <w:r>
        <w:t xml:space="preserve">§8A</w:t>
      </w:r>
      <w:r>
        <w:t xml:space="preserve"> </w:t>
      </w:r>
      <w:r>
        <w:t xml:space="preserve">upon</w:t>
      </w:r>
      <w:r>
        <w:t xml:space="preserve"> </w:t>
      </w:r>
      <w:r>
        <w:t xml:space="preserve">the</w:t>
      </w:r>
      <w:r>
        <w:t xml:space="preserve"> </w:t>
      </w:r>
      <w:r>
        <w:t xml:space="preserve">Landlord’s</w:t>
      </w:r>
      <w:r>
        <w:t xml:space="preserve"> </w:t>
      </w:r>
      <w:r>
        <w:t xml:space="preserve">unilateral</w:t>
      </w:r>
      <w:r>
        <w:t xml:space="preserve"> </w:t>
      </w:r>
      <w:r>
        <w:t xml:space="preserve">tender</w:t>
      </w:r>
      <w:r>
        <w:t xml:space="preserve"> </w:t>
      </w:r>
      <w:r>
        <w:t xml:space="preserve">of</w:t>
      </w:r>
      <w:r>
        <w:t xml:space="preserve"> </w:t>
      </w:r>
      <w:r>
        <w:t xml:space="preserve">payment.</w:t>
      </w:r>
      <w:r>
        <w:t xml:space="preserve">   </w:t>
      </w:r>
      <w:r>
        <w:tab/>
      </w:r>
      <w:r>
        <w:t xml:space="preserve">13</w:t>
      </w:r>
    </w:p>
    <w:p>
      <w:pPr>
        <w:keepLines/>
        <w:tabs>
          <w:tab w:val="right" w:leader="dot" w:pos="9360"/>
        </w:tabs>
        <w:spacing w:before="252" w:after="0" w:line="322" w:lineRule="exact"/>
        <w:ind w:left="720" w:right="720" w:hanging="720"/>
      </w:pPr>
      <w:r>
        <w:t xml:space="preserve">II.</w:t>
      </w:r>
      <w:r>
        <w:t xml:space="preserve"> </w:t>
      </w:r>
      <w:r>
        <w:t xml:space="preserve">CONCLUSION</w:t>
      </w:r>
      <w:r>
        <w:t xml:space="preserve">   </w:t>
      </w:r>
      <w:r>
        <w:tab/>
      </w:r>
      <w:r>
        <w:t xml:space="preserve">15</w:t>
      </w:r>
    </w:p>
    <w:p>
      <w:pPr>
        <w:keepLines/>
        <w:tabs>
          <w:tab w:val="right" w:leader="dot" w:pos="9360"/>
        </w:tabs>
        <w:spacing w:before="252" w:after="0" w:line="322" w:lineRule="exact"/>
        <w:ind w:left="720" w:right="720" w:hanging="720"/>
      </w:pPr>
      <w:r>
        <w:t xml:space="preserve">ADDENDUM</w:t>
      </w:r>
      <w:r>
        <w:t xml:space="preserve">   </w:t>
      </w:r>
      <w:r>
        <w:tab/>
      </w:r>
      <w:r>
        <w:t xml:space="preserve">16</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16</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20-SP-⁠1676</w:t>
      </w:r>
      <w:r>
        <w:t xml:space="preserve"> </w:t>
      </w:r>
      <w:r>
        <w:t xml:space="preserve">(August</w:t>
      </w:r>
      <w:r>
        <w:t xml:space="preserve"> </w:t>
      </w:r>
      <w:r>
        <w:t xml:space="preserve">30,</w:t>
      </w:r>
      <w:r>
        <w:t xml:space="preserve"> </w:t>
      </w:r>
      <w:r>
        <w:t xml:space="preserve">2021</w:t>
      </w:r>
      <w:r>
        <w:t xml:space="preserve"> </w:t>
      </w:r>
      <w:r>
        <w:t xml:space="preserve">Judgment)</w:t>
      </w:r>
      <w:r>
        <w:t xml:space="preserve">   </w:t>
      </w:r>
      <w:r>
        <w:tab/>
      </w:r>
      <w:r>
        <w:t xml:space="preserve">19</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29</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34</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17-SP-⁠181,</w:t>
      </w:r>
      <w:r>
        <w:t xml:space="preserve"> </w:t>
      </w:r>
      <w:r>
        <w:t xml:space="preserve">March</w:t>
      </w:r>
      <w:r>
        <w:t xml:space="preserve"> </w:t>
      </w:r>
      <w:r>
        <w:t xml:space="preserve">1,</w:t>
      </w:r>
      <w:r>
        <w:t xml:space="preserve"> </w:t>
      </w:r>
      <w:r>
        <w:t xml:space="preserve">2017</w:t>
      </w:r>
      <w:r>
        <w:t xml:space="preserve">   </w:t>
      </w:r>
      <w:r>
        <w:tab/>
      </w:r>
      <w:r>
        <w:t xml:space="preserve">47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51</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9</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14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9</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w:t>
      </w:r>
    </w:p>
    <w:p>
      <w:pPr>
        <w:keepLines/>
        <w:tabs>
          <w:tab w:val="right" w:leader="dot" w:pos="9360"/>
        </w:tabs>
        <w:spacing w:before="252" w:after="0" w:line="322" w:lineRule="exact"/>
        <w:ind w:left="420" w:right="196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11, 12, 13, 16, 47</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8</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9</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8</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14</w:t>
      </w:r>
    </w:p>
    <w:p>
      <w:pPr>
        <w:keepLines/>
        <w:tabs>
          <w:tab w:val="right" w:leader="dot" w:pos="9360"/>
        </w:tabs>
        <w:spacing w:before="252" w:after="0" w:line="322" w:lineRule="exact"/>
        <w:ind w:left="420" w:right="1120" w:hanging="420"/>
      </w:pPr>
      <w:r>
        <w:rPr>
          <w:i/>
          <w:iCs/>
        </w:rPr>
        <w:t xml:space="preserve">Kattar</w:t>
      </w:r>
      <w:r>
        <w:rPr>
          <w:i/>
          <w:iCs/>
        </w:rPr>
        <w:t xml:space="preserve"> </w:t>
      </w:r>
      <w:r>
        <w:rPr>
          <w:i/>
          <w:iCs/>
        </w:rPr>
        <w:t xml:space="preserve">v.</w:t>
      </w:r>
      <w:r>
        <w:rPr>
          <w:i/>
          <w:iCs/>
        </w:rPr>
        <w:t xml:space="preserve"> </w:t>
      </w:r>
      <w:r>
        <w:rPr>
          <w:i/>
          <w:iCs/>
        </w:rPr>
        <w:t xml:space="preserve">Demoulas</w:t>
      </w:r>
      <w:r>
        <w:t xml:space="preserve">,</w:t>
      </w:r>
      <w:r>
        <w:t xml:space="preserve"> </w:t>
      </w:r>
      <w:r>
        <w:t xml:space="preserve">433</w:t>
      </w:r>
      <w:r>
        <w:t xml:space="preserve"> </w:t>
      </w:r>
      <w:r>
        <w:t xml:space="preserve">Mass.</w:t>
      </w:r>
      <w:r>
        <w:t xml:space="preserve"> </w:t>
      </w:r>
      <w:r>
        <w:t xml:space="preserve">1</w:t>
      </w:r>
      <w:r>
        <w:t xml:space="preserve"> </w:t>
      </w:r>
      <w:r>
        <w:t xml:space="preserve">(2000)</w:t>
      </w:r>
      <w:r>
        <w:t xml:space="preserve">   </w:t>
      </w:r>
      <w:r>
        <w:tab/>
      </w:r>
      <w:r>
        <w:t xml:space="preserve">9</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11</w:t>
      </w:r>
    </w:p>
    <w:p>
      <w:pPr>
        <w:keepLines/>
        <w:tabs>
          <w:tab w:val="right" w:leader="dot" w:pos="9360"/>
        </w:tabs>
        <w:spacing w:before="252" w:after="0" w:line="322" w:lineRule="exact"/>
        <w:ind w:left="420" w:right="112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10, 11</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14</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08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8, 11, 12, 41, 44, 45, 48, 49</w:t>
      </w:r>
    </w:p>
    <w:p>
      <w:pPr>
        <w:keepLines/>
        <w:tabs>
          <w:tab w:val="right" w:leader="dot" w:pos="9360"/>
        </w:tabs>
        <w:spacing w:before="252" w:after="0" w:line="322" w:lineRule="exact"/>
        <w:ind w:left="420" w:right="154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13, 15, 16, 34</w:t>
      </w:r>
    </w:p>
    <w:p>
      <w:pPr>
        <w:keepLines/>
        <w:tabs>
          <w:tab w:val="right" w:leader="dot" w:pos="9360"/>
        </w:tabs>
        <w:spacing w:before="252" w:after="0" w:line="322" w:lineRule="exact"/>
        <w:ind w:left="420" w:right="462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5, 6, 7, 8, 9, 10, 11, 12, 13, 15, 16, 29, 49</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ARGUMENT</w:t>
      </w:r>
    </w:p>
    <w:p>
      <w:pPr>
        <w:pStyle w:val="BodyText"/>
      </w:pPr>
      <w:r>
        <w:t xml:space="preserve">Pursuant to Mass. R.A.P. 16(c), Laural Charland submits this reply brief to correct the inaccurate argument made in Landlord Cassandra Ferreira’s appellee brief. Each of the Landlord’s argument is wrong for the reasons explained below.</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§8A’s</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is</w:t>
      </w:r>
      <w:r>
        <w:rPr>
          <w:b/>
          <w:bCs/>
        </w:rPr>
        <w:t xml:space="preserve"> </w:t>
      </w:r>
      <w:r>
        <w:rPr>
          <w:b/>
          <w:bCs/>
        </w:rPr>
        <w:t xml:space="preserve">triggered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not</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amount</w:t>
      </w:r>
      <w:r>
        <w:rPr>
          <w:b/>
          <w:bCs/>
        </w:rPr>
        <w:t xml:space="preserve"> </w:t>
      </w:r>
      <w:r>
        <w:rPr>
          <w:b/>
          <w:bCs/>
        </w:rPr>
        <w:t xml:space="preserve">due.</w:t>
      </w:r>
    </w:p>
    <w:p>
      <w:pPr>
        <w:pStyle w:val="BodyText"/>
      </w:pPr>
      <w:r>
        <w:t xml:space="preserve">The Landlord argues that §8A</w:t>
      </w:r>
      <w:r>
        <w:t xml:space="preserve"> </w:t>
      </w:r>
      <w:r>
        <w:t xml:space="preserve">is only triggered where the underlying claim produces “some amount, greater than zero, presently due and owing to the tenant by reason of a counterclaim permitted under the statute.” Appellee’s Brief, at 15. The Landlord is wrong.</w:t>
      </w:r>
    </w:p>
    <w:p>
      <w:pPr>
        <w:pStyle w:val="BodyText"/>
      </w:pPr>
      <w:r>
        <w:t xml:space="preserve">As a preliminary matter, the Landlord’s restatement of §8A,</w:t>
      </w:r>
      <w:r>
        <w:t xml:space="preserve"> </w:t>
      </w:r>
      <w:r>
        <w:t xml:space="preserve">quoted above, demonstrates the error of her position. Nowhere in the statute does it state that there must be an amount due, or an amount “greater than zero,” or that the amount must be “presently due and owing,” or that the amount must be due by reason of a “counterclaim” alone. The Landlord’s position is based on an inaccurate reading of the statute’s plain language. Nor does the Landlord cite any cases in support of this reading.</w:t>
      </w:r>
    </w:p>
    <w:p>
      <w:pPr>
        <w:pStyle w:val="BodyText"/>
      </w:pPr>
      <w:r>
        <w:t xml:space="preserve">§8A</w:t>
      </w:r>
      <w:r>
        <w:t xml:space="preserve"> </w:t>
      </w:r>
      <w:r>
        <w:t xml:space="preserve">provides the following: “There shall be no recovery of possession under this chapter if the amount found by the court to be due the landlord equals or is less than the amount found to be due the tenant or occupant by reason of any counterclaim or defense under this section.” G.L. c.239, §8A,</w:t>
      </w:r>
      <w:r>
        <w:t xml:space="preserve"> </w:t>
      </w:r>
      <w:r>
        <w:t xml:space="preserve">fifth par (emphasis added). “Equals” means net zero. In other words, no money is due. Again, 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Furthermore, the Landlord’s narrow reading of §8A</w:t>
      </w:r>
      <w:r>
        <w:t xml:space="preserve"> </w:t>
      </w:r>
      <w:r>
        <w:t xml:space="preserve">does not make any logical sense. A tenant cannot ever owe the landlord damages by reason of a tenant’s claim or defense, and yet §8A</w:t>
      </w:r>
      <w:r>
        <w:t xml:space="preserve"> </w:t>
      </w:r>
      <w:r>
        <w:t xml:space="preserve">provides that where a tenant does owe the landlord, the tenant must pay the amount due in order to win possession. Similarly, Ms. Charland’s reading of §8A</w:t>
      </w:r>
      <w:r>
        <w:t xml:space="preserve"> </w:t>
      </w:r>
      <w:r>
        <w:t xml:space="preserve">does not permit, as the Landlord suggests, that a tenant can lose the underlying defense or claim, and still win possession under §8A.</w:t>
      </w:r>
      <w:r>
        <w:t xml:space="preserve"> </w:t>
      </w:r>
      <w:r>
        <w:t xml:space="preserve">See Appellee’s Brief, at 16-⁠17. §8A</w:t>
      </w:r>
      <w:r>
        <w:t xml:space="preserve"> </w:t>
      </w:r>
      <w:r>
        <w:t xml:space="preserve">requires that a tenant first demonstrate the underlying defense or counterclaim before moving on to an accounting of monies due, if any.</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There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any</w:t>
      </w:r>
      <w:r>
        <w:rPr>
          <w:b/>
          <w:bCs/>
        </w:rPr>
        <w:t xml:space="preserve"> </w:t>
      </w:r>
      <w:r>
        <w:rPr>
          <w:b/>
          <w:bCs/>
        </w:rPr>
        <w:t xml:space="preserve">award</w:t>
      </w:r>
      <w:r>
        <w:rPr>
          <w:b/>
          <w:bCs/>
        </w:rPr>
        <w:t xml:space="preserve"> </w:t>
      </w:r>
      <w:r>
        <w:rPr>
          <w:b/>
          <w:bCs/>
        </w:rPr>
        <w:t xml:space="preserve">of</w:t>
      </w:r>
      <w:r>
        <w:rPr>
          <w:b/>
          <w:bCs/>
        </w:rPr>
        <w:t xml:space="preserve"> </w:t>
      </w:r>
      <w:r>
        <w:rPr>
          <w:b/>
          <w:bCs/>
        </w:rPr>
        <w:t xml:space="preserve">damages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tenant</w:t>
      </w:r>
      <w:r>
        <w:rPr>
          <w:b/>
          <w:bCs/>
        </w:rPr>
        <w:t xml:space="preserve"> </w:t>
      </w:r>
      <w:r>
        <w:rPr>
          <w:b/>
          <w:bCs/>
        </w:rPr>
        <w:t xml:space="preserve">to</w:t>
      </w:r>
      <w:r>
        <w:rPr>
          <w:b/>
          <w:bCs/>
        </w:rPr>
        <w:t xml:space="preserve"> </w:t>
      </w:r>
      <w:r>
        <w:rPr>
          <w:b/>
          <w:bCs/>
        </w:rPr>
        <w:t xml:space="preserve">successfully</w:t>
      </w:r>
      <w:r>
        <w:rPr>
          <w:b/>
          <w:bCs/>
        </w:rPr>
        <w:t xml:space="preserve"> </w:t>
      </w:r>
      <w:r>
        <w:rPr>
          <w:b/>
          <w:bCs/>
        </w:rPr>
        <w:t xml:space="preserve">trigger</w:t>
      </w:r>
      <w:r>
        <w:rPr>
          <w:b/>
          <w:bCs/>
        </w:rPr>
        <w:t xml:space="preserve"> </w:t>
      </w:r>
      <w:r>
        <w:rPr>
          <w:b/>
          <w:bCs/>
        </w:rPr>
        <w:t xml:space="preserve">§8A’s</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p>
    <w:p>
      <w:pPr>
        <w:pStyle w:val="BodyText"/>
      </w:pPr>
      <w:r>
        <w:t xml:space="preserve">The Landlord suggests that a tenant must prove damages in order to trigger protection under §8A.</w:t>
      </w:r>
      <w:r>
        <w:t xml:space="preserve"> </w:t>
      </w:r>
      <w:r>
        <w:t xml:space="preserve">Appellee’s Brief, at 17. The Landlord is wrong.</w:t>
      </w:r>
    </w:p>
    <w:p>
      <w:pPr>
        <w:pStyle w:val="BodyText"/>
      </w:pPr>
      <w:r>
        <w:t xml:space="preserve">An award of damages is not necessary to trigger §8A’s</w:t>
      </w:r>
      <w:r>
        <w:t xml:space="preserve"> </w:t>
      </w:r>
      <w:r>
        <w:t xml:space="preserve">defense to possession. The plain language of §8A</w:t>
      </w:r>
      <w:r>
        <w:t xml:space="preserve"> </w:t>
      </w:r>
      <w:r>
        <w:t xml:space="preserve">clearly provides that “the tenant or occupant shall be entitled to raise, by defense or counterclaim, any claim against the plaintiff relating to or arising out of such property, rental, tenancy, or occupancy…” G.L. c.239, §8A,</w:t>
      </w:r>
      <w:r>
        <w:t xml:space="preserve"> </w:t>
      </w:r>
      <w:r>
        <w:t xml:space="preserve">first par (emphasis added). A defense, by definition, does not provide a party with potential damages. Yet, §8A,</w:t>
      </w:r>
      <w:r>
        <w:t xml:space="preserve"> </w:t>
      </w:r>
      <w:r>
        <w:t xml:space="preserve">by its own terms, can be triggered by a defense. Therefore, §8A</w:t>
      </w:r>
      <w:r>
        <w:t xml:space="preserve"> </w:t>
      </w:r>
      <w:r>
        <w:t xml:space="preserve">does not require any amount due in order to award possession to a tenant.</w:t>
      </w:r>
    </w:p>
    <w:p>
      <w:pPr>
        <w:pStyle w:val="BodyText"/>
      </w:pPr>
      <w:r>
        <w:t xml:space="preserve">Again, a tenant does not need damages to trigger §8A’s</w:t>
      </w:r>
      <w:r>
        <w:t xml:space="preserve"> </w:t>
      </w:r>
      <w:r>
        <w:t xml:space="preserve">defense to possession. This is logically evident from the mechanism plainly laid out in the statute itself: If an amount is due the tenant or the amount is equal, the tenant wins possession automatically, and if the tenant owes the landlord any money, the tenant has an opportunity to pay that money to secure possession. G.L. c. 239, §8A,</w:t>
      </w:r>
      <w:r>
        <w:t xml:space="preserve"> </w:t>
      </w:r>
      <w:r>
        <w:t xml:space="preserve">fifth par. Moreover, §8A</w:t>
      </w:r>
      <w:r>
        <w:t xml:space="preserve"> </w:t>
      </w:r>
      <w:r>
        <w:t xml:space="preserve">expressly provides that any defense can be converted into a defense to possession, but defenses do not provide a party with potential damages or reimbursement.</w:t>
      </w:r>
      <w:r>
        <w:t xml:space="preserve"> </w:t>
      </w:r>
      <w:r>
        <w:rPr>
          <w:i/>
          <w:iCs/>
        </w:rPr>
        <w:t xml:space="preserve">Id.</w:t>
      </w:r>
      <w:r>
        <w:t xml:space="preserve"> </w:t>
      </w:r>
      <w:r>
        <w:t xml:space="preserve">at first par. Thus, §8A</w:t>
      </w:r>
      <w:r>
        <w:t xml:space="preserve"> </w:t>
      </w:r>
      <w:r>
        <w:t xml:space="preserve">nonetheless provides protection even where there are no damages.</w:t>
      </w:r>
    </w:p>
    <w:p>
      <w:pPr>
        <w:pStyle w:val="BodyText"/>
      </w:pPr>
      <w:r>
        <w:t xml:space="preserve">Moreover, to clarify a few underlying facts, the Landlord never contested violation of the water statute. R.A. at 33-⁠42. The parties both agreed that money was tendered for reimbursement and damages due to violation of the water statute. R.A. at 37-⁠39. However, Ms. Charland, through counsel, maintained that her claim and defense under §8A</w:t>
      </w:r>
      <w:r>
        <w:t xml:space="preserve"> </w:t>
      </w:r>
      <w:r>
        <w:t xml:space="preserve">were not waived by unilateral payment. R.A. at 36-⁠37, 39. Finally, Landlord’s counsel conceded that Ms. Charland did not affirmatively indicate intention to relinquish her claim and defense under §8A.</w:t>
      </w:r>
      <w:r>
        <w:t xml:space="preserve"> </w:t>
      </w:r>
      <w:r>
        <w:t xml:space="preserve">R.A. at 41.</w:t>
      </w:r>
    </w:p>
    <w:p>
      <w:pPr>
        <w:pStyle w:val="BodyText"/>
      </w:pPr>
      <w:r>
        <w:t xml:space="preserve">Second, while the Landlord argues that</w:t>
      </w:r>
      <w:r>
        <w:t xml:space="preserve"> </w:t>
      </w:r>
      <w:r>
        <w:rPr>
          <w:i/>
          <w:iCs/>
        </w:rPr>
        <w:t xml:space="preserve">Henry v. Bozzuto</w:t>
      </w:r>
      <w:r>
        <w:rPr>
          <w:i/>
          <w:iCs/>
        </w:rPr>
        <w:t xml:space="preserve"> </w:t>
      </w:r>
      <w:r>
        <w:rPr>
          <w:i/>
          <w:iCs/>
        </w:rPr>
        <w:t xml:space="preserve">Mgmt. Co.</w:t>
      </w:r>
      <w:r>
        <w:t xml:space="preserve"> </w:t>
      </w:r>
      <w:r>
        <w:t xml:space="preserve">is inapplicable to the instant case, its holding is on point. The case stands for the proposition that a claim is not moot by reason of payment prior to trial. 98 Mass.App.Ct. 690,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 Even more on point for the instant case are the cases that the Appeals Court relied on to come to that conclusion in</w:t>
      </w:r>
      <w:r>
        <w:t xml:space="preserve"> </w:t>
      </w:r>
      <w:r>
        <w:rPr>
          <w:i/>
          <w:iCs/>
        </w:rPr>
        <w:t xml:space="preserve">Henry v. Bozzuto</w:t>
      </w:r>
      <w:r>
        <w:rPr>
          <w:i/>
          <w:iCs/>
        </w:rPr>
        <w:t xml:space="preserve"> </w:t>
      </w:r>
      <w:r>
        <w:rPr>
          <w:i/>
          <w:iCs/>
        </w:rPr>
        <w:t xml:space="preserve">Mgmt. Co.</w:t>
      </w:r>
      <w:r>
        <w:t xml:space="preserve"> </w:t>
      </w:r>
      <w:r>
        <w:t xml:space="preserve">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w:t>
      </w:r>
    </w:p>
    <w:p>
      <w:pPr>
        <w:pStyle w:val="BodyText"/>
      </w:pPr>
      <w:r>
        <w:t xml:space="preserve">When a plaintiff rejects such an offer – however good the terms – her</w:t>
      </w:r>
    </w:p>
    <w:p>
      <w:pPr>
        <w:pStyle w:val="BodyText"/>
      </w:pPr>
      <w:r>
        <w:t xml:space="preserve">interest in the lawsuit remains just what it was before. And so too does</w:t>
      </w:r>
    </w:p>
    <w:p>
      <w:pPr>
        <w:pStyle w:val="BodyText"/>
      </w:pPr>
      <w:r>
        <w:t xml:space="preserve">the court’s ability to grant her relief. An unaccepted settlement offer –</w:t>
      </w:r>
    </w:p>
    <w:p>
      <w:pPr>
        <w:pStyle w:val="BodyText"/>
      </w:pPr>
      <w:r>
        <w:t xml:space="preserve">like any unaccepted contract offer – is a legal nullity, with no operative</w:t>
      </w:r>
    </w:p>
    <w:p>
      <w:pPr>
        <w:pStyle w:val="BodyText"/>
      </w:pPr>
      <w:r>
        <w:t xml:space="preserve">effect ⁠. ⁠. ⁠. [s]o assuming the case was live before – because plaintiff had</w:t>
      </w:r>
    </w:p>
    <w:p>
      <w:pPr>
        <w:pStyle w:val="BodyText"/>
      </w:pPr>
      <w:r>
        <w:t xml:space="preserve">a stake and the court could grant relief – the litigation carries on,</w:t>
      </w:r>
    </w:p>
    <w:p>
      <w:pPr>
        <w:pStyle w:val="BodyText"/>
      </w:pPr>
      <w:r>
        <w:t xml:space="preserve">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1533-⁠34 (2013) (Kagan, dissenting).</w:t>
      </w:r>
    </w:p>
    <w:p>
      <w:pPr>
        <w:pStyle w:val="BodyText"/>
      </w:pPr>
      <w:r>
        <w:t xml:space="preserve">In the instant case, Ms. Charland was entitled to further relief beyond simply reimbursement and damages: possession of her home pursuant to §8A.</w:t>
      </w:r>
      <w:r>
        <w:t xml:space="preserve"> </w:t>
      </w:r>
      <w:r>
        <w:t xml:space="preserve">For this same reason, the Landlord’s reliance on</w:t>
      </w:r>
      <w:r>
        <w:t xml:space="preserve"> </w:t>
      </w:r>
      <w:r>
        <w:rPr>
          <w:i/>
          <w:iCs/>
        </w:rPr>
        <w:t xml:space="preserve">Kattar</w:t>
      </w:r>
      <w:r>
        <w:rPr>
          <w:i/>
          <w:iCs/>
        </w:rPr>
        <w:t xml:space="preserve"> </w:t>
      </w:r>
      <w:r>
        <w:rPr>
          <w:i/>
          <w:iCs/>
        </w:rPr>
        <w:t xml:space="preserve">v. Demoulas</w:t>
      </w:r>
      <w:r>
        <w:t xml:space="preserve">, is misplaced. 433 Mass. 1, 15-⁠16 (2000); Appellee’s Brief, at 18. The issue here is not whether Ms. Charland was “made whole” but whether she retains a defense to possession, relief that exceeds monetary reimbursement or damages. Under the plain meaning of §8A,</w:t>
      </w:r>
      <w:r>
        <w:t xml:space="preserve"> </w:t>
      </w:r>
      <w:r>
        <w:t xml:space="preserve">Ms. Charland retains that defense.</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§8A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discourage</w:t>
      </w:r>
      <w:r>
        <w:rPr>
          <w:b/>
          <w:bCs/>
        </w:rPr>
        <w:t xml:space="preserve"> </w:t>
      </w:r>
      <w:r>
        <w:rPr>
          <w:b/>
          <w:bCs/>
        </w:rPr>
        <w:t xml:space="preserve">landlords</w:t>
      </w:r>
      <w:r>
        <w:rPr>
          <w:b/>
          <w:bCs/>
        </w:rPr>
        <w:t xml:space="preserve"> </w:t>
      </w:r>
      <w:r>
        <w:rPr>
          <w:b/>
          <w:bCs/>
        </w:rPr>
        <w:t xml:space="preserve">from</w:t>
      </w:r>
      <w:r>
        <w:rPr>
          <w:b/>
          <w:bCs/>
        </w:rPr>
        <w:t xml:space="preserve"> </w:t>
      </w:r>
      <w:r>
        <w:rPr>
          <w:b/>
          <w:bCs/>
        </w:rPr>
        <w:t xml:space="preserve">promptly</w:t>
      </w:r>
      <w:r>
        <w:rPr>
          <w:b/>
          <w:bCs/>
        </w:rPr>
        <w:t xml:space="preserve"> </w:t>
      </w:r>
      <w:r>
        <w:rPr>
          <w:b/>
          <w:bCs/>
        </w:rPr>
        <w:t xml:space="preserve">correcting</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law.</w:t>
      </w:r>
    </w:p>
    <w:p>
      <w:pPr>
        <w:pStyle w:val="BodyText"/>
      </w:pPr>
      <w:r>
        <w:t xml:space="preserve">The Landlord argues that if §8A</w:t>
      </w:r>
      <w:r>
        <w:t xml:space="preserve"> </w:t>
      </w:r>
      <w:r>
        <w:t xml:space="preserve">is read to award possession to a tenant even where no money is due the tenant, §8A</w:t>
      </w:r>
      <w:r>
        <w:t xml:space="preserve"> </w:t>
      </w:r>
      <w:r>
        <w:t xml:space="preserve">would therefore discourage a landlord from remedying its own violations of law. Appellee’s Brief, at 22. The Landlord is wrong.</w:t>
      </w:r>
    </w:p>
    <w:p>
      <w:pPr>
        <w:pStyle w:val="BodyText"/>
      </w:pPr>
      <w:r>
        <w:t xml:space="preserve">First, as the court stated in</w:t>
      </w:r>
      <w:r>
        <w:t xml:space="preserve"> </w:t>
      </w:r>
      <w:r>
        <w:rPr>
          <w:i/>
          <w:iCs/>
        </w:rPr>
        <w:t xml:space="preserve">Meikle</w:t>
      </w:r>
      <w:r>
        <w:rPr>
          <w:i/>
          <w:iCs/>
        </w:rPr>
        <w:t xml:space="preserve"> </w:t>
      </w:r>
      <w:r>
        <w:rPr>
          <w:i/>
          <w:iCs/>
        </w:rPr>
        <w:t xml:space="preserve">v. Nurse</w:t>
      </w:r>
      <w:r>
        <w:t xml:space="preserve">, §8A</w:t>
      </w:r>
      <w:r>
        <w:t xml:space="preserve"> </w:t>
      </w:r>
      <w:r>
        <w:t xml:space="preserve">is designed to protect tenants, not landlords. 474 Mass. 207, 214 (2016). But it does not burden the landlord with a tenancy for life; rather it merely allows a tenant to defeat possession in one summary process action.</w:t>
      </w:r>
      <w:r>
        <w:t xml:space="preserve"> </w:t>
      </w:r>
      <w:r>
        <w:rPr>
          <w:i/>
          <w:iCs/>
        </w:rPr>
        <w:t xml:space="preserve">Id.</w:t>
      </w:r>
    </w:p>
    <w:p>
      <w:pPr>
        <w:pStyle w:val="BodyText"/>
      </w:pPr>
      <w:r>
        <w:t xml:space="preserve">Second, §8A</w:t>
      </w:r>
      <w:r>
        <w:t xml:space="preserve"> </w:t>
      </w:r>
      <w:r>
        <w:t xml:space="preserve">encourages landlords not only to quickly remedy violations of law, but to ensure compliance from the beginning of the tenancy so as to avoid a §8A</w:t>
      </w:r>
      <w:r>
        <w:t xml:space="preserve"> </w:t>
      </w:r>
      <w:r>
        <w:t xml:space="preserve">defense in a future summary process case.</w:t>
      </w:r>
    </w:p>
    <w:p>
      <w:pPr>
        <w:pStyle w:val="BodyText"/>
      </w:pPr>
      <w:r>
        <w:t xml:space="preserve">Third, the Landlord also argues that Ms. Charland’s position disincentivizes settlement. Again, it does no such thing. It merely changes the relative positions of the parties within the settlement negotiations – to the landlord’s detriment, yes – but it does not disincentivize settlement per se, just possibly the preferred settlement of the landlord. But this is not a reason to read §8A</w:t>
      </w:r>
      <w:r>
        <w:t xml:space="preserve"> </w:t>
      </w:r>
      <w:r>
        <w:t xml:space="preserve">any other way than as it is plainly written or intended.</w:t>
      </w:r>
      <w:r>
        <w:t xml:space="preserve"> </w:t>
      </w:r>
      <w:r>
        <w:rPr>
          <w:i/>
          <w:iCs/>
        </w:rPr>
        <w:t xml:space="preserve">Meikle</w:t>
      </w:r>
      <w:r>
        <w:rPr>
          <w:i/>
          <w:iCs/>
        </w:rPr>
        <w:t xml:space="preserve"> </w:t>
      </w:r>
      <w:r>
        <w:rPr>
          <w:i/>
          <w:iCs/>
        </w:rPr>
        <w:t xml:space="preserve">v. Nurse</w:t>
      </w:r>
      <w:r>
        <w:t xml:space="preserve">, at 214.</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The</w:t>
      </w:r>
      <w:r>
        <w:rPr>
          <w:b/>
          <w:bCs/>
        </w:rPr>
        <w:t xml:space="preserve"> </w:t>
      </w:r>
      <w:r>
        <w:rPr>
          <w:b/>
          <w:bCs/>
        </w:rPr>
        <w:t xml:space="preserve">security</w:t>
      </w:r>
      <w:r>
        <w:rPr>
          <w:b/>
          <w:bCs/>
        </w:rPr>
        <w:t xml:space="preserve"> </w:t>
      </w:r>
      <w:r>
        <w:rPr>
          <w:b/>
          <w:bCs/>
        </w:rPr>
        <w:t xml:space="preserve">deposit</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distinguishable</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instant</w:t>
      </w:r>
      <w:r>
        <w:rPr>
          <w:b/>
          <w:bCs/>
        </w:rPr>
        <w:t xml:space="preserve"> </w:t>
      </w:r>
      <w:r>
        <w:rPr>
          <w:b/>
          <w:bCs/>
        </w:rPr>
        <w:t xml:space="preserve">case.</w:t>
      </w:r>
    </w:p>
    <w:p>
      <w:pPr>
        <w:pStyle w:val="BodyText"/>
      </w:pPr>
      <w:r>
        <w:t xml:space="preserve">The Landlord argues that the Court should follow the holding in Cruz</w:t>
      </w:r>
      <w:r>
        <w:t xml:space="preserve"> </w:t>
      </w:r>
      <w:r>
        <w:t xml:space="preserve">v. Norat- Reyes, to wit, that reimbursement before trial moots any triggering of §8A.</w:t>
      </w:r>
      <w:r>
        <w:t xml:space="preserve"> </w:t>
      </w:r>
      <w:r>
        <w:t xml:space="preserve">Appellee’s Brief, at 23-⁠24. The Landlord is wrong.</w:t>
      </w:r>
    </w:p>
    <w:p>
      <w:pPr>
        <w:pStyle w:val="BodyText"/>
      </w:pPr>
      <w:r>
        <w:t xml:space="preserve">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 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pStyle w:val="BodyText"/>
      </w:pPr>
      <w:r>
        <w:t xml:space="preserve">In</w:t>
      </w:r>
      <w:r>
        <w:t xml:space="preserve"> </w:t>
      </w:r>
      <w:r>
        <w:rPr>
          <w:i/>
          <w:iCs/>
        </w:rPr>
        <w:t xml:space="preserve">Cruz</w:t>
      </w:r>
      <w:r>
        <w:rPr>
          <w:i/>
          <w:iCs/>
        </w:rPr>
        <w:t xml:space="preserve"> </w:t>
      </w:r>
      <w:r>
        <w:rPr>
          <w:i/>
          <w:iCs/>
        </w:rPr>
        <w:t xml:space="preserve">v. Norat-Reyes</w:t>
      </w:r>
      <w:r>
        <w:t xml:space="preserve">, the Housing Court, Western Division, held that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The Housing Court in Cruz</w:t>
      </w:r>
      <w:r>
        <w:t xml:space="preserve"> </w:t>
      </w:r>
      <w:r>
        <w:t xml:space="preserve">relied on the Appeals Court’s holding in</w:t>
      </w:r>
      <w:r>
        <w:t xml:space="preserve"> </w:t>
      </w:r>
      <w:r>
        <w:rPr>
          <w:i/>
          <w:iCs/>
        </w:rPr>
        <w:t xml:space="preserve">Castenholtz</w:t>
      </w:r>
      <w:r>
        <w:t xml:space="preserve">, but</w:t>
      </w:r>
      <w:r>
        <w:t xml:space="preserve"> </w:t>
      </w:r>
      <w:r>
        <w:rPr>
          <w:i/>
          <w:iCs/>
        </w:rPr>
        <w:t xml:space="preserve">Castenholtz</w:t>
      </w:r>
      <w:r>
        <w:t xml:space="preserve"> </w:t>
      </w:r>
      <w:r>
        <w:t xml:space="preserve">was not a summary process action wherein the tenant raised a §8A</w:t>
      </w:r>
      <w:r>
        <w:t xml:space="preserve"> </w:t>
      </w:r>
      <w:r>
        <w:t xml:space="preserve">defense based on a violation of the security deposit statute. It was a civil case in which a tenant sued his former landlord for damages alleging violation of the security deposit statute. The Appeals Court held that damages may be awarded only where the landlord fails to return the deposit upon demand, as the statute provides. As a matter of statutory interpretation, that holding is sound. But here, the issue is whether a tenant may invoke a defense to possession under §8A</w:t>
      </w:r>
      <w:r>
        <w:t xml:space="preserve"> </w:t>
      </w:r>
      <w:r>
        <w:t xml:space="preserve">based on an underlying violation of law in addition to any potential award of damages. However, whatever one’s position is as to the holding in Cruz</w:t>
      </w:r>
      <w:r>
        <w:t xml:space="preserve"> </w:t>
      </w:r>
      <w:r>
        <w:t xml:space="preserve">– and our position is that it incorrectly applies §8A</w:t>
      </w:r>
      <w:r>
        <w:t xml:space="preserve"> </w:t>
      </w:r>
      <w:r>
        <w:t xml:space="preserve">to the security deposit statute – the instant case is distinguishable and this Court need not wade into the holding in Cruz.</w:t>
      </w:r>
      <w:r>
        <w:t xml:space="preserve"> </w:t>
      </w:r>
      <w:r>
        <w:t xml:space="preserve">Again, no such cure opportunity exists in the water statute, G.L. c.186, §22.</w:t>
      </w:r>
    </w:p>
    <w:p>
      <w:pPr>
        <w:pStyle w:val="BodyText"/>
      </w:pPr>
      <w:r>
        <w:t xml:space="preserve">To be clear, Ms. Charland did not argue in her Brief that she agrees with the holding in Cruz.</w:t>
      </w:r>
      <w:r>
        <w:t xml:space="preserve"> </w:t>
      </w:r>
      <w:r>
        <w:t xml:space="preserve">She argued strictly that Cruz</w:t>
      </w:r>
      <w:r>
        <w:t xml:space="preserve"> </w:t>
      </w:r>
      <w:r>
        <w:t xml:space="preserve">is distinguishable from the instant case. Appellant’s Brief at 16-⁠17.</w:t>
      </w:r>
    </w:p>
    <w:p>
      <w:pPr>
        <w:keepNext/>
        <w:keepLines/>
        <w:spacing w:before="336" w:after="224" w:line="322"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never</w:t>
      </w:r>
      <w:r>
        <w:rPr>
          <w:b/>
          <w:bCs/>
        </w:rPr>
        <w:t xml:space="preserve"> </w:t>
      </w:r>
      <w:r>
        <w:rPr>
          <w:b/>
          <w:bCs/>
        </w:rPr>
        <w:t xml:space="preserve">waived</w:t>
      </w:r>
      <w:r>
        <w:rPr>
          <w:b/>
          <w:bCs/>
        </w:rPr>
        <w:t xml:space="preserve"> </w:t>
      </w:r>
      <w:r>
        <w:rPr>
          <w:b/>
          <w:bCs/>
        </w:rPr>
        <w:t xml:space="preserve">or</w:t>
      </w:r>
      <w:r>
        <w:rPr>
          <w:b/>
          <w:bCs/>
        </w:rPr>
        <w:t xml:space="preserve"> </w:t>
      </w:r>
      <w:r>
        <w:rPr>
          <w:b/>
          <w:bCs/>
        </w:rPr>
        <w:t xml:space="preserve">relinquished</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under</w:t>
      </w:r>
      <w:r>
        <w:rPr>
          <w:b/>
          <w:bCs/>
        </w:rPr>
        <w:t xml:space="preserve"> </w:t>
      </w:r>
      <w:r>
        <w:rPr>
          <w:b/>
          <w:bCs/>
        </w:rPr>
        <w:t xml:space="preserve">§8A</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unilateral</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payment.</w:t>
      </w:r>
    </w:p>
    <w:p>
      <w:pPr>
        <w:pStyle w:val="BodyText"/>
      </w:pPr>
      <w:r>
        <w:t xml:space="preserve">The Landlord argues that Ms. Charland accepted reimbursement without a reservation of rights and therefore the underlying violation of law was satisfied and resolved. Appellee’s Brief, at 25-⁠26. The Landlord is wrong.</w:t>
      </w:r>
    </w:p>
    <w:p>
      <w:pPr>
        <w:pStyle w:val="BodyText"/>
      </w:pPr>
      <w:r>
        <w:t xml:space="preserve">First, the Landlord offered no admissible evidence at trial that Ms. Charland “accepted” payment in settlement or satisfaction of her claim or defense to possession under §8A.</w:t>
      </w:r>
      <w:r>
        <w:t xml:space="preserve"> </w:t>
      </w:r>
      <w:r>
        <w:t xml:space="preserve">R.A. at 41. In fact, the Landlord conceded that there was never a “meeting of the minds” regarding settlement of Ms. Charland’s claim or defense under §8A.</w:t>
      </w:r>
      <w:r>
        <w:t xml:space="preserve"> </w:t>
      </w:r>
      <w:r>
        <w:rPr>
          <w:i/>
          <w:iCs/>
        </w:rPr>
        <w:t xml:space="preserve">Id.</w:t>
      </w:r>
      <w:r>
        <w:t xml:space="preserve"> </w:t>
      </w:r>
      <w:r>
        <w:t xml:space="preserve">Furthermore, while the parties agreed that money was tendered for reimbursement and damages due to violation of the water statute, Ms. Charland, through counsel, maintained that her claim and defense under §8A</w:t>
      </w:r>
      <w:r>
        <w:t xml:space="preserve"> </w:t>
      </w:r>
      <w:r>
        <w:t xml:space="preserve">were not waived by such unilateral payment. R.A. at 36-⁠37, 39.</w:t>
      </w:r>
    </w:p>
    <w:p>
      <w:pPr>
        <w:pStyle w:val="BodyText"/>
      </w:pPr>
      <w:r>
        <w:t xml:space="preserve">Second, the record contains no evidence that Ms. Charland ever affirmatively agreed to waive any claim or defense or intended to relinquish any right. 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R.A. at 36-⁠37, 39.</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keepNext/>
        <w:keepLines/>
        <w:spacing w:before="448" w:after="336" w:line="322" w:lineRule="exact"/>
        <w:ind w:left="0" w:firstLine="0"/>
        <w:jc w:val="center"/>
      </w:pPr>
      <w:r>
        <w:rPr>
          <w:b/>
          <w:bCs/>
        </w:rPr>
        <w:t xml:space="preserve">II.</w:t>
      </w:r>
      <w:r>
        <w:rPr>
          <w:b/>
          <w:bCs/>
        </w:rPr>
        <w:t xml:space="preserve"> </w:t>
      </w:r>
      <w:r>
        <w:rPr>
          <w:b/>
          <w:bCs/>
        </w:rPr>
        <w:t xml:space="preserve">CONCLUSION</w:t>
      </w:r>
    </w:p>
    <w:p>
      <w:pPr>
        <w:pStyle w:val="BodyText"/>
      </w:pPr>
      <w:r>
        <w:t xml:space="preserve">For the reasons stated in this brief, it should be apparent that Ms. Charland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July</w:t>
            </w:r>
            <w:r>
              <w:t xml:space="preserve"> </w:t>
            </w:r>
            <w:r>
              <w:t xml:space="preserve">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20-SP-⁠1676 (August 30, 2021 Judgment)</w:t>
      </w:r>
    </w:p>
    <w:p>
      <w:pPr>
        <w:pStyle w:val="XdTail"/>
      </w:pPr>
      <w:r>
        <w:t xml:space="preserve">G.L. c.239, §8A</w:t>
      </w:r>
    </w:p>
    <w:p>
      <w:pPr>
        <w:pStyle w:val="XdTail"/>
      </w:pPr>
      <w:r>
        <w:t xml:space="preserve">G.L. c. 186, §22</w:t>
      </w:r>
    </w:p>
    <w:p>
      <w:pPr>
        <w:pStyle w:val="XdTail"/>
      </w:pPr>
      <w:r>
        <w:rPr>
          <w:i/>
          <w:iCs/>
        </w:rPr>
        <w:t xml:space="preserve">Cruz</w:t>
      </w:r>
      <w:r>
        <w:rPr>
          <w:i/>
          <w:iCs/>
        </w:rPr>
        <w:t xml:space="preserve"> </w:t>
      </w:r>
      <w:r>
        <w:rPr>
          <w:i/>
          <w:iCs/>
        </w:rPr>
        <w:t xml:space="preserve">v. Norat-Reyes</w:t>
      </w:r>
      <w:r>
        <w:t xml:space="preserve">, 17-SP-⁠181,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(413)256-⁠8429. Party Attorney: Attorney Fonseca, Esq., Gabriel. Bar Code 706870. Address: Community Legal Aid, 1 Monarch Place Suite 400, Springfield, MA 01144. Phone Number (413)686-⁠9007.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646-⁠828-⁠7666.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646-⁠828-⁠7666.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646-⁠828-⁠7666.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646-⁠828-⁠7666.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646-⁠828-⁠7666.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646-⁠828-⁠7666.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646-⁠828-⁠7666.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6-⁠21-⁠21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 Stay of Proceedings: The tenants have asserted that one of them, Mr. Moreno, has serious medical issues and the tenants request—in accordance with G.L. c.239, §9—that the court enter a stay on the judgment for possession and $1,050 plus court costs and interest that would otherwise enter at this time. A hearing shall be scheduled for March 9, 2017 at 10:00 a.m. in accordance with G.L. c.239, §9 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reply</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2481.</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Reply</w:t>
            </w:r>
            <w:r>
              <w:t xml:space="preserve"> </w:t>
            </w:r>
            <w:r>
              <w:t xml:space="preserve">Brief</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July</w:t>
            </w:r>
            <w:r>
              <w:t xml:space="preserve"> </w:t>
            </w:r>
            <w:r>
              <w:t xml:space="preserve">6,</w:t>
            </w:r>
            <w:r>
              <w:t xml:space="preserve"> </w:t>
            </w:r>
            <w:r>
              <w:t xml:space="preserve">2022.</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(413)686-⁠9007</w:t>
            </w:r>
            <w:r>
              <w:t xml:space="preserve"> </w:t>
            </w:r>
            <w:r>
              <w:t xml:space="preserve">F:</w:t>
            </w:r>
            <w:r>
              <w:t xml:space="preserve"> </w:t>
            </w:r>
            <w:r>
              <w:t xml:space="preserve">(413)746-⁠3221</w:t>
            </w:r>
          </w:p>
          <w:p>
            <w:pPr>
              <w:spacing w:before="0" w:after="0" w:line="322" w:lineRule="exact"/>
              <w:ind w:left="4608" w:firstLine="0"/>
              <w:jc w:val="left"/>
            </w:pPr>
            <w:r>
              <w:t xml:space="preserve">gfonseca@cla-ma.org</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Joshua</w:t>
            </w:r>
            <w:r>
              <w:t xml:space="preserve"> </w:t>
            </w:r>
            <w:r>
              <w:t xml:space="preserve">T.</w:t>
            </w:r>
            <w:r>
              <w:t xml:space="preserve"> </w:t>
            </w:r>
            <w:r>
              <w:t xml:space="preserve">Gutierrez,</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Reply</w:t>
            </w:r>
            <w:r>
              <w:t xml:space="preserve"> </w:t>
            </w:r>
            <w:r>
              <w:t xml:space="preserve">Brief</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2022-P-⁠0300,</w:t>
            </w:r>
            <w:r>
              <w:t xml:space="preserve"> </w:t>
            </w:r>
            <w:r>
              <w:rPr>
                <w:i/>
                <w:iCs/>
              </w:rPr>
              <w:t xml:space="preserve">Cassandra</w:t>
            </w:r>
            <w:r>
              <w:rPr>
                <w:i/>
                <w:iCs/>
              </w:rPr>
              <w:t xml:space="preserve"> </w:t>
            </w:r>
            <w:r>
              <w:rPr>
                <w:i/>
                <w:iCs/>
              </w:rPr>
              <w:t xml:space="preserve">Ferreira</w:t>
            </w:r>
            <w:r>
              <w:rPr>
                <w:i/>
                <w:iCs/>
              </w:rPr>
              <w:t xml:space="preserve"> </w:t>
            </w:r>
            <w:r>
              <w:rPr>
                <w:i/>
                <w:iCs/>
              </w:rPr>
              <w:t xml:space="preserve">v.</w:t>
            </w:r>
            <w:r>
              <w:rPr>
                <w:i/>
                <w:iCs/>
              </w:rPr>
              <w:t xml:space="preserve"> </w:t>
            </w:r>
            <w:r>
              <w:rPr>
                <w:i/>
                <w:iCs/>
              </w:rPr>
              <w:t xml:space="preserve">Laural</w:t>
            </w:r>
            <w:r>
              <w:rPr>
                <w:i/>
                <w:iCs/>
              </w:rPr>
              <w:t xml:space="preserve"> </w:t>
            </w:r>
            <w:r>
              <w:rPr>
                <w:i/>
                <w:iCs/>
              </w:rPr>
              <w:t xml:space="preserve">Charland</w:t>
            </w:r>
            <w:r>
              <w:rPr>
                <w:i/>
                <w:iCs/>
              </w:rPr>
              <w:t xml:space="preserve"> </w:t>
            </w:r>
            <w:r>
              <w:rPr>
                <w:i/>
                <w:iCs/>
              </w:rPr>
              <w:t xml:space="preserve">&amp;</w:t>
            </w:r>
            <w:r>
              <w:rPr>
                <w:i/>
                <w:iCs/>
              </w:rPr>
              <w:t xml:space="preserve"> </w:t>
            </w:r>
            <w:r>
              <w:rPr>
                <w:i/>
                <w:iCs/>
              </w:rPr>
              <w:t xml:space="preserve">Others</w:t>
            </w:r>
            <w:r>
              <w:t xml:space="preserv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July</w:t>
            </w:r>
            <w:r>
              <w:t xml:space="preserve"> </w:t>
            </w:r>
            <w:r>
              <w:t xml:space="preserve">6,</w:t>
            </w:r>
            <w:r>
              <w:t xml:space="preserve"> </w:t>
            </w:r>
            <w:r>
              <w:t xml:space="preserve">2022.</w:t>
            </w:r>
          </w:p>
          <w:p>
            <w:pPr>
              <w:spacing w:before="336" w:after="0" w:line="322" w:lineRule="exact"/>
              <w:ind w:left="4608" w:firstLine="0"/>
              <w:jc w:val="left"/>
            </w:pPr>
            <w:r>
              <w:rPr>
                <w:u w:val="single"/>
              </w:rPr>
              <w:t xml:space="preserve">Joshua</w:t>
            </w:r>
            <w:r>
              <w:rPr>
                <w:u w:val="single"/>
              </w:rPr>
              <w:t xml:space="preserve"> </w:t>
            </w:r>
            <w:r>
              <w:rPr>
                <w:u w:val="single"/>
              </w:rPr>
              <w:t xml:space="preserve">T.</w:t>
            </w:r>
            <w:r>
              <w:rPr>
                <w:u w:val="single"/>
              </w:rPr>
              <w:t xml:space="preserve"> </w:t>
            </w:r>
            <w:r>
              <w:rPr>
                <w:u w:val="single"/>
              </w:rPr>
              <w:t xml:space="preserve">Gutierrez,</w:t>
            </w:r>
            <w:r>
              <w:rPr>
                <w:u w:val="single"/>
              </w:rPr>
              <w:t xml:space="preserve"> </w:t>
            </w:r>
            <w:r>
              <w:rPr>
                <w:u w:val="single"/>
              </w:rPr>
              <w:t xml:space="preserve">Esq.</w:t>
            </w:r>
          </w:p>
          <w:p>
            <w:pPr>
              <w:spacing w:before="168"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(413)686-⁠9009</w:t>
            </w:r>
            <w:r>
              <w:t xml:space="preserve"> </w:t>
            </w:r>
            <w:r>
              <w:t xml:space="preserve">F:</w:t>
            </w:r>
            <w:r>
              <w:t xml:space="preserve"> </w:t>
            </w:r>
            <w:r>
              <w:t xml:space="preserve">(413)746-⁠3221</w:t>
            </w:r>
          </w:p>
          <w:p>
            <w:pPr>
              <w:spacing w:before="0" w:after="0" w:line="322" w:lineRule="exact"/>
              <w:ind w:left="4608" w:firstLine="0"/>
              <w:jc w:val="left"/>
            </w:pPr>
            <w:r>
              <w:t xml:space="preserve">jgutierrez@cla-ma.org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98"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