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HAMPSHIRE</w:t>
      </w:r>
    </w:p>
    <w:p>
      <w:pPr>
        <w:spacing w:before="0" w:after="0" w:line="299" w:lineRule="exact"/>
        <w:ind w:left="0" w:firstLine="0"/>
        <w:jc w:val="center"/>
      </w:pPr>
      <w:r>
        <w:rPr>
          <w:b/>
          <w:bCs/>
        </w:rPr>
        <w:t xml:space="preserve">SUPREME</w:t>
      </w:r>
      <w:r>
        <w:rPr>
          <w:b/>
          <w:bCs/>
        </w:rPr>
        <w:t xml:space="preserve"> </w:t>
      </w:r>
      <w:r>
        <w:rPr>
          <w:b/>
          <w:bCs/>
        </w:rPr>
        <w:t xml:space="preserve">COURT</w:t>
      </w:r>
    </w:p>
    <w:p>
      <w:pPr>
        <w:spacing w:before="312" w:after="0" w:line="299" w:lineRule="exact"/>
        <w:ind w:left="0" w:firstLine="0"/>
        <w:jc w:val="center"/>
      </w:pPr>
      <w:r>
        <w:t xml:space="preserve">No.</w:t>
      </w:r>
      <w:r>
        <w:t xml:space="preserve"> </w:t>
      </w:r>
      <w:r>
        <w:t xml:space="preserve">2024-⁠0396</w:t>
      </w:r>
    </w:p>
    <w:p>
      <w:pPr>
        <w:spacing w:before="390" w:after="0" w:line="299" w:lineRule="exact"/>
        <w:ind w:left="0" w:firstLine="0"/>
        <w:jc w:val="center"/>
      </w:pPr>
      <w:r>
        <w:t xml:space="preserve">State</w:t>
      </w:r>
      <w:r>
        <w:t xml:space="preserve"> </w:t>
      </w:r>
      <w:r>
        <w:t xml:space="preserve">of</w:t>
      </w:r>
      <w:r>
        <w:t xml:space="preserve"> </w:t>
      </w:r>
      <w:r>
        <w:t xml:space="preserve">New</w:t>
      </w:r>
      <w:r>
        <w:t xml:space="preserve"> </w:t>
      </w:r>
      <w:r>
        <w:t xml:space="preserve">Hampshire</w:t>
      </w:r>
    </w:p>
    <w:p>
      <w:pPr>
        <w:spacing w:before="0" w:after="0" w:line="299" w:lineRule="exact"/>
        <w:ind w:left="0" w:firstLine="0"/>
        <w:jc w:val="center"/>
      </w:pPr>
      <w:r>
        <w:t xml:space="preserve">v.</w:t>
      </w:r>
    </w:p>
    <w:p>
      <w:pPr>
        <w:spacing w:before="0" w:after="0" w:line="299" w:lineRule="exact"/>
        <w:ind w:left="0" w:firstLine="0"/>
        <w:jc w:val="center"/>
      </w:pPr>
      <w:r>
        <w:t xml:space="preserve">Robert</w:t>
      </w:r>
      <w:r>
        <w:t xml:space="preserve"> </w:t>
      </w:r>
      <w:r>
        <w:t xml:space="preserve">F.</w:t>
      </w:r>
      <w:r>
        <w:t xml:space="preserve"> </w:t>
      </w:r>
      <w:r>
        <w:t xml:space="preserve">Allore</w:t>
      </w:r>
    </w:p>
    <w:p>
      <w:pPr>
        <w:spacing w:before="312" w:after="0" w:line="299" w:lineRule="exact"/>
        <w:ind w:left="0" w:firstLine="0"/>
        <w:jc w:val="center"/>
      </w:pPr>
      <w:r>
        <w:t xml:space="preserve">Interlocutory</w:t>
      </w:r>
      <w:r>
        <w:t xml:space="preserve"> </w:t>
      </w:r>
      <w:r>
        <w:t xml:space="preserve">Appeal</w:t>
      </w:r>
      <w:r>
        <w:t xml:space="preserve"> </w:t>
      </w:r>
      <w:r>
        <w:t xml:space="preserve">Pursuant</w:t>
      </w:r>
      <w:r>
        <w:t xml:space="preserve"> </w:t>
      </w:r>
      <w:r>
        <w:t xml:space="preserve">to</w:t>
      </w:r>
      <w:r>
        <w:t xml:space="preserve"> </w:t>
      </w:r>
      <w:r>
        <w:t xml:space="preserve">Rule</w:t>
      </w:r>
      <w:r>
        <w:t xml:space="preserve"> </w:t>
      </w:r>
      <w:r>
        <w:t xml:space="preserve">8</w:t>
      </w:r>
      <w:r>
        <w:t xml:space="preserve"> </w:t>
      </w:r>
      <w:r>
        <w:t xml:space="preserve">from</w:t>
      </w:r>
      <w:r>
        <w:t xml:space="preserve"> </w:t>
      </w:r>
      <w:r>
        <w:t xml:space="preserve">the</w:t>
      </w:r>
      <w:r>
        <w:t xml:space="preserve"> </w:t>
      </w:r>
      <w:r>
        <w:t xml:space="preserve">Rockingham</w:t>
      </w:r>
      <w:r>
        <w:t xml:space="preserve"> </w:t>
      </w:r>
      <w:r>
        <w:t xml:space="preserve">County</w:t>
      </w:r>
      <w:r>
        <w:t xml:space="preserve"> </w:t>
      </w:r>
      <w:r>
        <w:t xml:space="preserve">Superior</w:t>
      </w:r>
      <w:r>
        <w:t xml:space="preserve"> </w:t>
      </w:r>
      <w:r>
        <w:t xml:space="preserve">Court</w:t>
      </w:r>
    </w:p>
    <w:p>
      <w:pPr>
        <w:spacing w:before="624" w:after="0" w:line="299"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DEFENDANT</w:t>
      </w:r>
    </w:p>
    <w:p>
      <w:pPr>
        <w:spacing w:before="0" w:after="0" w:line="39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Christopher</w:t>
            </w:r>
            <w:r>
              <w:t xml:space="preserve"> </w:t>
            </w:r>
            <w:r>
              <w:t xml:space="preserve">M.</w:t>
            </w:r>
            <w:r>
              <w:t xml:space="preserve"> </w:t>
            </w:r>
            <w:r>
              <w:t xml:space="preserve">Johnson</w:t>
            </w:r>
          </w:p>
          <w:p>
            <w:pPr>
              <w:spacing w:before="0" w:after="0" w:line="299" w:lineRule="exact"/>
              <w:ind w:left="0" w:firstLine="0"/>
              <w:jc w:val="left"/>
            </w:pPr>
            <w:r>
              <w:t xml:space="preserve">Chief</w:t>
            </w:r>
            <w:r>
              <w:t xml:space="preserve"> </w:t>
            </w:r>
            <w:r>
              <w:t xml:space="preserve">Appellate</w:t>
            </w:r>
            <w:r>
              <w:t xml:space="preserve"> </w:t>
            </w:r>
            <w:r>
              <w:t xml:space="preserve">Defender</w:t>
            </w:r>
          </w:p>
          <w:p>
            <w:pPr>
              <w:spacing w:before="0" w:after="0" w:line="299" w:lineRule="exact"/>
              <w:ind w:left="0" w:firstLine="0"/>
              <w:jc w:val="left"/>
            </w:pPr>
            <w:r>
              <w:t xml:space="preserve">Appellate</w:t>
            </w:r>
            <w:r>
              <w:t xml:space="preserve"> </w:t>
            </w:r>
            <w:r>
              <w:t xml:space="preserve">Defender</w:t>
            </w:r>
            <w:r>
              <w:t xml:space="preserve"> </w:t>
            </w:r>
            <w:r>
              <w:t xml:space="preserve">Program</w:t>
            </w:r>
          </w:p>
          <w:p>
            <w:pPr>
              <w:spacing w:before="0" w:after="0" w:line="299" w:lineRule="exact"/>
              <w:ind w:left="0" w:firstLine="0"/>
              <w:jc w:val="left"/>
            </w:pPr>
            <w:r>
              <w:t xml:space="preserve">10</w:t>
            </w:r>
            <w:r>
              <w:t xml:space="preserve"> </w:t>
            </w:r>
            <w:r>
              <w:t xml:space="preserve">Ferry</w:t>
            </w:r>
            <w:r>
              <w:t xml:space="preserve"> </w:t>
            </w:r>
            <w:r>
              <w:t xml:space="preserve">Street,</w:t>
            </w:r>
            <w:r>
              <w:t xml:space="preserve"> </w:t>
            </w:r>
            <w:r>
              <w:t xml:space="preserve">Suite</w:t>
            </w:r>
            <w:r>
              <w:t xml:space="preserve"> </w:t>
            </w:r>
            <w:r>
              <w:t xml:space="preserve">202</w:t>
            </w:r>
          </w:p>
          <w:p>
            <w:pPr>
              <w:spacing w:before="0" w:after="0" w:line="299" w:lineRule="exact"/>
              <w:ind w:left="0" w:firstLine="0"/>
              <w:jc w:val="left"/>
            </w:pPr>
            <w:r>
              <w:t xml:space="preserve">Concord,</w:t>
            </w:r>
            <w:r>
              <w:t xml:space="preserve"> </w:t>
            </w:r>
            <w:r>
              <w:t xml:space="preserve">NH</w:t>
            </w:r>
            <w:r>
              <w:t xml:space="preserve"> </w:t>
            </w:r>
            <w:r>
              <w:t xml:space="preserve">03301</w:t>
            </w:r>
          </w:p>
          <w:p>
            <w:pPr>
              <w:spacing w:before="0" w:after="0" w:line="299" w:lineRule="exact"/>
              <w:ind w:left="0" w:firstLine="0"/>
              <w:jc w:val="left"/>
            </w:pPr>
            <w:r>
              <w:t xml:space="preserve">NH</w:t>
            </w:r>
            <w:r>
              <w:t xml:space="preserve"> </w:t>
            </w:r>
            <w:r>
              <w:t xml:space="preserve">Bar</w:t>
            </w:r>
            <w:r>
              <w:t xml:space="preserve"> </w:t>
            </w:r>
            <w:r>
              <w:t xml:space="preserve">#</w:t>
            </w:r>
            <w:r>
              <w:t xml:space="preserve"> </w:t>
            </w:r>
            <w:r>
              <w:t xml:space="preserve">15149</w:t>
            </w:r>
          </w:p>
          <w:p>
            <w:pPr>
              <w:spacing w:before="0" w:after="0" w:line="299" w:lineRule="exact"/>
              <w:ind w:left="0" w:firstLine="0"/>
              <w:jc w:val="left"/>
            </w:pPr>
            <w:r>
              <w:t xml:space="preserve">603-⁠224-⁠1236</w:t>
            </w:r>
          </w:p>
        </w:tc>
        <w:tc>
          <w:tcPr>
            <w:tcW w:w="4116" w:type="dxa"/>
            <w:tcMar>
              <w:left w:w="312" w:type="dxa"/>
            </w:tcMar>
          </w:tcPr>
          <w:p>
            <w:pPr>
              <w:spacing w:before="0" w:after="0" w:line="1" w:lineRule="exact"/>
            </w:pPr>
          </w:p>
        </w:tc>
      </w:tr>
    </w:tbl>
    <w:p>
      <w:pPr>
        <w:spacing w:before="390" w:after="0" w:line="299" w:lineRule="exact"/>
        <w:ind w:left="0" w:firstLine="0"/>
        <w:jc w:val="center"/>
      </w:pPr>
      <w:r>
        <w:t xml:space="preserve">(15</w:t>
      </w:r>
      <w:r>
        <w:t xml:space="preserve"> </w:t>
      </w:r>
      <w:r>
        <w:t xml:space="preserve">minutes</w:t>
      </w:r>
      <w:r>
        <w:t xml:space="preserve"> </w:t>
      </w:r>
      <w:r>
        <w:t xml:space="preserve">oral</w:t>
      </w:r>
      <w:r>
        <w:t xml:space="preserve"> </w:t>
      </w:r>
      <w:r>
        <w:t xml:space="preserve">argument)</w:t>
      </w:r>
    </w:p>
    <w:p>
      <w:pPr>
        <w:pageBreakBefore/>
        <w:spacing w:before="0" w:after="0" w:line="1" w:lineRule="exact"/>
      </w:pPr>
    </w:p>
    <w:p>
      <w:pPr>
        <w:keepNext/>
        <w:keepLines/>
        <w:spacing w:before="0" w:after="150" w:line="44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0" w:after="0" w:line="449" w:lineRule="exact"/>
        <w:ind w:left="360" w:right="720" w:hanging="360"/>
      </w:pPr>
      <w:r>
        <w:t xml:space="preserve">I.</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STATUTORY</w:t>
      </w:r>
      <w:r>
        <w:t xml:space="preserve"> </w:t>
      </w:r>
      <w:r>
        <w:t xml:space="preserve">INTERPRETATION,</w:t>
      </w:r>
      <w:r>
        <w:t xml:space="preserve"> </w:t>
      </w:r>
      <w:r>
        <w:t xml:space="preserve">EVIDENCE</w:t>
      </w:r>
      <w:r>
        <w:t xml:space="preserve"> </w:t>
      </w:r>
      <w:r>
        <w:t xml:space="preserve">OF</w:t>
      </w:r>
      <w:r>
        <w:t xml:space="preserve"> </w:t>
      </w:r>
      <w:r>
        <w:t xml:space="preserve">CONSENT</w:t>
      </w:r>
      <w:r>
        <w:t xml:space="preserve"> </w:t>
      </w:r>
      <w:r>
        <w:t xml:space="preserve">IS</w:t>
      </w:r>
      <w:r>
        <w:t xml:space="preserve"> </w:t>
      </w:r>
      <w:r>
        <w:t xml:space="preserve">ADMISSIBLE</w:t>
      </w:r>
      <w:r>
        <w:t xml:space="preserve"> </w:t>
      </w:r>
      <w:r>
        <w:t xml:space="preserve">IN</w:t>
      </w:r>
      <w:r>
        <w:t xml:space="preserve"> </w:t>
      </w:r>
      <w:r>
        <w:t xml:space="preserve">A</w:t>
      </w:r>
      <w:r>
        <w:t xml:space="preserve"> </w:t>
      </w:r>
      <w:r>
        <w:t xml:space="preserve">CASE</w:t>
      </w:r>
      <w:r>
        <w:t xml:space="preserve"> </w:t>
      </w:r>
      <w:r>
        <w:t xml:space="preserve">CHARGING</w:t>
      </w:r>
      <w:r>
        <w:t xml:space="preserve"> </w:t>
      </w:r>
      <w:r>
        <w:t xml:space="preserve">A</w:t>
      </w:r>
      <w:r>
        <w:t xml:space="preserve"> </w:t>
      </w:r>
      <w:r>
        <w:t xml:space="preserve">CRIME</w:t>
      </w:r>
      <w:r>
        <w:t xml:space="preserve"> </w:t>
      </w:r>
      <w:r>
        <w:t xml:space="preserve">UNDER</w:t>
      </w:r>
      <w:r>
        <w:t xml:space="preserve"> </w:t>
      </w:r>
      <w:r>
        <w:t xml:space="preserve">RSA</w:t>
      </w:r>
      <w:r>
        <w:t xml:space="preserve"> </w:t>
      </w:r>
      <w:r>
        <w:t xml:space="preserve">632-A:2,</w:t>
      </w:r>
      <w:r>
        <w:t xml:space="preserve"> </w:t>
      </w:r>
      <w:r>
        <w:t xml:space="preserve">I(G)⁠(1).</w:t>
      </w:r>
      <w:r>
        <w:t xml:space="preserve">   </w:t>
      </w:r>
      <w:r>
        <w:tab/>
      </w:r>
      <w:r>
        <w:t xml:space="preserve">4</w:t>
      </w:r>
    </w:p>
    <w:p>
      <w:pPr>
        <w:keepLines/>
        <w:tabs>
          <w:tab w:val="right" w:leader="dot" w:pos="7920"/>
        </w:tabs>
        <w:spacing w:before="0" w:after="0" w:line="449" w:lineRule="exact"/>
        <w:ind w:left="360" w:right="720" w:hanging="360"/>
      </w:pPr>
      <w:r>
        <w:t xml:space="preserve">CONCLUSION</w:t>
      </w:r>
      <w:r>
        <w:t xml:space="preserve">   </w:t>
      </w:r>
      <w:r>
        <w:tab/>
      </w:r>
      <w:r>
        <w:t xml:space="preserve">6</w:t>
      </w:r>
    </w:p>
    <w:p>
      <w:pPr>
        <w:pageBreakBefore/>
        <w:spacing w:before="0" w:after="0" w:line="1" w:lineRule="exact"/>
      </w:pPr>
    </w:p>
    <w:p>
      <w:pPr>
        <w:keepNext/>
        <w:keepLines/>
        <w:spacing w:before="0" w:after="150" w:line="44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150" w:after="0" w:line="299" w:lineRule="exact"/>
        <w:ind w:left="0" w:firstLine="0"/>
        <w:jc w:val="left"/>
      </w:pPr>
      <w:r>
        <w:rPr>
          <w:b/>
          <w:bCs/>
        </w:rPr>
        <w:t xml:space="preserve">Statutes</w:t>
      </w:r>
    </w:p>
    <w:p>
      <w:pPr>
        <w:keepLines/>
        <w:tabs>
          <w:tab w:val="right" w:leader="dot" w:pos="7920"/>
        </w:tabs>
        <w:spacing w:before="0" w:after="0" w:line="449" w:lineRule="exact"/>
        <w:ind w:left="360" w:right="1120" w:hanging="360"/>
      </w:pPr>
      <w:r>
        <w:t xml:space="preserve">RSA</w:t>
      </w:r>
      <w:r>
        <w:t xml:space="preserve"> </w:t>
      </w:r>
      <w:r>
        <w:t xml:space="preserve">159:3</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161-F:43,</w:t>
      </w:r>
      <w:r>
        <w:t xml:space="preserve"> </w:t>
      </w:r>
      <w:r>
        <w:t xml:space="preserve">VII</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259:96</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318-B</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318-B:1</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318-B:2-b,</w:t>
      </w:r>
      <w:r>
        <w:t xml:space="preserve"> </w:t>
      </w:r>
      <w:r>
        <w:t xml:space="preserve">I</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326-B:32</w:t>
      </w:r>
      <w:r>
        <w:t xml:space="preserve">   </w:t>
      </w:r>
      <w:r>
        <w:tab/>
      </w:r>
      <w:r>
        <w:t xml:space="preserve">5, 6</w:t>
      </w:r>
    </w:p>
    <w:p>
      <w:pPr>
        <w:keepLines/>
        <w:tabs>
          <w:tab w:val="right" w:leader="dot" w:pos="7920"/>
        </w:tabs>
        <w:spacing w:before="0" w:after="0" w:line="449" w:lineRule="exact"/>
        <w:ind w:left="360" w:right="1120" w:hanging="360"/>
      </w:pPr>
      <w:r>
        <w:t xml:space="preserve">RSA</w:t>
      </w:r>
      <w:r>
        <w:t xml:space="preserve"> </w:t>
      </w:r>
      <w:r>
        <w:t xml:space="preserve">326-B:37</w:t>
      </w:r>
      <w:r>
        <w:t xml:space="preserve">   </w:t>
      </w:r>
      <w:r>
        <w:tab/>
      </w:r>
      <w:r>
        <w:t xml:space="preserve">6</w:t>
      </w:r>
    </w:p>
    <w:p>
      <w:pPr>
        <w:keepLines/>
        <w:tabs>
          <w:tab w:val="right" w:leader="dot" w:pos="7920"/>
        </w:tabs>
        <w:spacing w:before="0" w:after="0" w:line="449" w:lineRule="exact"/>
        <w:ind w:left="360" w:right="1120" w:hanging="360"/>
      </w:pPr>
      <w:r>
        <w:t xml:space="preserve">RSA</w:t>
      </w:r>
      <w:r>
        <w:t xml:space="preserve"> </w:t>
      </w:r>
      <w:r>
        <w:t xml:space="preserve">570-A:2,</w:t>
      </w:r>
      <w:r>
        <w:t xml:space="preserve"> </w:t>
      </w:r>
      <w:r>
        <w:t xml:space="preserve">II(k)⁠(1)</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625:11</w:t>
      </w:r>
      <w:r>
        <w:t xml:space="preserve">   </w:t>
      </w:r>
      <w:r>
        <w:tab/>
      </w:r>
      <w:r>
        <w:t xml:space="preserve">5</w:t>
      </w:r>
    </w:p>
    <w:p>
      <w:pPr>
        <w:keepLines/>
        <w:tabs>
          <w:tab w:val="right" w:leader="dot" w:pos="7920"/>
        </w:tabs>
        <w:spacing w:before="0" w:after="0" w:line="449" w:lineRule="exact"/>
        <w:ind w:left="360" w:right="1120" w:hanging="360"/>
      </w:pPr>
      <w:r>
        <w:t xml:space="preserve">RSA</w:t>
      </w:r>
      <w:r>
        <w:t xml:space="preserve"> </w:t>
      </w:r>
      <w:r>
        <w:t xml:space="preserve">632-A:2,</w:t>
      </w:r>
      <w:r>
        <w:t xml:space="preserve"> </w:t>
      </w:r>
      <w:r>
        <w:t xml:space="preserve">I(g)⁠(1)</w:t>
      </w:r>
      <w:r>
        <w:t xml:space="preserve">   </w:t>
      </w:r>
      <w:r>
        <w:tab/>
      </w:r>
      <w:r>
        <w:t xml:space="preserve">4, 5, 6</w:t>
      </w:r>
    </w:p>
    <w:p>
      <w:pPr>
        <w:keepLines/>
        <w:tabs>
          <w:tab w:val="right" w:leader="dot" w:pos="7920"/>
        </w:tabs>
        <w:spacing w:before="0" w:after="0" w:line="449" w:lineRule="exact"/>
        <w:ind w:left="360" w:right="1120" w:hanging="360"/>
      </w:pPr>
      <w:r>
        <w:t xml:space="preserve">RSA</w:t>
      </w:r>
      <w:r>
        <w:t xml:space="preserve"> </w:t>
      </w:r>
      <w:r>
        <w:t xml:space="preserve">639-A:1,</w:t>
      </w:r>
      <w:r>
        <w:t xml:space="preserve"> </w:t>
      </w:r>
      <w:r>
        <w:t xml:space="preserve">III</w:t>
      </w:r>
      <w:r>
        <w:t xml:space="preserve">   </w:t>
      </w:r>
      <w:r>
        <w:tab/>
      </w:r>
      <w:r>
        <w:t xml:space="preserve">5</w:t>
      </w:r>
    </w:p>
    <w:p>
      <w:pPr>
        <w:keepLines/>
        <w:tabs>
          <w:tab w:val="right" w:leader="dot" w:pos="7920"/>
        </w:tabs>
        <w:spacing w:before="0" w:after="0" w:line="449" w:lineRule="exact"/>
        <w:ind w:left="360" w:right="1120" w:hanging="360"/>
      </w:pPr>
      <w:r>
        <w:t xml:space="preserve">Nurse</w:t>
      </w:r>
      <w:r>
        <w:t xml:space="preserve"> </w:t>
      </w:r>
      <w:r>
        <w:t xml:space="preserve">Practice</w:t>
      </w:r>
      <w:r>
        <w:t xml:space="preserve"> </w:t>
      </w:r>
      <w:r>
        <w:t xml:space="preserve">Act,</w:t>
      </w:r>
      <w:r>
        <w:t xml:space="preserve"> </w:t>
      </w:r>
      <w:r>
        <w:t xml:space="preserve">RSA</w:t>
      </w:r>
      <w:r>
        <w:t xml:space="preserve"> </w:t>
      </w:r>
      <w:r>
        <w:t xml:space="preserve">326-B</w:t>
      </w:r>
      <w:r>
        <w:t xml:space="preserve">   </w:t>
      </w:r>
      <w:r>
        <w:tab/>
      </w:r>
      <w:r>
        <w:t xml:space="preserve">4</w:t>
      </w:r>
    </w:p>
    <w:p>
      <w:pPr>
        <w:keepLines/>
        <w:tabs>
          <w:tab w:val="right" w:leader="dot" w:pos="7920"/>
        </w:tabs>
        <w:spacing w:before="0" w:after="0" w:line="449" w:lineRule="exact"/>
        <w:ind w:left="360" w:right="1120" w:hanging="360"/>
      </w:pPr>
      <w:r>
        <w:t xml:space="preserve">N.H.</w:t>
      </w:r>
      <w:r>
        <w:t xml:space="preserve"> </w:t>
      </w:r>
      <w:r>
        <w:t xml:space="preserve">Laws</w:t>
      </w:r>
      <w:r>
        <w:t xml:space="preserve"> </w:t>
      </w:r>
      <w:r>
        <w:t xml:space="preserve">1992,</w:t>
      </w:r>
      <w:r>
        <w:t xml:space="preserve"> </w:t>
      </w:r>
      <w:r>
        <w:t xml:space="preserve">ch.</w:t>
      </w:r>
      <w:r>
        <w:t xml:space="preserve"> </w:t>
      </w:r>
      <w:r>
        <w:t xml:space="preserve">254:6</w:t>
      </w:r>
      <w:r>
        <w:t xml:space="preserve">   </w:t>
      </w:r>
      <w:r>
        <w:tab/>
      </w:r>
      <w:r>
        <w:t xml:space="preserve">5</w:t>
      </w:r>
    </w:p>
    <w:p>
      <w:pPr>
        <w:keepLines/>
        <w:tabs>
          <w:tab w:val="right" w:leader="dot" w:pos="7920"/>
        </w:tabs>
        <w:spacing w:before="0" w:after="0" w:line="449" w:lineRule="exact"/>
        <w:ind w:left="360" w:right="1120" w:hanging="360"/>
      </w:pPr>
      <w:r>
        <w:t xml:space="preserve">N.H.</w:t>
      </w:r>
      <w:r>
        <w:t xml:space="preserve"> </w:t>
      </w:r>
      <w:r>
        <w:t xml:space="preserve">Laws</w:t>
      </w:r>
      <w:r>
        <w:t xml:space="preserve"> </w:t>
      </w:r>
      <w:r>
        <w:t xml:space="preserve">1994,</w:t>
      </w:r>
      <w:r>
        <w:t xml:space="preserve"> </w:t>
      </w:r>
      <w:r>
        <w:t xml:space="preserve">ch.</w:t>
      </w:r>
      <w:r>
        <w:t xml:space="preserve"> </w:t>
      </w:r>
      <w:r>
        <w:t xml:space="preserve">376:2</w:t>
      </w:r>
      <w:r>
        <w:t xml:space="preserve">   </w:t>
      </w:r>
      <w:r>
        <w:tab/>
      </w:r>
      <w:r>
        <w:t xml:space="preserve">5</w:t>
      </w:r>
    </w:p>
    <w:p>
      <w:pPr>
        <w:keepLines/>
        <w:tabs>
          <w:tab w:val="right" w:leader="dot" w:pos="7920"/>
        </w:tabs>
        <w:spacing w:before="0" w:after="0" w:line="449" w:lineRule="exact"/>
        <w:ind w:left="360" w:right="1120" w:hanging="360"/>
      </w:pPr>
      <w:r>
        <w:t xml:space="preserve">N.H.</w:t>
      </w:r>
      <w:r>
        <w:t xml:space="preserve"> </w:t>
      </w:r>
      <w:r>
        <w:t xml:space="preserve">Laws</w:t>
      </w:r>
      <w:r>
        <w:t xml:space="preserve"> </w:t>
      </w:r>
      <w:r>
        <w:t xml:space="preserve">2005,</w:t>
      </w:r>
      <w:r>
        <w:t xml:space="preserve"> </w:t>
      </w:r>
      <w:r>
        <w:t xml:space="preserve">ch.</w:t>
      </w:r>
      <w:r>
        <w:t xml:space="preserve"> </w:t>
      </w:r>
      <w:r>
        <w:t xml:space="preserve">293:1</w:t>
      </w:r>
      <w:r>
        <w:t xml:space="preserve">   </w:t>
      </w:r>
      <w:r>
        <w:tab/>
      </w:r>
      <w:r>
        <w:t xml:space="preserve">6</w:t>
      </w:r>
    </w:p>
    <w:p>
      <w:pPr>
        <w:pageBreakBefore/>
        <w:spacing w:before="0" w:after="0" w:line="1" w:lineRule="exact"/>
      </w:pPr>
    </w:p>
    <w:p>
      <w:pPr>
        <w:keepNext/>
        <w:keepLines/>
        <w:spacing w:before="0" w:after="150" w:line="449" w:lineRule="exact"/>
        <w:ind w:left="0" w:firstLine="0"/>
        <w:jc w:val="center"/>
      </w:pPr>
      <w:r>
        <w:rPr>
          <w:b/>
          <w:bCs/>
        </w:rPr>
        <w:t xml:space="preserve">I.</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INTERPRETATION,</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CONSENT</w:t>
      </w:r>
      <w:r>
        <w:rPr>
          <w:b/>
          <w:bCs/>
        </w:rPr>
        <w:t xml:space="preserve"> </w:t>
      </w:r>
      <w:r>
        <w:rPr>
          <w:b/>
          <w:bCs/>
        </w:rPr>
        <w:t xml:space="preserve">IS</w:t>
      </w:r>
      <w:r>
        <w:rPr>
          <w:b/>
          <w:bCs/>
        </w:rPr>
        <w:t xml:space="preserve"> </w:t>
      </w:r>
      <w:r>
        <w:rPr>
          <w:b/>
          <w:bCs/>
        </w:rPr>
        <w:t xml:space="preserve">ADMISSIBLE</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CASE</w:t>
      </w:r>
      <w:r>
        <w:rPr>
          <w:b/>
          <w:bCs/>
        </w:rPr>
        <w:t xml:space="preserve"> </w:t>
      </w:r>
      <w:r>
        <w:rPr>
          <w:b/>
          <w:bCs/>
        </w:rPr>
        <w:t xml:space="preserve">CHARGING</w:t>
      </w:r>
      <w:r>
        <w:rPr>
          <w:b/>
          <w:bCs/>
        </w:rPr>
        <w:t xml:space="preserve"> </w:t>
      </w:r>
      <w:r>
        <w:rPr>
          <w:b/>
          <w:bCs/>
        </w:rPr>
        <w:t xml:space="preserve">A</w:t>
      </w:r>
      <w:r>
        <w:rPr>
          <w:b/>
          <w:bCs/>
        </w:rPr>
        <w:t xml:space="preserve"> </w:t>
      </w:r>
      <w:r>
        <w:rPr>
          <w:b/>
          <w:bCs/>
        </w:rPr>
        <w:t xml:space="preserve">CRIME</w:t>
      </w:r>
      <w:r>
        <w:rPr>
          <w:b/>
          <w:bCs/>
        </w:rPr>
        <w:t xml:space="preserve"> </w:t>
      </w:r>
      <w:r>
        <w:rPr>
          <w:b/>
          <w:bCs/>
        </w:rPr>
        <w:t xml:space="preserve">UNDER</w:t>
      </w:r>
      <w:r>
        <w:rPr>
          <w:b/>
          <w:bCs/>
        </w:rPr>
        <w:t xml:space="preserve"> </w:t>
      </w:r>
      <w:r>
        <w:rPr>
          <w:b/>
          <w:bCs/>
        </w:rPr>
        <w:t xml:space="preserve">RSA</w:t>
      </w:r>
      <w:r>
        <w:rPr>
          <w:b/>
          <w:bCs/>
        </w:rPr>
        <w:t xml:space="preserve"> </w:t>
      </w:r>
      <w:r>
        <w:rPr>
          <w:b/>
          <w:bCs/>
        </w:rPr>
        <w:t xml:space="preserve">632-A:2,</w:t>
      </w:r>
      <w:r>
        <w:rPr>
          <w:b/>
          <w:bCs/>
        </w:rPr>
        <w:t xml:space="preserve"> </w:t>
      </w:r>
      <w:r>
        <w:rPr>
          <w:b/>
          <w:bCs/>
        </w:rPr>
        <w:t xml:space="preserve">I(G)⁠(1).</w:t>
      </w:r>
    </w:p>
    <w:p>
      <w:pPr>
        <w:pStyle w:val="BodyTextNote"/>
      </w:pPr>
      <w:r>
        <w:t xml:space="preserve">Allore’s opening brief argued that the consent of an adult patient operates as a defense to a charge under RSA</w:t>
      </w:r>
      <w:r>
        <w:t xml:space="preserve"> </w:t>
      </w:r>
      <w:r>
        <w:t xml:space="preserve">632-A:2, I(g)⁠(1). Among other points, the brief contended that consent would defeat the statutory element requiring proof that the defendant acted “in a manner or for purposes which are not professionally recognized as ethical or acceptable.” RSA</w:t>
      </w:r>
      <w:r>
        <w:t xml:space="preserve"> </w:t>
      </w:r>
      <w:r>
        <w:t xml:space="preserve">632-A:2, I(g)⁠(1). In the trial court, the prosecutor treated the professional-recognition element as raising a question of fact to be determined by the jury, insofar as the prosecutor retained a nurse to testify as an expert witness about the relevant standards of the nursing profession. The trial court agreed, denying the defense motion to exclude the testimony of that expert. A77-A83.</w:t>
      </w:r>
      <w:r>
        <w:rPr>
          <w:rStyle w:val="FootnoteReference"/>
        </w:rPr>
        <w:footnoteReference w:id="9"/>
      </w:r>
    </w:p>
    <w:p>
      <w:pPr>
        <w:pStyle w:val="BodyText"/>
      </w:pPr>
      <w:r>
        <w:t xml:space="preserve">On appeal, the State seems to regard the dispute about the content of the nursing profession’s standards as raising a question of law. SB 22. The State argues that this Court, in cases involving the prosecution of a nurse, should look to the Nurse Practice Act (NPA) for the governing expression of professional standards. RSA</w:t>
      </w:r>
      <w:r>
        <w:t xml:space="preserve"> </w:t>
      </w:r>
      <w:r>
        <w:t xml:space="preserve">326-B. Two considerations defeat the State’s argument.</w:t>
      </w:r>
    </w:p>
    <w:p>
      <w:pPr>
        <w:pStyle w:val="BodyText"/>
      </w:pPr>
      <w:r>
        <w:t xml:space="preserve">First, RSA</w:t>
      </w:r>
      <w:r>
        <w:t xml:space="preserve"> </w:t>
      </w:r>
      <w:r>
        <w:t xml:space="preserve">632-A:2, I(g)⁠(1), codifies an element defined by professional recognition. The NPA – a statute – expresses standards articulated by the government, not by the nursing profession. If the legislature meant to define the AFSA element by reference to the NPA, it would expressly have so stated. When the legislature intends an element of a crime or a defense to refer to the provisions of another statute, it makes that reference clear. See, e.g., RSA</w:t>
      </w:r>
      <w:r>
        <w:t xml:space="preserve"> </w:t>
      </w:r>
      <w:r>
        <w:t xml:space="preserve">159:3, I(a) (defining deadly weapon element by reference to RSA</w:t>
      </w:r>
      <w:r>
        <w:t xml:space="preserve"> </w:t>
      </w:r>
      <w:r>
        <w:t xml:space="preserve">625:11); RSA</w:t>
      </w:r>
      <w:r>
        <w:t xml:space="preserve"> </w:t>
      </w:r>
      <w:r>
        <w:t xml:space="preserve">570-A:2, II(k)⁠(1) (referring to RSA</w:t>
      </w:r>
      <w:r>
        <w:t xml:space="preserve"> </w:t>
      </w:r>
      <w:r>
        <w:t xml:space="preserve">259:96); RSA</w:t>
      </w:r>
      <w:r>
        <w:t xml:space="preserve"> </w:t>
      </w:r>
      <w:r>
        <w:t xml:space="preserve">639-A:1, III (referring to RSA</w:t>
      </w:r>
      <w:r>
        <w:t xml:space="preserve"> </w:t>
      </w:r>
      <w:r>
        <w:t xml:space="preserve">161-F:43, VII). Indeed, in RSA</w:t>
      </w:r>
      <w:r>
        <w:t xml:space="preserve"> </w:t>
      </w:r>
      <w:r>
        <w:t xml:space="preserve">318-B, the legislature, defining a defense to a prosecution for possession of drugs, specifically referred to the NPA. RSA</w:t>
      </w:r>
      <w:r>
        <w:t xml:space="preserve"> </w:t>
      </w:r>
      <w:r>
        <w:t xml:space="preserve">318-B:2-b, I &amp; RSA</w:t>
      </w:r>
      <w:r>
        <w:t xml:space="preserve"> </w:t>
      </w:r>
      <w:r>
        <w:t xml:space="preserve">318-B:1, I-b. The statute at issue here, RSA</w:t>
      </w:r>
      <w:r>
        <w:t xml:space="preserve"> </w:t>
      </w:r>
      <w:r>
        <w:t xml:space="preserve">632-A:2, I(g)⁠(1), however, makes no mention of the NPA.</w:t>
      </w:r>
    </w:p>
    <w:p>
      <w:pPr>
        <w:pStyle w:val="BodyText"/>
      </w:pPr>
      <w:r>
        <w:t xml:space="preserve">Second, further confirmation that the legislature did not intend the NPA to supply the definition of the AFSA element appears in the history of the two statutes. Allore’s opening brief described the history of the AFSA provision. DB 34-⁠37. The legislature enacted in its current form the AFSA provision’s elemental language – “professionally recognized as ethical or acceptable” – in 1992. N.H.</w:t>
      </w:r>
      <w:r>
        <w:t xml:space="preserve"> </w:t>
      </w:r>
      <w:r>
        <w:t xml:space="preserve">Laws 1992, ch. 254:6. The State hypothesizes that the legislature intended, in enacting that language, to leave to the NPA the task of defining the boundaries of acceptable and ethical sexual behavior in this treatment-provider context. In 1992, though, the NPA said nothing about sexual behavior.</w:t>
      </w:r>
    </w:p>
    <w:p>
      <w:pPr>
        <w:pStyle w:val="BodyText"/>
      </w:pPr>
      <w:r>
        <w:t xml:space="preserve">Only in 1994 did the legislature first enact, in the NPA, anything specifically about sexual behavior. N.H.</w:t>
      </w:r>
      <w:r>
        <w:t xml:space="preserve"> </w:t>
      </w:r>
      <w:r>
        <w:t xml:space="preserve">Laws 1994, ch. 376:2. Even then, the statute addressed only “sexual misconduct” perpetrated by “psychiatric/​mental health advanced registered nurse practitioners,” a specialty not practiced by Allore. RSA</w:t>
      </w:r>
      <w:r>
        <w:t xml:space="preserve"> </w:t>
      </w:r>
      <w:r>
        <w:t xml:space="preserve">326-B:32, VI &amp; VII (1994). Also, at that time, the legislature did not determine what sexual behavior would constitute “misconduct.” Rather, the statute directed the Nursing Board, together with the boards regulating medicine and psychology, to “adopt rules … for psychiatric/​mental health advanced registered nurse practitioners relative to sexual misconduct and other inappropriate behavior subject to disciplinary action.” RSA</w:t>
      </w:r>
      <w:r>
        <w:t xml:space="preserve"> </w:t>
      </w:r>
      <w:r>
        <w:t xml:space="preserve">326-B:32, VI (1994).</w:t>
      </w:r>
    </w:p>
    <w:p>
      <w:pPr>
        <w:pStyle w:val="BodyTextNote"/>
      </w:pPr>
      <w:r>
        <w:t xml:space="preserve">Not until 2005</w:t>
      </w:r>
      <w:r>
        <w:rPr>
          <w:rStyle w:val="FootnoteReference"/>
        </w:rPr>
        <w:footnoteReference w:id="10"/>
      </w:r>
      <w:r>
        <w:t xml:space="preserve"> </w:t>
      </w:r>
      <w:r>
        <w:t xml:space="preserve">did the legislature enact the language in the NPA on which the State now principally relies. SB 16, 20-⁠22 (citing RSA</w:t>
      </w:r>
      <w:r>
        <w:t xml:space="preserve"> </w:t>
      </w:r>
      <w:r>
        <w:t xml:space="preserve">326-B:37, II(m)). The legislature cannot have intended, in 1992, the “professionally recognized” language it wrote into the AFSA statute to refer to an NPA provision that did not then exist and would not come into existence for thirteen years. For these reasons, this Court must reject the argument that the AFSA statute’s “professionally recognized” language refers to the NPA, or any provision in the NPA.</w:t>
      </w:r>
    </w:p>
    <w:p>
      <w:pPr>
        <w:keepNext/>
        <w:keepLines/>
        <w:spacing w:before="150" w:after="150" w:line="449" w:lineRule="exact"/>
        <w:ind w:left="0" w:firstLine="0"/>
        <w:jc w:val="center"/>
      </w:pPr>
      <w:r>
        <w:rPr>
          <w:b/>
          <w:bCs/>
        </w:rPr>
        <w:t xml:space="preserve">CONCLUSION</w:t>
      </w:r>
    </w:p>
    <w:p>
      <w:pPr>
        <w:pStyle w:val="BodyText"/>
      </w:pPr>
      <w:r>
        <w:t xml:space="preserve">WHEREFORE, Mr. Allore respectfully requests, on the authority of the first and third arguments in his opening brief, that this Court remand with instructions to allow him to present evidence of consent. He requests, on the authority of the second argument in his opening brief, that the Court dismiss the charges brought under RSA</w:t>
      </w:r>
      <w:r>
        <w:t xml:space="preserve"> </w:t>
      </w:r>
      <w:r>
        <w:t xml:space="preserve">632-A:2, I(g)⁠(1).</w:t>
      </w:r>
    </w:p>
    <w:p>
      <w:pPr>
        <w:pStyle w:val="BodyText"/>
      </w:pPr>
      <w:r>
        <w:t xml:space="preserve">Undersigned counsel requests fifteen minutes oral argument before a full panel.</w:t>
      </w:r>
    </w:p>
    <w:p>
      <w:pPr>
        <w:pStyle w:val="BodyText"/>
      </w:pPr>
      <w:r>
        <w:t xml:space="preserve">This brief complies with the applicable word limitation and contains approximately 762 words.</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0" w:firstLine="0"/>
              <w:jc w:val="left"/>
            </w:pPr>
            <w:r>
              <w:t xml:space="preserve">DATED:</w:t>
            </w:r>
            <w:r>
              <w:t xml:space="preserve"> </w:t>
            </w:r>
            <w:r>
              <w:t xml:space="preserve">April</w:t>
            </w:r>
            <w:r>
              <w:t xml:space="preserve"> </w:t>
            </w:r>
            <w:r>
              <w:t xml:space="preserve">4,</w:t>
            </w:r>
            <w:r>
              <w:t xml:space="preserve"> </w:t>
            </w:r>
            <w:r>
              <w:t xml:space="preserve">2025</w:t>
            </w:r>
          </w:p>
          <w:p>
            <w:pPr>
              <w:spacing w:before="208" w:after="0" w:line="299" w:lineRule="exact"/>
              <w:ind w:left="0" w:firstLine="0"/>
              <w:jc w:val="left"/>
            </w:pPr>
            <w:r>
              <w:t xml:space="preserve">Respectfully</w:t>
            </w:r>
            <w:r>
              <w:t xml:space="preserve"> </w:t>
            </w:r>
            <w:r>
              <w:t xml:space="preserve">submitted,</w:t>
            </w:r>
          </w:p>
          <w:p>
            <w:pPr>
              <w:spacing w:before="312" w:after="0" w:line="299" w:lineRule="exact"/>
              <w:ind w:left="0" w:right="2160" w:firstLine="0"/>
              <w:jc w:val="left"/>
            </w:pPr>
            <w:r>
              <w:t xml:space="preserve">/s/</w:t>
            </w:r>
            <w:r>
              <w:t xml:space="preserve"> </w:t>
            </w:r>
            <w:r>
              <w:t xml:space="preserve">Christopher</w:t>
            </w:r>
            <w:r>
              <w:t xml:space="preserve"> </w:t>
            </w:r>
            <w:r>
              <w:t xml:space="preserve">M.</w:t>
            </w:r>
            <w:r>
              <w:t xml:space="preserve"> </w:t>
            </w:r>
            <w:r>
              <w:t xml:space="preserve">Johnson</w:t>
            </w:r>
          </w:p>
          <w:p>
            <w:pPr>
              <w:spacing w:before="0" w:after="0" w:line="299" w:lineRule="exact"/>
              <w:ind w:left="0" w:right="2160" w:firstLine="0"/>
              <w:jc w:val="left"/>
            </w:pPr>
            <w:r>
              <w:t xml:space="preserve">#15149</w:t>
            </w:r>
          </w:p>
          <w:p>
            <w:pPr>
              <w:spacing w:before="0" w:after="0" w:line="299" w:lineRule="exact"/>
              <w:ind w:left="0" w:right="2160" w:firstLine="0"/>
              <w:jc w:val="left"/>
            </w:pPr>
            <w:r>
              <w:t xml:space="preserve">Chief</w:t>
            </w:r>
            <w:r>
              <w:t xml:space="preserve"> </w:t>
            </w:r>
            <w:r>
              <w:t xml:space="preserve">Appellate</w:t>
            </w:r>
            <w:r>
              <w:t xml:space="preserve"> </w:t>
            </w:r>
            <w:r>
              <w:t xml:space="preserve">Defender</w:t>
            </w:r>
          </w:p>
          <w:p>
            <w:pPr>
              <w:spacing w:before="0" w:after="0" w:line="299" w:lineRule="exact"/>
              <w:ind w:left="0" w:right="2160" w:firstLine="0"/>
              <w:jc w:val="left"/>
            </w:pPr>
            <w:r>
              <w:t xml:space="preserve">Appellate</w:t>
            </w:r>
            <w:r>
              <w:t xml:space="preserve"> </w:t>
            </w:r>
            <w:r>
              <w:t xml:space="preserve">Defender</w:t>
            </w:r>
            <w:r>
              <w:t xml:space="preserve"> </w:t>
            </w:r>
            <w:r>
              <w:t xml:space="preserve">Program</w:t>
            </w:r>
          </w:p>
          <w:p>
            <w:pPr>
              <w:spacing w:before="0" w:after="0" w:line="299" w:lineRule="exact"/>
              <w:ind w:left="0" w:right="2160" w:firstLine="0"/>
              <w:jc w:val="left"/>
            </w:pPr>
            <w:r>
              <w:t xml:space="preserve">10</w:t>
            </w:r>
            <w:r>
              <w:t xml:space="preserve"> </w:t>
            </w:r>
            <w:r>
              <w:t xml:space="preserve">Ferry</w:t>
            </w:r>
            <w:r>
              <w:t xml:space="preserve"> </w:t>
            </w:r>
            <w:r>
              <w:t xml:space="preserve">Street,</w:t>
            </w:r>
            <w:r>
              <w:t xml:space="preserve"> </w:t>
            </w:r>
            <w:r>
              <w:t xml:space="preserve">Suite</w:t>
            </w:r>
            <w:r>
              <w:t xml:space="preserve"> </w:t>
            </w:r>
            <w:r>
              <w:t xml:space="preserve">202</w:t>
            </w:r>
          </w:p>
          <w:p>
            <w:pPr>
              <w:spacing w:before="0" w:after="0" w:line="299" w:lineRule="exact"/>
              <w:ind w:left="0" w:right="2160" w:firstLine="0"/>
              <w:jc w:val="left"/>
            </w:pPr>
            <w:r>
              <w:t xml:space="preserve">Concord,</w:t>
            </w:r>
            <w:r>
              <w:t xml:space="preserve"> </w:t>
            </w:r>
            <w:r>
              <w:t xml:space="preserve">NH</w:t>
            </w:r>
            <w:r>
              <w:t xml:space="preserve"> </w:t>
            </w:r>
            <w:r>
              <w:t xml:space="preserve">03301</w:t>
            </w:r>
          </w:p>
        </w:tc>
      </w:tr>
    </w:tbl>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156"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49"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being</w:t>
            </w:r>
            <w:r>
              <w:t xml:space="preserve"> </w:t>
            </w:r>
            <w:r>
              <w:t xml:space="preserve">timely</w:t>
            </w:r>
            <w:r>
              <w:t xml:space="preserve"> </w:t>
            </w:r>
            <w:r>
              <w:t xml:space="preserve">provided</w:t>
            </w:r>
            <w:r>
              <w:t xml:space="preserve"> </w:t>
            </w:r>
            <w:r>
              <w:t xml:space="preserve">to</w:t>
            </w:r>
            <w:r>
              <w:t xml:space="preserve"> </w:t>
            </w:r>
            <w:r>
              <w:t xml:space="preserve">Sam</w:t>
            </w:r>
            <w:r>
              <w:t xml:space="preserve"> </w:t>
            </w:r>
            <w:r>
              <w:t xml:space="preserve">M.</w:t>
            </w:r>
            <w:r>
              <w:t xml:space="preserve"> </w:t>
            </w:r>
            <w:r>
              <w:t xml:space="preserve">Gonyea,</w:t>
            </w:r>
            <w:r>
              <w:t xml:space="preserve"> </w:t>
            </w:r>
            <w:r>
              <w:t xml:space="preserve">counsel</w:t>
            </w:r>
            <w:r>
              <w:t xml:space="preserve"> </w:t>
            </w:r>
            <w:r>
              <w:t xml:space="preserve">for</w:t>
            </w:r>
            <w:r>
              <w:t xml:space="preserve"> </w:t>
            </w:r>
            <w:r>
              <w:t xml:space="preserve">the</w:t>
            </w:r>
            <w:r>
              <w:t xml:space="preserve"> </w:t>
            </w:r>
            <w:r>
              <w:t xml:space="preserve">State,</w:t>
            </w:r>
            <w:r>
              <w:t xml:space="preserve"> </w:t>
            </w:r>
            <w:r>
              <w:t xml:space="preserve">through</w:t>
            </w:r>
            <w:r>
              <w:t xml:space="preserve"> </w:t>
            </w:r>
            <w:r>
              <w:t xml:space="preserve">the</w:t>
            </w:r>
            <w:r>
              <w:t xml:space="preserve"> </w:t>
            </w:r>
            <w:r>
              <w:t xml:space="preserve">electronic</w:t>
            </w:r>
            <w:r>
              <w:t xml:space="preserve"> </w:t>
            </w:r>
            <w:r>
              <w:t xml:space="preserve">filing</w:t>
            </w:r>
            <w:r>
              <w:t xml:space="preserve"> </w:t>
            </w:r>
            <w:r>
              <w:t xml:space="preserve">system’s</w:t>
            </w:r>
            <w:r>
              <w:t xml:space="preserve"> </w:t>
            </w:r>
            <w:r>
              <w:t xml:space="preserve">electronic</w:t>
            </w:r>
            <w:r>
              <w:t xml:space="preserve"> </w:t>
            </w:r>
            <w:r>
              <w:t xml:space="preserve">service.</w:t>
            </w:r>
          </w:p>
          <w:p>
            <w:pPr>
              <w:spacing w:before="312" w:after="0" w:line="299" w:lineRule="exact"/>
              <w:ind w:left="0" w:right="2160" w:firstLine="0"/>
              <w:jc w:val="left"/>
            </w:pPr>
            <w:r>
              <w:t xml:space="preserve">/s/</w:t>
            </w:r>
            <w:r>
              <w:t xml:space="preserve"> </w:t>
            </w:r>
            <w:r>
              <w:t xml:space="preserve">Christopher</w:t>
            </w:r>
            <w:r>
              <w:t xml:space="preserve"> </w:t>
            </w:r>
            <w:r>
              <w:t xml:space="preserve">M.</w:t>
            </w:r>
            <w:r>
              <w:t xml:space="preserve"> </w:t>
            </w:r>
            <w:r>
              <w:t xml:space="preserve">Johnson</w:t>
            </w:r>
          </w:p>
        </w:tc>
      </w:tr>
    </w:tbl>
    <w:sectPr>
      <w:footerReference w:type="default" r:id="rIdXdPage"/>
      <w:footerReference w:type="first" r:id="rIdXdNone"/>
      <w:pgSz w:w="12240" w:h="15840"/>
      <w:pgMar w:top="2160" w:right="2160" w:bottom="2160" w:left="2160" w:header="720" w:footer="1213"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to the record are as follows: “DB” refers to Allore’s opening brief; “SB” refers to the State’s brief; “A” refers to the appendix filed with Allore’s opening brief.</w:t>
      </w:r>
    </w:p>
  </w:footnote>
  <w:footnote w:id="10">
    <w:p>
      <w:pPr>
        <w:pStyle w:val="FootnoteText"/>
      </w:pPr>
      <w:r>
        <w:rPr>
          <w:rStyle w:val="FootnoteReference"/>
        </w:rPr>
        <w:footnoteRef/>
      </w:r>
      <w:r>
        <w:t xml:space="preserve"> </w:t>
      </w:r>
      <w:r>
        <w:t xml:space="preserve">N.H.</w:t>
      </w:r>
      <w:r>
        <w:t xml:space="preserve"> </w:t>
      </w:r>
      <w:r>
        <w:t xml:space="preserve">Laws 2005, ch. 293:1.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432" w:hanging="432"/>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33" w:after="15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49" w:lineRule="exact"/>
      <w:ind w:left="720" w:right="720" w:firstLine="0"/>
    </w:pPr>
  </w:style>
  <w:style w:type="paragraph" w:customStyle="1" w:styleId="XdQuoteFirst">
    <w:name w:val="Xd Quote First"/>
    <w:basedOn w:val="Normal"/>
    <w:qFormat/>
    <w:pPr>
      <w:spacing w:before="150" w:after="0" w:line="449" w:lineRule="exact"/>
      <w:ind w:left="720" w:right="720" w:firstLine="0"/>
    </w:pPr>
  </w:style>
  <w:style w:type="paragraph" w:customStyle="1" w:styleId="XdQuoteLast">
    <w:name w:val="Xd Quote Last"/>
    <w:basedOn w:val="Normal"/>
    <w:qFormat/>
    <w:pPr>
      <w:spacing w:before="0" w:after="150" w:line="449" w:lineRule="exact"/>
      <w:ind w:left="720" w:right="720" w:firstLine="0"/>
    </w:pPr>
  </w:style>
  <w:style w:type="paragraph" w:customStyle="1" w:styleId="XdQuoteOnly">
    <w:name w:val="Xd Quote Only"/>
    <w:basedOn w:val="Normal"/>
    <w:qFormat/>
    <w:pPr>
      <w:spacing w:before="150" w:after="150" w:line="44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9" w:lineRule="exact"/>
      <w:ind w:left="432" w:hanging="432"/>
    </w:pPr>
  </w:style>
  <w:style w:type="paragraph" w:customStyle="1" w:styleId="XdList2">
    <w:name w:val="XdList 2"/>
    <w:basedOn w:val="Normal"/>
    <w:qFormat/>
    <w:pPr>
      <w:spacing w:before="0" w:after="0" w:line="449" w:lineRule="exact"/>
      <w:ind w:left="864" w:hanging="432"/>
    </w:pPr>
  </w:style>
  <w:style w:type="paragraph" w:customStyle="1" w:styleId="XdList3">
    <w:name w:val="XdList 3"/>
    <w:basedOn w:val="Normal"/>
    <w:qFormat/>
    <w:pPr>
      <w:spacing w:before="0" w:after="0" w:line="449" w:lineRule="exact"/>
      <w:ind w:left="1296" w:hanging="432"/>
    </w:pPr>
  </w:style>
  <w:style w:type="paragraph" w:customStyle="1" w:styleId="XdTailList1">
    <w:name w:val="XdTailList 1"/>
    <w:basedOn w:val="Normal"/>
    <w:qFormat/>
    <w:pPr>
      <w:spacing w:before="0" w:after="0" w:line="299" w:lineRule="exact"/>
      <w:ind w:left="432" w:hanging="432"/>
    </w:pPr>
  </w:style>
  <w:style w:type="paragraph" w:customStyle="1" w:styleId="XdTailList2">
    <w:name w:val="XdTailList 2"/>
    <w:basedOn w:val="Normal"/>
    <w:qFormat/>
    <w:pPr>
      <w:spacing w:before="0" w:after="0" w:line="299" w:lineRule="exact"/>
      <w:ind w:left="864" w:hanging="432"/>
    </w:pPr>
  </w:style>
  <w:style w:type="paragraph" w:customStyle="1" w:styleId="XdTailList3">
    <w:name w:val="XdTailList 3"/>
    <w:basedOn w:val="Normal"/>
    <w:qFormat/>
    <w:pPr>
      <w:spacing w:before="0" w:after="0" w:line="299" w:lineRule="exact"/>
      <w:ind w:left="1296" w:hanging="432"/>
    </w:pPr>
  </w:style>
  <w:style w:type="paragraph" w:customStyle="1" w:styleId="XdQuoteList1">
    <w:name w:val="Xd Quote List 1"/>
    <w:basedOn w:val="Normal"/>
    <w:qFormat/>
    <w:pPr>
      <w:spacing w:before="0" w:after="0" w:line="449" w:lineRule="exact"/>
      <w:ind w:left="1152" w:right="720" w:hanging="432"/>
    </w:pPr>
  </w:style>
  <w:style w:type="paragraph" w:customStyle="1" w:styleId="XdQuoteList2">
    <w:name w:val="Xd Quote List 2"/>
    <w:basedOn w:val="Normal"/>
    <w:qFormat/>
    <w:pPr>
      <w:spacing w:before="0" w:after="0" w:line="449" w:lineRule="exact"/>
      <w:ind w:left="1584" w:right="720" w:hanging="432"/>
    </w:pPr>
  </w:style>
  <w:style w:type="paragraph" w:customStyle="1" w:styleId="XdQuoteList3">
    <w:name w:val="Xd Quote List 3"/>
    <w:basedOn w:val="Normal"/>
    <w:qFormat/>
    <w:pPr>
      <w:spacing w:before="0" w:after="0" w:line="449" w:lineRule="exact"/>
      <w:ind w:left="2016" w:right="720" w:hanging="432"/>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