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tr-none.xml" ContentType="application/vnd.openxmlformats-officedocument.wordprocessingml.footer+xml"/>
  <Override PartName="/word/ftr-page.xml" ContentType="application/vnd.openxmlformats-officedocument.wordprocessingml.footer+xml"/>
  <Override PartName="/word/ftr-add.xml" ContentType="application/vnd.openxmlformats-officedocument.wordprocessingml.footer+xml"/>
  <Override PartName="/word/ftr-own1.xml" ContentType="application/vnd.openxmlformats-officedocument.wordprocessingml.footer+xml"/>
  <Override PartName="/word/ftr-own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</w:p>
    <w:p>
      <w:pPr>
        <w:spacing w:before="72" w:after="0" w:line="276" w:lineRule="exact"/>
        <w:ind w:left="0" w:firstLine="0"/>
        <w:jc w:val="center"/>
      </w:pP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South</w:t>
      </w:r>
      <w:r>
        <w:t xml:space="preserve"> </w:t>
      </w:r>
      <w:r>
        <w:t xml:space="preserve">Carolina</w:t>
      </w:r>
    </w:p>
    <w:p>
      <w:pPr>
        <w:spacing w:before="0" w:after="0" w:line="216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p>
      <w:pPr>
        <w:spacing w:before="144" w:after="0" w:line="276" w:lineRule="exact"/>
        <w:ind w:left="0" w:firstLine="0"/>
        <w:jc w:val="center"/>
      </w:pPr>
      <w:r>
        <w:t xml:space="preserve">Appellate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2026-⁠000032</w:t>
      </w:r>
    </w:p>
    <w:p>
      <w:pPr>
        <w:spacing w:before="0" w:after="0" w:line="14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904"/>
        <w:gridCol w:w="3456"/>
      </w:tblGrid>
      <w:tr>
        <w:trPr>
          <w:cantSplit/>
        </w:trPr>
        <w:tc>
          <w:tcPr>
            <w:tcW w:w="59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South</w:t>
            </w:r>
            <w:r>
              <w:t xml:space="preserve"> </w:t>
            </w:r>
            <w:r>
              <w:t xml:space="preserve">Carolina</w:t>
            </w:r>
            <w:r>
              <w:t xml:space="preserve"> </w:t>
            </w:r>
            <w:r>
              <w:t xml:space="preserve">Public</w:t>
            </w:r>
            <w:r>
              <w:t xml:space="preserve"> </w:t>
            </w:r>
            <w:r>
              <w:t xml:space="preserve">Interest</w:t>
            </w:r>
            <w:r>
              <w:t xml:space="preserve"> </w:t>
            </w:r>
            <w:r>
              <w:t xml:space="preserve">Foundation;</w:t>
            </w:r>
            <w:r>
              <w:t xml:space="preserve"> </w:t>
            </w:r>
            <w:r>
              <w:t xml:space="preserve">James</w:t>
            </w:r>
            <w:r>
              <w:t xml:space="preserve"> </w:t>
            </w:r>
            <w:r>
              <w:t xml:space="preserve">Weninger,</w:t>
            </w:r>
          </w:p>
        </w:tc>
        <w:tc>
          <w:tcPr>
            <w:tcW w:w="3456" w:type="dxa"/>
            <w:tcMar>
              <w:left w:w="432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Petitioners,</w:t>
            </w:r>
          </w:p>
        </w:tc>
      </w:tr>
    </w:tbl>
    <w:p>
      <w:pPr>
        <w:spacing w:before="144" w:after="144" w:line="276" w:lineRule="exact"/>
        <w:ind w:left="0" w:firstLine="0"/>
        <w:jc w:val="center"/>
      </w:pPr>
      <w:r>
        <w:t xml:space="preserve">v.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904"/>
        <w:gridCol w:w="3456"/>
      </w:tblGrid>
      <w:tr>
        <w:trPr>
          <w:cantSplit/>
        </w:trPr>
        <w:tc>
          <w:tcPr>
            <w:tcW w:w="5904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Henry</w:t>
            </w:r>
            <w:r>
              <w:t xml:space="preserve"> </w:t>
            </w:r>
            <w:r>
              <w:t xml:space="preserve">McMaster,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Governor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State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Carolina;</w:t>
            </w:r>
            <w:r>
              <w:t xml:space="preserve"> </w:t>
            </w:r>
            <w:r>
              <w:t xml:space="preserve">Major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Robin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Stilwell,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capacity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Adjutant</w:t>
            </w:r>
            <w:r>
              <w:t xml:space="preserve"> </w:t>
            </w:r>
            <w:r>
              <w:t xml:space="preserve">General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Carolina</w:t>
            </w:r>
            <w:r>
              <w:t xml:space="preserve"> </w:t>
            </w:r>
            <w:r>
              <w:t xml:space="preserve">National</w:t>
            </w:r>
            <w:r>
              <w:t xml:space="preserve"> </w:t>
            </w:r>
            <w:r>
              <w:t xml:space="preserve">Guard,</w:t>
            </w:r>
          </w:p>
        </w:tc>
        <w:tc>
          <w:tcPr>
            <w:tcW w:w="3456" w:type="dxa"/>
            <w:tcMar>
              <w:left w:w="432" w:type="dxa"/>
            </w:tcMar>
            <w:vAlign w:val="center"/>
          </w:tcPr>
          <w:p>
            <w:pPr>
              <w:spacing w:before="0" w:after="0" w:line="276" w:lineRule="exact"/>
              <w:ind w:left="0" w:firstLine="0"/>
              <w:jc w:val="right"/>
            </w:pPr>
            <w:r>
              <w:t xml:space="preserve">Respondents.</w:t>
            </w:r>
          </w:p>
        </w:tc>
      </w:tr>
    </w:tbl>
    <w:p>
      <w:pPr>
        <w:spacing w:before="0" w:after="0" w:line="14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p>
      <w:pPr>
        <w:spacing w:before="192" w:after="0" w:line="276" w:lineRule="exact"/>
        <w:ind w:left="0" w:firstLine="0"/>
        <w:jc w:val="center"/>
      </w:pPr>
      <w:r>
        <w:rPr>
          <w:b/>
          <w:bCs/>
        </w:rPr>
        <w:t xml:space="preserve">PETITION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</w:p>
    <w:p>
      <w:pPr>
        <w:spacing w:before="0" w:after="0" w:line="144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574"/>
        <w:gridCol w:w="4212"/>
        <w:gridCol w:w="2574"/>
      </w:tblGrid>
      <w:tr>
        <w:trPr>
          <w:cantSplit/>
        </w:trPr>
        <w:tc>
          <w:tcPr>
            <w:tcW w:w="2574" w:type="dxa"/>
          </w:tcPr>
          <w:p>
            <w:pPr>
              <w:spacing w:before="0" w:after="0" w:line="1" w:lineRule="exact"/>
            </w:pPr>
          </w:p>
        </w:tc>
        <w:tc>
          <w:tcPr>
            <w:tcW w:w="4212" w:type="dxa"/>
          </w:tcPr>
          <w:p>
            <w:pPr>
              <w:pBdr>
                <w:top w:val="single" w:sz="5" w:space="0" w:color="000000"/>
              </w:pBdr>
              <w:spacing w:before="0" w:after="0" w:line="1" w:lineRule="exact"/>
            </w:pPr>
          </w:p>
        </w:tc>
        <w:tc>
          <w:tcPr>
            <w:tcW w:w="2574" w:type="dxa"/>
          </w:tcPr>
          <w:p>
            <w:pPr>
              <w:spacing w:before="0" w:after="0" w:line="1" w:lineRule="exact"/>
            </w:pPr>
          </w:p>
        </w:tc>
      </w:tr>
    </w:tbl>
    <w:p>
      <w:pPr>
        <w:pageBreakBefore/>
        <w:spacing w:before="0" w:after="0" w:line="1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92"/>
        <w:gridCol w:w="4968"/>
      </w:tblGrid>
      <w:tr>
        <w:trPr>
          <w:cantSplit/>
        </w:trPr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Allen</w:t>
            </w:r>
            <w:r>
              <w:t xml:space="preserve"> </w:t>
            </w:r>
            <w:r>
              <w:t xml:space="preserve">Chaney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SC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104038</w:t>
            </w:r>
          </w:p>
          <w:p>
            <w:pPr>
              <w:spacing w:before="72" w:after="0" w:line="276" w:lineRule="exact"/>
              <w:ind w:left="0" w:firstLine="0"/>
              <w:jc w:val="left"/>
            </w:pPr>
            <w:r>
              <w:t xml:space="preserve">ACLU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t xml:space="preserve">South</w:t>
            </w:r>
            <w:r>
              <w:t xml:space="preserve"> </w:t>
            </w:r>
            <w:r>
              <w:t xml:space="preserve">Carolina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1668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Columbia,</w:t>
            </w:r>
            <w:r>
              <w:t xml:space="preserve"> </w:t>
            </w:r>
            <w:r>
              <w:t xml:space="preserve">SC</w:t>
            </w:r>
            <w:r>
              <w:t xml:space="preserve"> </w:t>
            </w:r>
            <w:r>
              <w:t xml:space="preserve">29202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(864)</w:t>
            </w:r>
            <w:r>
              <w:t xml:space="preserve"> </w:t>
            </w:r>
            <w:r>
              <w:t xml:space="preserve">372-⁠6681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achaney@aclusc.org</w:t>
            </w:r>
          </w:p>
        </w:tc>
        <w:tc>
          <w:tcPr>
            <w:tcW w:w="4968" w:type="dxa"/>
            <w:tcMar>
              <w:left w:w="576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William</w:t>
            </w:r>
            <w:r>
              <w:t xml:space="preserve"> </w:t>
            </w:r>
            <w:r>
              <w:t xml:space="preserve">B.</w:t>
            </w:r>
            <w:r>
              <w:t xml:space="preserve"> </w:t>
            </w:r>
            <w:r>
              <w:t xml:space="preserve">Bardwell*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Aman</w:t>
            </w:r>
            <w:r>
              <w:t xml:space="preserve"> </w:t>
            </w:r>
            <w:r>
              <w:t xml:space="preserve">T.</w:t>
            </w:r>
            <w:r>
              <w:t xml:space="preserve"> </w:t>
            </w:r>
            <w:r>
              <w:t xml:space="preserve">George*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Brian</w:t>
            </w:r>
            <w:r>
              <w:t xml:space="preserve"> </w:t>
            </w:r>
            <w:r>
              <w:t xml:space="preserve">D.</w:t>
            </w:r>
            <w:r>
              <w:t xml:space="preserve"> </w:t>
            </w:r>
            <w:r>
              <w:t xml:space="preserve">Netter*</w:t>
            </w:r>
          </w:p>
          <w:p>
            <w:pPr>
              <w:spacing w:before="72" w:after="0" w:line="276" w:lineRule="exact"/>
              <w:ind w:left="0" w:firstLine="0"/>
              <w:jc w:val="left"/>
            </w:pPr>
            <w:r>
              <w:t xml:space="preserve">Democracy</w:t>
            </w:r>
            <w:r>
              <w:t xml:space="preserve"> </w:t>
            </w:r>
            <w:r>
              <w:t xml:space="preserve">Forward</w:t>
            </w:r>
            <w:r>
              <w:t xml:space="preserve"> </w:t>
            </w:r>
            <w:r>
              <w:t xml:space="preserve">Foundation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P.O.</w:t>
            </w:r>
            <w:r>
              <w:t xml:space="preserve"> </w:t>
            </w:r>
            <w:r>
              <w:t xml:space="preserve">Box</w:t>
            </w:r>
            <w:r>
              <w:t xml:space="preserve"> </w:t>
            </w:r>
            <w:r>
              <w:t xml:space="preserve">34553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Washington,</w:t>
            </w:r>
            <w:r>
              <w:t xml:space="preserve"> </w:t>
            </w:r>
            <w:r>
              <w:t xml:space="preserve">DC</w:t>
            </w:r>
            <w:r>
              <w:t xml:space="preserve"> </w:t>
            </w:r>
            <w:r>
              <w:t xml:space="preserve">20043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*</w:t>
            </w:r>
            <w:r>
              <w:t xml:space="preserve"> </w:t>
            </w:r>
            <w:r>
              <w:t xml:space="preserve">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applications</w:t>
            </w:r>
            <w:r>
              <w:t xml:space="preserve"> </w:t>
            </w:r>
            <w:r>
              <w:t xml:space="preserve">pending</w:t>
            </w:r>
          </w:p>
          <w:p>
            <w:pPr>
              <w:spacing w:before="96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Petitioners</w:t>
            </w:r>
          </w:p>
        </w:tc>
      </w:tr>
    </w:tbl>
    <w:p>
      <w:pPr>
        <w:spacing w:before="0" w:after="0" w:line="288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392"/>
        <w:gridCol w:w="4968"/>
      </w:tblGrid>
      <w:tr>
        <w:trPr>
          <w:cantSplit/>
        </w:trPr>
        <w:tc>
          <w:tcPr>
            <w:tcW w:w="439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James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Carpenter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SC</w:t>
            </w:r>
            <w:r>
              <w:t xml:space="preserve"> </w:t>
            </w:r>
            <w:r>
              <w:t xml:space="preserve">Bar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1136</w:t>
            </w:r>
          </w:p>
          <w:p>
            <w:pPr>
              <w:spacing w:before="72" w:after="0" w:line="276" w:lineRule="exact"/>
              <w:ind w:left="0" w:firstLine="0"/>
              <w:jc w:val="left"/>
            </w:pPr>
            <w:r>
              <w:t xml:space="preserve">The</w:t>
            </w:r>
            <w:r>
              <w:t xml:space="preserve"> </w:t>
            </w:r>
            <w:r>
              <w:t xml:space="preserve">Carpenter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Firm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819</w:t>
            </w:r>
            <w:r>
              <w:t xml:space="preserve"> </w:t>
            </w:r>
            <w:r>
              <w:t xml:space="preserve">East</w:t>
            </w:r>
            <w:r>
              <w:t xml:space="preserve"> </w:t>
            </w:r>
            <w:r>
              <w:t xml:space="preserve">North</w:t>
            </w:r>
            <w:r>
              <w:t xml:space="preserve"> </w:t>
            </w:r>
            <w:r>
              <w:t xml:space="preserve">Street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Greenville,</w:t>
            </w:r>
            <w:r>
              <w:t xml:space="preserve"> </w:t>
            </w:r>
            <w:r>
              <w:t xml:space="preserve">SC</w:t>
            </w:r>
            <w:r>
              <w:t xml:space="preserve"> </w:t>
            </w:r>
            <w:r>
              <w:t xml:space="preserve">29601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(864)</w:t>
            </w:r>
            <w:r>
              <w:t xml:space="preserve"> </w:t>
            </w:r>
            <w:r>
              <w:t xml:space="preserve">235-⁠1269</w:t>
            </w:r>
          </w:p>
          <w:p>
            <w:pPr>
              <w:spacing w:before="96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Petitioners</w:t>
            </w:r>
          </w:p>
        </w:tc>
        <w:tc>
          <w:tcPr>
            <w:tcW w:w="4968" w:type="dxa"/>
            <w:tcMar>
              <w:left w:w="576" w:type="dxa"/>
            </w:tcMar>
          </w:tcPr>
          <w:p>
            <w:pPr>
              <w:spacing w:before="0" w:after="0" w:line="1" w:lineRule="exact"/>
            </w:pPr>
          </w:p>
        </w:tc>
      </w:tr>
    </w:tbl>
    <w:p>
      <w:pPr>
        <w:spacing w:before="576" w:after="0" w:line="276" w:lineRule="exact"/>
        <w:ind w:left="0" w:firstLine="0"/>
        <w:jc w:val="left"/>
      </w:pPr>
      <w:r>
        <w:t xml:space="preserve">Dated:</w:t>
      </w:r>
      <w:r>
        <w:t xml:space="preserve"> </w:t>
      </w:r>
      <w:r>
        <w:t xml:space="preserve">January</w:t>
      </w:r>
      <w:r>
        <w:t xml:space="preserve"> </w:t>
      </w:r>
      <w:r>
        <w:t xml:space="preserve">7,</w:t>
      </w:r>
      <w:r>
        <w:t xml:space="preserve"> </w:t>
      </w:r>
      <w:r>
        <w:t xml:space="preserve">2026</w:t>
      </w:r>
    </w:p>
    <w:p>
      <w:pPr>
        <w:pageBreakBefore/>
        <w:spacing w:before="0" w:after="0" w:line="1" w:lineRule="exact"/>
      </w:pPr>
    </w:p>
    <w:p>
      <w:pPr>
        <w:keepNext/>
        <w:keepLines/>
        <w:spacing w:before="0" w:after="216" w:line="276" w:lineRule="exact"/>
        <w:ind w:left="0" w:firstLine="0"/>
        <w:jc w:val="center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CONTENTS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INTRODUCTION</w:t>
      </w:r>
      <w:r>
        <w:t xml:space="preserve">   </w:t>
      </w:r>
      <w:r>
        <w:tab/>
      </w:r>
      <w:r>
        <w:t xml:space="preserve">4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BACKGROUND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I.</w:t>
      </w:r>
      <w:r>
        <w:t xml:space="preserve"> </w:t>
      </w:r>
      <w:r>
        <w:t xml:space="preserve">Types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Guard</w:t>
      </w:r>
      <w:r>
        <w:t xml:space="preserve"> </w:t>
      </w:r>
      <w:r>
        <w:t xml:space="preserve">Deployments</w:t>
      </w:r>
      <w:r>
        <w:t xml:space="preserve">   </w:t>
      </w:r>
      <w:r>
        <w:tab/>
      </w:r>
      <w:r>
        <w:t xml:space="preserve">5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II.</w:t>
      </w:r>
      <w:r>
        <w:t xml:space="preserve"> </w:t>
      </w:r>
      <w:r>
        <w:t xml:space="preserve">South</w:t>
      </w:r>
      <w:r>
        <w:t xml:space="preserve"> </w:t>
      </w:r>
      <w:r>
        <w:t xml:space="preserve">Carolina’s</w:t>
      </w:r>
      <w:r>
        <w:t xml:space="preserve"> </w:t>
      </w:r>
      <w:r>
        <w:t xml:space="preserve">Limits</w:t>
      </w:r>
      <w:r>
        <w:t xml:space="preserve"> </w:t>
      </w:r>
      <w:r>
        <w:t xml:space="preserve">on</w:t>
      </w:r>
      <w:r>
        <w:t xml:space="preserve"> </w:t>
      </w:r>
      <w:r>
        <w:t xml:space="preserve">National</w:t>
      </w:r>
      <w:r>
        <w:t xml:space="preserve"> </w:t>
      </w:r>
      <w:r>
        <w:t xml:space="preserve">Guard</w:t>
      </w:r>
      <w:r>
        <w:t xml:space="preserve"> </w:t>
      </w:r>
      <w:r>
        <w:t xml:space="preserve">Deployment</w:t>
      </w:r>
      <w:r>
        <w:t xml:space="preserve">   </w:t>
      </w:r>
      <w:r>
        <w:tab/>
      </w:r>
      <w:r>
        <w:t xml:space="preserve">6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III.</w:t>
      </w:r>
      <w:r>
        <w:t xml:space="preserve"> </w:t>
      </w:r>
      <w:r>
        <w:t xml:space="preserve">Governor</w:t>
      </w:r>
      <w:r>
        <w:t xml:space="preserve"> </w:t>
      </w:r>
      <w:r>
        <w:t xml:space="preserve">McMaster’s</w:t>
      </w:r>
      <w:r>
        <w:t xml:space="preserve"> </w:t>
      </w:r>
      <w:r>
        <w:t xml:space="preserve">National</w:t>
      </w:r>
      <w:r>
        <w:t xml:space="preserve"> </w:t>
      </w:r>
      <w:r>
        <w:t xml:space="preserve">Guard</w:t>
      </w:r>
      <w:r>
        <w:t xml:space="preserve"> </w:t>
      </w:r>
      <w:r>
        <w:t xml:space="preserve">Deployments</w:t>
      </w:r>
      <w:r>
        <w:t xml:space="preserve"> </w:t>
      </w:r>
      <w:r>
        <w:t xml:space="preserve">to</w:t>
      </w:r>
      <w:r>
        <w:t xml:space="preserve"> </w:t>
      </w:r>
      <w:r>
        <w:t xml:space="preserve">D.C.</w:t>
      </w:r>
      <w:r>
        <w:t xml:space="preserve">   </w:t>
      </w:r>
      <w:r>
        <w:tab/>
      </w:r>
      <w:r>
        <w:t xml:space="preserve">8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IV.</w:t>
      </w:r>
      <w:r>
        <w:t xml:space="preserve"> </w:t>
      </w:r>
      <w:r>
        <w:t xml:space="preserve">Circumstances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Columbia</w:t>
      </w:r>
      <w:r>
        <w:t xml:space="preserve">   </w:t>
      </w:r>
      <w:r>
        <w:tab/>
      </w:r>
      <w:r>
        <w:t xml:space="preserve">10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ORIGINAL</w:t>
      </w:r>
      <w:r>
        <w:t xml:space="preserve"> </w:t>
      </w:r>
      <w:r>
        <w:t xml:space="preserve">JURISDICTION</w:t>
      </w:r>
      <w:r>
        <w:t xml:space="preserve">   </w:t>
      </w:r>
      <w:r>
        <w:tab/>
      </w:r>
      <w:r>
        <w:t xml:space="preserve">11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I.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raises</w:t>
      </w:r>
      <w:r>
        <w:t xml:space="preserve"> </w:t>
      </w:r>
      <w:r>
        <w:t xml:space="preserve">an</w:t>
      </w:r>
      <w:r>
        <w:t xml:space="preserve"> </w:t>
      </w:r>
      <w:r>
        <w:t xml:space="preserve">important</w:t>
      </w:r>
      <w:r>
        <w:t xml:space="preserve"> </w:t>
      </w:r>
      <w:r>
        <w:t xml:space="preserve">question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interest.</w:t>
      </w:r>
      <w:r>
        <w:t xml:space="preserve">   </w:t>
      </w:r>
      <w:r>
        <w:tab/>
      </w:r>
      <w:r>
        <w:t xml:space="preserve">12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II.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demands</w:t>
      </w:r>
      <w:r>
        <w:t xml:space="preserve"> </w:t>
      </w:r>
      <w:r>
        <w:t xml:space="preserve">prompt</w:t>
      </w:r>
      <w:r>
        <w:t xml:space="preserve"> </w:t>
      </w:r>
      <w:r>
        <w:t xml:space="preserve">resolution.</w:t>
      </w:r>
      <w:r>
        <w:t xml:space="preserve">   </w:t>
      </w:r>
      <w:r>
        <w:tab/>
      </w:r>
      <w:r>
        <w:t xml:space="preserve">13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III.</w:t>
      </w:r>
      <w:r>
        <w:t xml:space="preserve"> </w:t>
      </w:r>
      <w:r>
        <w:t xml:space="preserve">The</w:t>
      </w:r>
      <w:r>
        <w:t xml:space="preserve"> </w:t>
      </w:r>
      <w:r>
        <w:t xml:space="preserve">issues</w:t>
      </w:r>
      <w:r>
        <w:t xml:space="preserve"> </w:t>
      </w:r>
      <w:r>
        <w:t xml:space="preserve">raised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t xml:space="preserve">development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lower</w:t>
      </w:r>
      <w:r>
        <w:t xml:space="preserve"> </w:t>
      </w:r>
      <w:r>
        <w:t xml:space="preserve">courts.</w:t>
      </w:r>
      <w:r>
        <w:t xml:space="preserve">   </w:t>
      </w:r>
      <w:r>
        <w:tab/>
      </w:r>
      <w:r>
        <w:t xml:space="preserve">14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GROUNDS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   </w:t>
      </w:r>
      <w:r>
        <w:tab/>
      </w:r>
      <w:r>
        <w:t xml:space="preserve">14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I.</w:t>
      </w:r>
      <w:r>
        <w:t xml:space="preserve"> </w:t>
      </w:r>
      <w:r>
        <w:t xml:space="preserve">Governor</w:t>
      </w:r>
      <w:r>
        <w:t xml:space="preserve"> </w:t>
      </w:r>
      <w:r>
        <w:t xml:space="preserve">McMaster’s</w:t>
      </w:r>
      <w:r>
        <w:t xml:space="preserve"> </w:t>
      </w:r>
      <w:r>
        <w:t xml:space="preserve">deployment</w:t>
      </w:r>
      <w:r>
        <w:t xml:space="preserve"> </w:t>
      </w:r>
      <w:r>
        <w:t xml:space="preserve">of</w:t>
      </w:r>
      <w:r>
        <w:t xml:space="preserve"> </w:t>
      </w:r>
      <w:r>
        <w:t xml:space="preserve">National</w:t>
      </w:r>
      <w:r>
        <w:t xml:space="preserve"> </w:t>
      </w:r>
      <w:r>
        <w:t xml:space="preserve">Guard</w:t>
      </w:r>
      <w:r>
        <w:t xml:space="preserve"> </w:t>
      </w:r>
      <w:r>
        <w:t xml:space="preserve">troops</w:t>
      </w:r>
      <w:r>
        <w:t xml:space="preserve"> </w:t>
      </w:r>
      <w:r>
        <w:t xml:space="preserve">to</w:t>
      </w:r>
      <w:r>
        <w:t xml:space="preserve"> </w:t>
      </w:r>
      <w:r>
        <w:t xml:space="preserve">Washington</w:t>
      </w:r>
      <w:r>
        <w:t xml:space="preserve"> </w:t>
      </w:r>
      <w:r>
        <w:t xml:space="preserve">D.C.</w:t>
      </w:r>
      <w:r>
        <w:t xml:space="preserve"> </w:t>
      </w:r>
      <w:r>
        <w:t xml:space="preserve">is</w:t>
      </w:r>
      <w:r>
        <w:t xml:space="preserve"> </w:t>
      </w:r>
      <w:r>
        <w:t xml:space="preserve">ultra</w:t>
      </w:r>
      <w:r>
        <w:t xml:space="preserve"> </w:t>
      </w:r>
      <w:r>
        <w:t xml:space="preserve">vires.</w:t>
      </w:r>
      <w:r>
        <w:t xml:space="preserve">   </w:t>
      </w:r>
      <w:r>
        <w:tab/>
      </w:r>
      <w:r>
        <w:t xml:space="preserve">14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Governor’s</w:t>
      </w:r>
      <w:r>
        <w:t xml:space="preserve"> </w:t>
      </w:r>
      <w:r>
        <w:t xml:space="preserve">discretionary</w:t>
      </w:r>
      <w:r>
        <w:t xml:space="preserve"> </w:t>
      </w:r>
      <w:r>
        <w:t xml:space="preserve">deployment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32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justified</w:t>
      </w:r>
      <w:r>
        <w:t xml:space="preserve"> </w:t>
      </w:r>
      <w:r>
        <w:t xml:space="preserve">under</w:t>
      </w:r>
      <w:r>
        <w:t xml:space="preserve"> </w:t>
      </w:r>
      <w:r>
        <w:t xml:space="preserve">state</w:t>
      </w:r>
      <w:r>
        <w:t xml:space="preserve"> </w:t>
      </w:r>
      <w:r>
        <w:t xml:space="preserve">law.</w:t>
      </w:r>
      <w:r>
        <w:t xml:space="preserve">   </w:t>
      </w:r>
      <w:r>
        <w:tab/>
      </w:r>
      <w:r>
        <w:t xml:space="preserve">15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Governor</w:t>
      </w:r>
      <w:r>
        <w:t xml:space="preserve"> </w:t>
      </w:r>
      <w:r>
        <w:t xml:space="preserve">cannot</w:t>
      </w:r>
      <w:r>
        <w:t xml:space="preserve"> </w:t>
      </w:r>
      <w:r>
        <w:t xml:space="preserve">satisfy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justifications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Guard</w:t>
      </w:r>
      <w:r>
        <w:t xml:space="preserve"> </w:t>
      </w:r>
      <w:r>
        <w:t xml:space="preserve">deployment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25-⁠1-⁠1840.</w:t>
      </w:r>
      <w:r>
        <w:t xml:space="preserve">   </w:t>
      </w:r>
      <w:r>
        <w:tab/>
      </w:r>
      <w:r>
        <w:t xml:space="preserve">15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deployment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justified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EMAC.</w:t>
      </w:r>
      <w:r>
        <w:t xml:space="preserve">   </w:t>
      </w:r>
      <w:r>
        <w:tab/>
      </w:r>
      <w:r>
        <w:t xml:space="preserve">16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II.</w:t>
      </w:r>
      <w:r>
        <w:t xml:space="preserve"> </w:t>
      </w:r>
      <w:r>
        <w:t xml:space="preserve">Petitioners</w:t>
      </w:r>
      <w:r>
        <w:t xml:space="preserve"> </w:t>
      </w:r>
      <w:r>
        <w:t xml:space="preserve">are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relief</w:t>
      </w:r>
      <w:r>
        <w:t xml:space="preserve"> </w:t>
      </w:r>
      <w:r>
        <w:t xml:space="preserve">from</w:t>
      </w:r>
      <w:r>
        <w:t xml:space="preserve"> </w:t>
      </w:r>
      <w:r>
        <w:t xml:space="preserve">Governor</w:t>
      </w:r>
      <w:r>
        <w:t xml:space="preserve"> </w:t>
      </w:r>
      <w:r>
        <w:t xml:space="preserve">McMaster’s</w:t>
      </w:r>
      <w:r>
        <w:t xml:space="preserve"> </w:t>
      </w:r>
      <w:r>
        <w:t xml:space="preserve">unlawful</w:t>
      </w:r>
      <w:r>
        <w:t xml:space="preserve"> </w:t>
      </w:r>
      <w:r>
        <w:t xml:space="preserve">deployment.</w:t>
      </w:r>
      <w:r>
        <w:t xml:space="preserve">   </w:t>
      </w:r>
      <w:r>
        <w:tab/>
      </w:r>
      <w:r>
        <w:t xml:space="preserve">17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A.</w:t>
      </w:r>
      <w:r>
        <w:t xml:space="preserve"> </w:t>
      </w:r>
      <w:r>
        <w:t xml:space="preserve">All</w:t>
      </w:r>
      <w:r>
        <w:t xml:space="preserve"> </w:t>
      </w:r>
      <w:r>
        <w:t xml:space="preserve">Petitioners</w:t>
      </w:r>
      <w:r>
        <w:t xml:space="preserve"> </w:t>
      </w:r>
      <w:r>
        <w:t xml:space="preserve">have</w:t>
      </w:r>
      <w:r>
        <w:t xml:space="preserve"> </w:t>
      </w:r>
      <w:r>
        <w:t xml:space="preserve">public</w:t>
      </w:r>
      <w:r>
        <w:t xml:space="preserve"> </w:t>
      </w:r>
      <w:r>
        <w:t xml:space="preserve">interest</w:t>
      </w:r>
      <w:r>
        <w:t xml:space="preserve"> </w:t>
      </w:r>
      <w:r>
        <w:t xml:space="preserve">standing</w:t>
      </w:r>
      <w:r>
        <w:t xml:space="preserve"> </w:t>
      </w:r>
      <w:r>
        <w:t xml:space="preserve">to</w:t>
      </w:r>
      <w:r>
        <w:t xml:space="preserve"> </w:t>
      </w:r>
      <w:r>
        <w:t xml:space="preserve">seek</w:t>
      </w:r>
      <w:r>
        <w:t xml:space="preserve"> </w:t>
      </w:r>
      <w:r>
        <w:t xml:space="preserve">relief.</w:t>
      </w:r>
      <w:r>
        <w:t xml:space="preserve">   </w:t>
      </w:r>
      <w:r>
        <w:tab/>
      </w:r>
      <w:r>
        <w:t xml:space="preserve">17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B.</w:t>
      </w:r>
      <w:r>
        <w:t xml:space="preserve"> </w:t>
      </w:r>
      <w:r>
        <w:t xml:space="preserve">Mr.</w:t>
      </w:r>
      <w:r>
        <w:t xml:space="preserve"> </w:t>
      </w:r>
      <w:r>
        <w:t xml:space="preserve">Weninger</w:t>
      </w:r>
      <w:r>
        <w:t xml:space="preserve"> </w:t>
      </w:r>
      <w:r>
        <w:t xml:space="preserve">has</w:t>
      </w:r>
      <w:r>
        <w:t xml:space="preserve"> </w:t>
      </w:r>
      <w:r>
        <w:t xml:space="preserve">taxpayer</w:t>
      </w:r>
      <w:r>
        <w:t xml:space="preserve"> </w:t>
      </w:r>
      <w:r>
        <w:t xml:space="preserve">standing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injured</w:t>
      </w:r>
      <w:r>
        <w:t xml:space="preserve"> </w:t>
      </w:r>
      <w:r>
        <w:t xml:space="preserve">in</w:t>
      </w:r>
      <w:r>
        <w:t xml:space="preserve"> </w:t>
      </w:r>
      <w:r>
        <w:t xml:space="preserve">fact.</w:t>
      </w:r>
      <w:r>
        <w:t xml:space="preserve">   </w:t>
      </w:r>
      <w:r>
        <w:tab/>
      </w:r>
      <w:r>
        <w:t xml:space="preserve">19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III.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Court’s</w:t>
      </w:r>
      <w:r>
        <w:t xml:space="preserve"> </w:t>
      </w:r>
      <w:r>
        <w:t xml:space="preserve">duty</w:t>
      </w:r>
      <w:r>
        <w:t xml:space="preserve"> </w:t>
      </w:r>
      <w:r>
        <w:t xml:space="preserve">to</w:t>
      </w:r>
      <w:r>
        <w:t xml:space="preserve"> </w:t>
      </w:r>
      <w:r>
        <w:t xml:space="preserve">interpret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limits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Governor’s</w:t>
      </w:r>
      <w:r>
        <w:t xml:space="preserve"> </w:t>
      </w:r>
      <w:r>
        <w:t xml:space="preserve">deployment</w:t>
      </w:r>
      <w:r>
        <w:t xml:space="preserve"> </w:t>
      </w:r>
      <w:r>
        <w:t xml:space="preserve">authority.</w:t>
      </w:r>
      <w:r>
        <w:t xml:space="preserve">   </w:t>
      </w:r>
      <w:r>
        <w:tab/>
      </w:r>
      <w:r>
        <w:t xml:space="preserve">20</w:t>
      </w:r>
    </w:p>
    <w:p>
      <w:pPr>
        <w:keepLines/>
        <w:tabs>
          <w:tab w:val="right" w:leader="dot" w:pos="9360"/>
        </w:tabs>
        <w:spacing w:before="144" w:after="0" w:line="276" w:lineRule="exact"/>
        <w:ind w:left="360" w:right="720" w:hanging="360"/>
      </w:pPr>
      <w:r>
        <w:t xml:space="preserve">CONCLUSION</w:t>
      </w:r>
      <w:r>
        <w:t xml:space="preserve">   </w:t>
      </w:r>
      <w:r>
        <w:tab/>
      </w:r>
      <w:r>
        <w:t xml:space="preserve">21</w:t>
      </w:r>
    </w:p>
    <w:p>
      <w:pPr>
        <w:pageBreakBefore/>
        <w:spacing w:before="0" w:after="0" w:line="1" w:lineRule="exact"/>
      </w:pPr>
    </w:p>
    <w:p>
      <w:pPr>
        <w:keepNext/>
        <w:keepLines/>
        <w:spacing w:before="0" w:after="216" w:line="276" w:lineRule="exact"/>
        <w:ind w:left="0" w:firstLine="0"/>
        <w:jc w:val="center"/>
      </w:pPr>
      <w:r>
        <w:rPr>
          <w:b/>
          <w:bCs/>
        </w:rPr>
        <w:t xml:space="preserve">INTRODUCTION</w:t>
      </w:r>
    </w:p>
    <w:p>
      <w:pPr>
        <w:pStyle w:val="BodyText"/>
      </w:pPr>
      <w:r>
        <w:t xml:space="preserve">On November 26, 2025, Governor McMaster sent 300 South Carolina</w:t>
      </w:r>
    </w:p>
    <w:p>
      <w:pPr>
        <w:pStyle w:val="BodyText"/>
      </w:pPr>
      <w:r>
        <w:t xml:space="preserve">National Guard personnel to police routine street crime in the District of Columbia.</w:t>
      </w:r>
    </w:p>
    <w:p>
      <w:pPr>
        <w:pStyle w:val="BodyText"/>
      </w:pPr>
      <w:r>
        <w:t xml:space="preserve">Because the deployment exceeded the Governor’s authority under South Carolina</w:t>
      </w:r>
    </w:p>
    <w:p>
      <w:pPr>
        <w:pStyle w:val="BodyText"/>
      </w:pPr>
      <w:r>
        <w:t xml:space="preserve">law, Petitioners seek declaratory and injunctive relief. 1</w:t>
      </w:r>
    </w:p>
    <w:p>
      <w:pPr>
        <w:pStyle w:val="BodyText"/>
      </w:pPr>
      <w:r>
        <w:t xml:space="preserve">The Governor’s authority as commander-in-chief is not unchecked. Ninety-</w:t>
      </w:r>
    </w:p>
    <w:p>
      <w:pPr>
        <w:pStyle w:val="BodyText"/>
      </w:pPr>
      <w:r>
        <w:t xml:space="preserve">one years ago, in Hearon v. Calus, 178 S.C. 381, 183 S.E. 13 (1935), this Court used</w:t>
      </w:r>
    </w:p>
    <w:p>
      <w:pPr>
        <w:pStyle w:val="BodyText"/>
      </w:pPr>
      <w:r>
        <w:t xml:space="preserve">its original jurisdiction to construe and enforce the legal limits on the Governor’s</w:t>
      </w:r>
    </w:p>
    <w:p>
      <w:pPr>
        <w:pStyle w:val="BodyText"/>
      </w:pPr>
      <w:r>
        <w:t xml:space="preserve">authority over the state’s military forces. Today, Petitioners ask this Court to do it</w:t>
      </w:r>
    </w:p>
    <w:p>
      <w:pPr>
        <w:pStyle w:val="BodyText"/>
      </w:pPr>
      <w:r>
        <w:t xml:space="preserve">again. Consistent with the Court’s role within our constitutional structure, the</w:t>
      </w:r>
    </w:p>
    <w:p>
      <w:pPr>
        <w:pStyle w:val="BodyText"/>
      </w:pPr>
      <w:r>
        <w:t xml:space="preserve">Court should accept this important matter under its original jurisdiction, examine</w:t>
      </w:r>
    </w:p>
    <w:p>
      <w:pPr>
        <w:pStyle w:val="BodyText"/>
      </w:pPr>
      <w:r>
        <w:t xml:space="preserve">the General Assembly’s limits on National Guard deployments under S.C. Code §</w:t>
      </w:r>
    </w:p>
    <w:p>
      <w:pPr>
        <w:pStyle w:val="BodyText"/>
      </w:pPr>
      <w:r>
        <w:t xml:space="preserve">25-⁠1-⁠1840, and then vindicate those limits by declaring the deployment to be in</w:t>
      </w:r>
    </w:p>
    <w:p>
      <w:pPr>
        <w:pStyle w:val="BodyText"/>
      </w:pPr>
      <w:r>
        <w:t xml:space="preserve">excess of the Governor’s lawful authority and to issue a permanent injunction</w:t>
      </w:r>
    </w:p>
    <w:p>
      <w:pPr>
        <w:pStyle w:val="BodyText"/>
      </w:pPr>
      <w:r>
        <w:t xml:space="preserve">vacating Governor McMaster’s agreement to the Title 32 deployment.</w:t>
      </w:r>
    </w:p>
    <w:p>
      <w:pPr>
        <w:pStyle w:val="BodyText"/>
      </w:pPr>
      <w:r>
        <w:t xml:space="preserve">Unquestionably, this case carries sharp political valence. Some political</w:t>
      </w:r>
    </w:p>
    <w:p>
      <w:pPr>
        <w:pStyle w:val="BodyText"/>
      </w:pPr>
      <w:r>
        <w:t xml:space="preserve">leaders have applauded the deployment of National Guard troops to Washington</w:t>
      </w:r>
    </w:p>
    <w:p>
      <w:pPr>
        <w:pStyle w:val="BodyText"/>
      </w:pPr>
      <w:r>
        <w:t xml:space="preserve">D.C., while others have condemned it. But make no mistake: this case asks a purely</w:t>
      </w:r>
    </w:p>
    <w:p>
      <w:pPr>
        <w:pStyle w:val="BodyText"/>
      </w:pPr>
      <w:r>
        <w:t xml:space="preserve">legal question. Petitioners are entitled to relief because the deployment is unlawful,</w:t>
      </w:r>
    </w:p>
    <w:p>
      <w:pPr>
        <w:pStyle w:val="BodyText"/>
      </w:pPr>
      <w:r>
        <w:t xml:space="preserve">not because it is unwise.</w:t>
      </w:r>
    </w:p>
    <w:p>
      <w:pPr>
        <w:pStyle w:val="BodyText"/>
      </w:pPr>
      <w:r>
        <w:t xml:space="preserve">Rather than seeking preliminary injunctive relief, Petitioners respectfully ask that</w:t>
      </w:r>
    </w:p>
    <w:p>
      <w:pPr>
        <w:pStyle w:val="BodyText"/>
      </w:pPr>
      <w:r>
        <w:t xml:space="preserve">the Court order expedited briefing and argument on the merits of their claim. The Governor does not object to the Court ordering expedited briefing on this Petition.</w:t>
      </w:r>
    </w:p>
    <w:p>
      <w:pPr>
        <w:keepNext/>
        <w:keepLines/>
        <w:spacing w:before="288" w:after="216" w:line="276" w:lineRule="exact"/>
        <w:ind w:left="0" w:firstLine="0"/>
        <w:jc w:val="center"/>
      </w:pPr>
      <w:r>
        <w:rPr>
          <w:b/>
          <w:bCs/>
        </w:rPr>
        <w:t xml:space="preserve">BACKGROUND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Types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National</w:t>
      </w:r>
      <w:r>
        <w:rPr>
          <w:b/>
          <w:bCs/>
        </w:rPr>
        <w:t xml:space="preserve"> </w:t>
      </w:r>
      <w:r>
        <w:rPr>
          <w:b/>
          <w:bCs/>
        </w:rPr>
        <w:t xml:space="preserve">Guard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Deployments</w:t>
      </w:r>
    </w:p>
    <w:p>
      <w:pPr>
        <w:pStyle w:val="BodyText"/>
      </w:pPr>
      <w:r>
        <w:t xml:space="preserve">The National Guard is a hybrid military force that is governed by both</w:t>
      </w:r>
    </w:p>
    <w:p>
      <w:pPr>
        <w:pStyle w:val="BodyText"/>
      </w:pPr>
      <w:r>
        <w:t xml:space="preserve">federal and state law. It is a reserve component that is subject to the commands of</w:t>
      </w:r>
    </w:p>
    <w:p>
      <w:pPr>
        <w:pStyle w:val="BodyText"/>
      </w:pPr>
      <w:r>
        <w:t xml:space="preserve">both the President and state governors.</w:t>
      </w:r>
    </w:p>
    <w:p>
      <w:pPr>
        <w:pStyle w:val="BodyText"/>
      </w:pPr>
      <w:r>
        <w:t xml:space="preserve">National Guard troops may be deployed in any of three ways.</w:t>
      </w:r>
    </w:p>
    <w:p>
      <w:pPr>
        <w:pStyle w:val="BodyText"/>
      </w:pPr>
      <w:r>
        <w:t xml:space="preserve">First, the Guard can be called into federal service by the President under</w:t>
      </w:r>
    </w:p>
    <w:p>
      <w:pPr>
        <w:pStyle w:val="BodyText"/>
      </w:pPr>
      <w:r>
        <w:t xml:space="preserve">Title 10 of the United States Code. See 10 U.S.C. § 12301, et seq. In a Title 10</w:t>
      </w:r>
    </w:p>
    <w:p>
      <w:pPr>
        <w:pStyle w:val="BodyText"/>
      </w:pPr>
      <w:r>
        <w:t xml:space="preserve">deployment, governors have no discretion over whether to comply: the National</w:t>
      </w:r>
    </w:p>
    <w:p>
      <w:pPr>
        <w:pStyle w:val="BodyText"/>
      </w:pPr>
      <w:r>
        <w:t xml:space="preserve">Guard personnel are immediately federalized and become members of the United</w:t>
      </w:r>
    </w:p>
    <w:p>
      <w:pPr>
        <w:pStyle w:val="BodyText"/>
      </w:pPr>
      <w:r>
        <w:t xml:space="preserve">States Army Reserve or Air Force Reserve. Title 10 is the legal mechanism by which</w:t>
      </w:r>
    </w:p>
    <w:p>
      <w:pPr>
        <w:pStyle w:val="BodyText"/>
      </w:pPr>
      <w:r>
        <w:t xml:space="preserve">President Trump has federalized, for example, the California, Oregon, and Illinois</w:t>
      </w:r>
    </w:p>
    <w:p>
      <w:pPr>
        <w:pStyle w:val="BodyText"/>
      </w:pPr>
      <w:r>
        <w:t xml:space="preserve">National Guards. See, e.g., Newsom v. Trump, 786 F.Supp.3d 1235 (N.D. Cal. 2025),</w:t>
      </w:r>
    </w:p>
    <w:p>
      <w:pPr>
        <w:pStyle w:val="BodyText"/>
      </w:pPr>
      <w:r>
        <w:t xml:space="preserve">administrative stay granted on other grounds, 141 F.4th 1032 (9th Cir. 2025),</w:t>
      </w:r>
    </w:p>
    <w:p>
      <w:pPr>
        <w:pStyle w:val="BodyText"/>
      </w:pPr>
      <w:r>
        <w:t xml:space="preserve">denying rehearing en banc, 158 F.4th 984 (9th Cir. 2025).</w:t>
      </w:r>
    </w:p>
    <w:p>
      <w:pPr>
        <w:pStyle w:val="BodyText"/>
      </w:pPr>
      <w:r>
        <w:t xml:space="preserve">In the other two types of deployments, the National Guard is not federalized</w:t>
      </w:r>
    </w:p>
    <w:p>
      <w:pPr>
        <w:pStyle w:val="BodyText"/>
      </w:pPr>
      <w:r>
        <w:t xml:space="preserve">under Title 10 and instead stays “under the command of the state Governor.” Ass’n</w:t>
      </w:r>
    </w:p>
    <w:p>
      <w:pPr>
        <w:pStyle w:val="BodyText"/>
      </w:pPr>
      <w:r>
        <w:t xml:space="preserve">of Civilian Technicians, Inc. v. United States, 603 F.3d 989, 993 (D.C. Cir. 2010).</w:t>
      </w:r>
    </w:p>
    <w:p>
      <w:pPr>
        <w:pStyle w:val="BodyText"/>
      </w:pPr>
      <w:r>
        <w:t xml:space="preserve">These two types of deployments are: a traditional state deployment (such as</w:t>
      </w:r>
    </w:p>
    <w:p>
      <w:pPr>
        <w:pStyle w:val="BodyText"/>
      </w:pPr>
      <w:r>
        <w:t xml:space="preserve">assisting with in-state disaster recovery), or a deployment under Title 32 of the</w:t>
      </w:r>
    </w:p>
    <w:p>
      <w:pPr>
        <w:pStyle w:val="BodyText"/>
      </w:pPr>
      <w:r>
        <w:t xml:space="preserve">United States Code. Under Title 32, the Guard is deployed under the command of</w:t>
      </w:r>
    </w:p>
    <w:p>
      <w:pPr>
        <w:pStyle w:val="BodyText"/>
      </w:pPr>
      <w:r>
        <w:t xml:space="preserve">the state governor, but “at the request of the President or Secretary of Defense.” 32</w:t>
      </w:r>
    </w:p>
    <w:p>
      <w:pPr>
        <w:pStyle w:val="BodyText"/>
      </w:pPr>
      <w:r>
        <w:t xml:space="preserve">U.S.C. § 502(f) (emphasis added). Governors are not required to consent to Title 32</w:t>
      </w:r>
    </w:p>
    <w:p>
      <w:pPr>
        <w:pStyle w:val="BodyText"/>
      </w:pPr>
      <w:r>
        <w:t xml:space="preserve">requests, and their decisions concerning whether to agree are constrained by their</w:t>
      </w:r>
    </w:p>
    <w:p>
      <w:pPr>
        <w:pStyle w:val="BodyText"/>
      </w:pPr>
      <w:r>
        <w:t xml:space="preserve">respective state law. “In other words, Title 32 covers those activities performed by</w:t>
      </w:r>
    </w:p>
    <w:p>
      <w:pPr>
        <w:pStyle w:val="BodyText"/>
      </w:pPr>
      <w:r>
        <w:t xml:space="preserve">state National Guard units when they remain under the control of their own state</w:t>
      </w:r>
    </w:p>
    <w:p>
      <w:pPr>
        <w:pStyle w:val="BodyText"/>
      </w:pPr>
      <w:r>
        <w:t xml:space="preserve">governors and generals but receive federal funding to assist with a federal mission.”</w:t>
      </w:r>
    </w:p>
    <w:p>
      <w:pPr>
        <w:pStyle w:val="BodyText"/>
      </w:pPr>
      <w:r>
        <w:t xml:space="preserve">District of Columbia v. Trump, No. 25-cv-⁠3005 (JMC), 2025 WL 3240331, at *3</w:t>
      </w:r>
    </w:p>
    <w:p>
      <w:pPr>
        <w:pStyle w:val="BodyText"/>
      </w:pPr>
      <w:r>
        <w:t xml:space="preserve">(D.D.C. Nov. 20, 2025), injunction stayed administratively on other grounds, 2025</w:t>
      </w:r>
    </w:p>
    <w:p>
      <w:pPr>
        <w:pStyle w:val="BodyText"/>
      </w:pPr>
      <w:r>
        <w:t xml:space="preserve">WL 3673674 (D.C. Cir. Dec. 17, 2025). See also Brief of Amici Curiae States of South</w:t>
      </w:r>
    </w:p>
    <w:p>
      <w:pPr>
        <w:pStyle w:val="BodyText"/>
      </w:pPr>
      <w:r>
        <w:t xml:space="preserve">Carolina, West Virginia, and 21 Additional States in Support of Defendants’</w:t>
      </w:r>
    </w:p>
    <w:p>
      <w:pPr>
        <w:pStyle w:val="BodyText"/>
      </w:pPr>
      <w:r>
        <w:t xml:space="preserve">Opposition to Plaintiff’s Motion for Preliminary Injunction, District of Columbia v. Trump, 2025 WL 3089667, § II(b) (Sep. 16, 2025) (“The President requested</w:t>
      </w:r>
    </w:p>
    <w:p>
      <w:pPr>
        <w:pStyle w:val="BodyText"/>
      </w:pPr>
      <w:r>
        <w:t xml:space="preserve">assistance from the States ⁠. ⁠. ⁠. – a request which the Governors of the States did not</w:t>
      </w:r>
    </w:p>
    <w:p>
      <w:pPr>
        <w:pStyle w:val="BodyText"/>
      </w:pPr>
      <w:r>
        <w:t xml:space="preserve">have to yield to[.]”); id. (“Amici States ⁠. ⁠. ⁠. are in the best position to speak to the</w:t>
      </w:r>
    </w:p>
    <w:p>
      <w:pPr>
        <w:pStyle w:val="BodyText"/>
      </w:pPr>
      <w:r>
        <w:t xml:space="preserve">actions and intentions behind the deployment; the troops were deployed pursuant to</w:t>
      </w:r>
    </w:p>
    <w:p>
      <w:pPr>
        <w:pStyle w:val="BodyText"/>
      </w:pPr>
      <w:r>
        <w:t xml:space="preserve">their Governors’ orders under Title 32 status.”).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South</w:t>
      </w:r>
      <w:r>
        <w:rPr>
          <w:b/>
          <w:bCs/>
        </w:rPr>
        <w:t xml:space="preserve"> </w:t>
      </w:r>
      <w:r>
        <w:rPr>
          <w:b/>
          <w:bCs/>
        </w:rPr>
        <w:t xml:space="preserve">Carolina’s</w:t>
      </w:r>
      <w:r>
        <w:rPr>
          <w:b/>
          <w:bCs/>
        </w:rPr>
        <w:t xml:space="preserve"> </w:t>
      </w:r>
      <w:r>
        <w:rPr>
          <w:b/>
          <w:bCs/>
        </w:rPr>
        <w:t xml:space="preserve">Limits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National</w:t>
      </w:r>
      <w:r>
        <w:rPr>
          <w:b/>
          <w:bCs/>
        </w:rPr>
        <w:t xml:space="preserve"> </w:t>
      </w:r>
      <w:r>
        <w:rPr>
          <w:b/>
          <w:bCs/>
        </w:rPr>
        <w:t xml:space="preserve">Guard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</w:t>
      </w:r>
    </w:p>
    <w:p>
      <w:pPr>
        <w:pStyle w:val="BodyText"/>
      </w:pPr>
      <w:r>
        <w:t xml:space="preserve">The South Carolina Constitution designates the Governor as commander-in-</w:t>
      </w:r>
    </w:p>
    <w:p>
      <w:pPr>
        <w:pStyle w:val="BodyText"/>
      </w:pPr>
      <w:r>
        <w:t xml:space="preserve">chief of the state militia. S.C. Const., art. IV, § 13. But the Governor may only</w:t>
      </w:r>
    </w:p>
    <w:p>
      <w:pPr>
        <w:pStyle w:val="BodyText"/>
      </w:pPr>
      <w:r>
        <w:t xml:space="preserve">activate and deploy the Guard within the constraints set by the Legislature, and</w:t>
      </w:r>
    </w:p>
    <w:p>
      <w:pPr>
        <w:pStyle w:val="BodyText"/>
      </w:pPr>
      <w:r>
        <w:t xml:space="preserve">legislative limits in South Carolina (and many other states) have been in place for</w:t>
      </w:r>
    </w:p>
    <w:p>
      <w:pPr>
        <w:pStyle w:val="BodyText"/>
      </w:pPr>
      <w:r>
        <w:t xml:space="preserve">decades. See District of Columbia v. Trump, 2025 WL 3240331, at *12 (D.D.C. Nov.</w:t>
      </w:r>
    </w:p>
    <w:p>
      <w:pPr>
        <w:pStyle w:val="BodyText"/>
      </w:pPr>
      <w:r>
        <w:t xml:space="preserve">20, 2025) (“A brief survey of state law demonstrates that state constitutions and</w:t>
      </w:r>
    </w:p>
    <w:p>
      <w:pPr>
        <w:pStyle w:val="BodyText"/>
      </w:pPr>
      <w:r>
        <w:t xml:space="preserve">statutes often have separate provisions (1) designating the governor as commander</w:t>
      </w:r>
    </w:p>
    <w:p>
      <w:pPr>
        <w:pStyle w:val="BodyText"/>
      </w:pPr>
      <w:r>
        <w:t xml:space="preserve">in chief and (2) listing the situations in which the governor can deploy the state</w:t>
      </w:r>
    </w:p>
    <w:p>
      <w:pPr>
        <w:pStyle w:val="BodyText"/>
      </w:pPr>
      <w:r>
        <w:t xml:space="preserve">militia.”), injunction stayed administratively on other grounds, 2025 WL 3673674</w:t>
      </w:r>
    </w:p>
    <w:p>
      <w:pPr>
        <w:pStyle w:val="BodyText"/>
      </w:pPr>
      <w:r>
        <w:t xml:space="preserve">(D.C. Cir. Dec. 17, 2025).</w:t>
      </w:r>
    </w:p>
    <w:p>
      <w:pPr>
        <w:pStyle w:val="BodyText"/>
      </w:pPr>
      <w:r>
        <w:t xml:space="preserve">The South Carolina Legislature has enacted two Sections of the South</w:t>
      </w:r>
    </w:p>
    <w:p>
      <w:pPr>
        <w:pStyle w:val="BodyText"/>
      </w:pPr>
      <w:r>
        <w:t xml:space="preserve">Carolina Code that cabin the Executive Branch’s power to activate and to deploy the</w:t>
      </w:r>
    </w:p>
    <w:p>
      <w:pPr>
        <w:pStyle w:val="BodyText"/>
      </w:pPr>
      <w:r>
        <w:t xml:space="preserve">National Guard: Sections 25-⁠1-⁠1820 and 25-⁠1-⁠1840.</w:t>
      </w:r>
    </w:p>
    <w:p>
      <w:pPr>
        <w:pStyle w:val="BodyText"/>
      </w:pPr>
      <w:r>
        <w:t xml:space="preserve">Section 25-⁠1-⁠1820 provides the circumstances under which the South</w:t>
      </w:r>
    </w:p>
    <w:p>
      <w:pPr>
        <w:pStyle w:val="BodyText"/>
      </w:pPr>
      <w:r>
        <w:t xml:space="preserve">Carolina National Guard can be called to active duty:</w:t>
      </w:r>
    </w:p>
    <w:p>
      <w:pPr>
        <w:pStyle w:val="BodyText"/>
      </w:pPr>
      <w:r>
        <w:t xml:space="preserve">The National Guard shall not be subject to active duty other than</w:t>
      </w:r>
    </w:p>
    <w:p>
      <w:pPr>
        <w:pStyle w:val="BodyText"/>
      </w:pPr>
      <w:r>
        <w:t xml:space="preserve">training duty, except (a) in case of war, (b) in event or danger of</w:t>
      </w:r>
    </w:p>
    <w:p>
      <w:pPr>
        <w:pStyle w:val="BodyText"/>
      </w:pPr>
      <w:r>
        <w:t xml:space="preserve">invasion by a foreign nation, (c) there is a rebellion or danger of</w:t>
      </w:r>
    </w:p>
    <w:p>
      <w:pPr>
        <w:pStyle w:val="BodyText"/>
      </w:pPr>
      <w:r>
        <w:t xml:space="preserve">rebellion against the authority of the government of the United</w:t>
      </w:r>
    </w:p>
    <w:p>
      <w:pPr>
        <w:pStyle w:val="BodyText"/>
      </w:pPr>
      <w:r>
        <w:t xml:space="preserve">States, (d) the President issues orders to execute the laws of the</w:t>
      </w:r>
    </w:p>
    <w:p>
      <w:pPr>
        <w:pStyle w:val="BodyText"/>
      </w:pPr>
      <w:r>
        <w:t xml:space="preserve">United States, (e) for preventing, repelling or suppressing invasion,</w:t>
      </w:r>
    </w:p>
    <w:p>
      <w:pPr>
        <w:pStyle w:val="BodyText"/>
      </w:pPr>
      <w:r>
        <w:t xml:space="preserve">insurrection or riot, (f) for aiding civil officers in the execution of the</w:t>
      </w:r>
    </w:p>
    <w:p>
      <w:pPr>
        <w:pStyle w:val="BodyText"/>
      </w:pPr>
      <w:r>
        <w:t xml:space="preserve">laws, in which cases the Governor or local commander as provided</w:t>
      </w:r>
    </w:p>
    <w:p>
      <w:pPr>
        <w:pStyle w:val="BodyText"/>
      </w:pPr>
      <w:r>
        <w:t xml:space="preserve">for in Sections 25-⁠1-⁠1840 to 25-⁠1-⁠1880 shall order out for active</w:t>
      </w:r>
    </w:p>
    <w:p>
      <w:pPr>
        <w:pStyle w:val="BodyText"/>
      </w:pPr>
      <w:r>
        <w:t xml:space="preserve">service, by draft or otherwise, as many of the National Guard as</w:t>
      </w:r>
    </w:p>
    <w:p>
      <w:pPr>
        <w:pStyle w:val="BodyText"/>
      </w:pPr>
      <w:r>
        <w:t xml:space="preserve">necessity demands, or (g) during natural disaster or local emergency</w:t>
      </w:r>
    </w:p>
    <w:p>
      <w:pPr>
        <w:pStyle w:val="BodyText"/>
      </w:pPr>
      <w:r>
        <w:t xml:space="preserve">whenever the lives and property of the State’s citizens are</w:t>
      </w:r>
    </w:p>
    <w:p>
      <w:pPr>
        <w:pStyle w:val="BodyText"/>
      </w:pPr>
      <w:r>
        <w:t xml:space="preserve">threatened.</w:t>
      </w:r>
    </w:p>
    <w:p>
      <w:pPr>
        <w:pStyle w:val="BodyText"/>
      </w:pPr>
      <w:r>
        <w:t xml:space="preserve">S.C. Code Ann. § 25-⁠1-⁠1820.</w:t>
      </w:r>
    </w:p>
    <w:p>
      <w:pPr>
        <w:pStyle w:val="BodyText"/>
      </w:pPr>
      <w:r>
        <w:t xml:space="preserve">Section 25-⁠1-⁠1840 authorizes the Governor to deploy active-duty National</w:t>
      </w:r>
    </w:p>
    <w:p>
      <w:pPr>
        <w:pStyle w:val="BodyText"/>
      </w:pPr>
      <w:r>
        <w:t xml:space="preserve">Guard personnel:</w:t>
      </w:r>
    </w:p>
    <w:p>
      <w:pPr>
        <w:pStyle w:val="BodyText"/>
      </w:pPr>
      <w:r>
        <w:t xml:space="preserve">[i]n the event of (a) war, insurrection, rebellion, invasion, tumult, riot</w:t>
      </w:r>
    </w:p>
    <w:p>
      <w:pPr>
        <w:pStyle w:val="BodyText"/>
      </w:pPr>
      <w:r>
        <w:t xml:space="preserve">or a mob, (b) a body of men acting together by force with intent to</w:t>
      </w:r>
    </w:p>
    <w:p>
      <w:pPr>
        <w:pStyle w:val="BodyText"/>
      </w:pPr>
      <w:r>
        <w:t xml:space="preserve">commit a felony, to offer violence to persons or property or by force</w:t>
      </w:r>
    </w:p>
    <w:p>
      <w:pPr>
        <w:pStyle w:val="BodyText"/>
      </w:pPr>
      <w:r>
        <w:t xml:space="preserve">and violence to break and resist the laws of this State or of the United</w:t>
      </w:r>
    </w:p>
    <w:p>
      <w:pPr>
        <w:pStyle w:val="BodyText"/>
      </w:pPr>
      <w:r>
        <w:t xml:space="preserve">States, (c) in case of the imminent danger of the occurrence of any</w:t>
      </w:r>
    </w:p>
    <w:p>
      <w:pPr>
        <w:pStyle w:val="BodyText"/>
      </w:pPr>
      <w:r>
        <w:t xml:space="preserve">such events or (d) in the event of public disaster[.]</w:t>
      </w:r>
    </w:p>
    <w:p>
      <w:pPr>
        <w:pStyle w:val="BodyText"/>
      </w:pPr>
      <w:r>
        <w:t xml:space="preserve">S.C. Code Ann. § 25-⁠1-⁠1840.</w:t>
      </w:r>
    </w:p>
    <w:p>
      <w:pPr>
        <w:pStyle w:val="BodyText"/>
      </w:pPr>
      <w:r>
        <w:t xml:space="preserve">South Carolina law also permits the deployment of National Guard personnel</w:t>
      </w:r>
    </w:p>
    <w:p>
      <w:pPr>
        <w:pStyle w:val="BodyText"/>
      </w:pPr>
      <w:r>
        <w:t xml:space="preserve">outside the state, when requested, to assist with “natural disasters, technological</w:t>
      </w:r>
    </w:p>
    <w:p>
      <w:pPr>
        <w:pStyle w:val="BodyText"/>
      </w:pPr>
      <w:r>
        <w:t xml:space="preserve">hazards, man-made disasters, civil emergency aspects of resources shortages,</w:t>
      </w:r>
    </w:p>
    <w:p>
      <w:pPr>
        <w:pStyle w:val="BodyText"/>
      </w:pPr>
      <w:r>
        <w:t xml:space="preserve">community disorders, insurgencies, or enemy attacks,” through the Emergency</w:t>
      </w:r>
    </w:p>
    <w:p>
      <w:pPr>
        <w:pStyle w:val="BodyText"/>
      </w:pPr>
      <w:r>
        <w:t xml:space="preserve">Management Assistance Compact (EMAC). See S.C. Code § 25-⁠9-⁠420. But the</w:t>
      </w:r>
    </w:p>
    <w:p>
      <w:pPr>
        <w:pStyle w:val="BodyText"/>
      </w:pPr>
      <w:r>
        <w:t xml:space="preserve">deployment ongoing in Washington, D.C., is a Title 32 deployment, not an EMAC</w:t>
      </w:r>
    </w:p>
    <w:p>
      <w:pPr>
        <w:pStyle w:val="BodyText"/>
      </w:pPr>
      <w:r>
        <w:t xml:space="preserve">deployment. See infra Background, Part III. Therefore, EMAC is not relevant here.</w:t>
      </w:r>
    </w:p>
    <w:p>
      <w:pPr>
        <w:pStyle w:val="BodyText"/>
      </w:pPr>
      <w:r>
        <w:t xml:space="preserve">See also infra Grounds for Relief, Part I.C.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McMaster’s</w:t>
      </w:r>
      <w:r>
        <w:rPr>
          <w:b/>
          <w:bCs/>
        </w:rPr>
        <w:t xml:space="preserve"> </w:t>
      </w:r>
      <w:r>
        <w:rPr>
          <w:b/>
          <w:bCs/>
        </w:rPr>
        <w:t xml:space="preserve">National</w:t>
      </w:r>
      <w:r>
        <w:rPr>
          <w:b/>
          <w:bCs/>
        </w:rPr>
        <w:t xml:space="preserve"> </w:t>
      </w:r>
      <w:r>
        <w:rPr>
          <w:b/>
          <w:bCs/>
        </w:rPr>
        <w:t xml:space="preserve">Guard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D.C.</w:t>
      </w:r>
    </w:p>
    <w:p>
      <w:pPr>
        <w:pStyle w:val="BodyText"/>
      </w:pPr>
      <w:r>
        <w:t xml:space="preserve">In August 2025, during hurricane season, Governor McMaster deployed 200</w:t>
      </w:r>
    </w:p>
    <w:p>
      <w:pPr>
        <w:pStyle w:val="BodyText"/>
      </w:pPr>
      <w:r>
        <w:t xml:space="preserve">National Guard personnel to the District of Columbia in response to President</w:t>
      </w:r>
    </w:p>
    <w:p>
      <w:pPr>
        <w:pStyle w:val="BodyText"/>
      </w:pPr>
      <w:r>
        <w:t xml:space="preserve">Trump’s request for military support to “restore law and order” to the Capital. 2 A</w:t>
      </w:r>
    </w:p>
    <w:p>
      <w:pPr>
        <w:pStyle w:val="BodyText"/>
      </w:pPr>
      <w:r>
        <w:t xml:space="preserve">video montage of that first deployment shows the South Carolina National Guard</w:t>
      </w:r>
    </w:p>
    <w:p>
      <w:pPr>
        <w:pStyle w:val="BodyText"/>
      </w:pPr>
      <w:r>
        <w:t xml:space="preserve">personnel strolling down empty sidewalks, working out at the gym, and doing target</w:t>
      </w:r>
    </w:p>
    <w:p>
      <w:pPr>
        <w:pStyle w:val="BodyText"/>
      </w:pPr>
      <w:r>
        <w:t xml:space="preserve">practice a the shooting range. 3 According to the Defense Visual Information</w:t>
      </w:r>
    </w:p>
    <w:p>
      <w:pPr>
        <w:pStyle w:val="BodyText"/>
      </w:pPr>
      <w:r>
        <w:t xml:space="preserve">Distribution Service (“DVIDS”), South Carolina’s troops worked to “ensure[ ⁠]</w:t>
      </w:r>
    </w:p>
    <w:p>
      <w:pPr>
        <w:pStyle w:val="BodyText"/>
      </w:pPr>
      <w:r>
        <w:t xml:space="preserve">Washington, D.C. remains safe and beautiful” by “mak[ing] efforts to prevent and</w:t>
      </w:r>
    </w:p>
    <w:p>
      <w:pPr>
        <w:pStyle w:val="BodyText"/>
      </w:pPr>
      <w:r>
        <w:t xml:space="preserve">intervene in criminal activity, provide immediate medical aid to people in need, and</w:t>
      </w:r>
    </w:p>
    <w:p>
      <w:pPr>
        <w:pStyle w:val="BodyText"/>
      </w:pPr>
      <w:r>
        <w:t xml:space="preserve">instill a general feeling of ease.” 4 That deployment lasted more than a month, with</w:t>
      </w:r>
    </w:p>
    <w:p>
      <w:pPr>
        <w:pStyle w:val="BodyText"/>
      </w:pPr>
      <w:r>
        <w:t xml:space="preserve">troops returning home in mid-September. 5</w:t>
      </w:r>
    </w:p>
    <w:p>
      <w:pPr>
        <w:pStyle w:val="BodyText"/>
      </w:pPr>
      <w:r>
        <w:t xml:space="preserve">Then, on November 26, 2025, Governor McMaster announced that “over 300</w:t>
      </w:r>
    </w:p>
    <w:p>
      <w:pPr>
        <w:pStyle w:val="BodyText"/>
      </w:pPr>
      <w:r>
        <w:t xml:space="preserve">SC Guardsmen will be returning to Washington, DC.” 6 The Governor stated that</w:t>
      </w:r>
    </w:p>
    <w:p>
      <w:pPr>
        <w:pStyle w:val="BodyText"/>
      </w:pPr>
      <w:r>
        <w:t xml:space="preserve">the deployment was in response to an “open-ended” request from the U.S. Secretary</w:t>
      </w:r>
    </w:p>
    <w:p>
      <w:pPr>
        <w:pStyle w:val="BodyText"/>
      </w:pPr>
      <w:r>
        <w:t xml:space="preserve">Office of the Governor, Gov. Henry McMaster Authorizes Deployment of National</w:t>
      </w:r>
    </w:p>
    <w:p>
      <w:pPr>
        <w:pStyle w:val="BodyText"/>
      </w:pPr>
      <w:r>
        <w:t xml:space="preserve">Guard to Washington, D.C., SC.Gov (Aug. 16, 2025), https://​perma.​cc/​2TRK-​SJXH. 3 Defense Visual Information Distribution Service (DVIDS), South Carolina</w:t>
      </w:r>
    </w:p>
    <w:p>
      <w:pPr>
        <w:pStyle w:val="BodyText"/>
      </w:pPr>
      <w:r>
        <w:t xml:space="preserve">National Guard Supports D.C. Safe and Beautiful Mission (Oct. 23, 2025) (available at https://​www.​dvidshub.​net/​video/​985357/​south-​carolina-​national-​guard-​supports- dc-safe-and-beautiful-mission). 4 NVIDS, “National Guard Soldiers Promote Cleanliness, Beauty and Mission</w:t>
      </w:r>
    </w:p>
    <w:p>
      <w:pPr>
        <w:pStyle w:val="BodyText"/>
      </w:pPr>
      <w:r>
        <w:t xml:space="preserve">Readiness” (Oct. 21, 2025), https://​perma.​cc/​UXH9-⁠7ZK7. 5 South Carolina National Guard members return from Washington, DC, WYFF4</w:t>
      </w:r>
    </w:p>
    <w:p>
      <w:pPr>
        <w:pStyle w:val="BodyText"/>
      </w:pPr>
      <w:r>
        <w:t xml:space="preserve">(Sep. 21, 2025), https://​perma.​cc/​6MEJ-⁠9KZS. 6 Gov. Henry McMaster (</w:t>
      </w:r>
      <w:r>
        <w:t xml:space="preserve">@henrymcmaster</w:t>
      </w:r>
      <w:r>
        <w:t xml:space="preserve">), X, (Nov. 26, 2025),</w:t>
      </w:r>
    </w:p>
    <w:p>
      <w:pPr>
        <w:pStyle w:val="BodyText"/>
      </w:pPr>
      <w:r>
        <w:t xml:space="preserve">https://​perma.​cc/​JSN5-⁠4S93.</w:t>
      </w:r>
    </w:p>
    <w:p>
      <w:pPr>
        <w:pStyle w:val="BodyText"/>
      </w:pPr>
      <w:r>
        <w:t xml:space="preserve">of the Army. 7 In the days that followed, Governor McMaster told news reporters:</w:t>
      </w:r>
    </w:p>
    <w:p>
      <w:pPr>
        <w:pStyle w:val="BodyText"/>
      </w:pPr>
      <w:r>
        <w:t xml:space="preserve">“They are ready to go. They’re pleased to go; they’re serious about it, and they’ll do</w:t>
      </w:r>
    </w:p>
    <w:p>
      <w:pPr>
        <w:pStyle w:val="BodyText"/>
      </w:pPr>
      <w:r>
        <w:t xml:space="preserve">their job.” 8 Governor McMaster has made no attempt to justify these</w:t>
      </w:r>
    </w:p>
    <w:p>
      <w:pPr>
        <w:pStyle w:val="BodyText"/>
      </w:pPr>
      <w:r>
        <w:t xml:space="preserve">extraterritorial deployments under South Carolina law, and the duration of the</w:t>
      </w:r>
    </w:p>
    <w:p>
      <w:pPr>
        <w:pStyle w:val="BodyText"/>
      </w:pPr>
      <w:r>
        <w:t xml:space="preserve">present deployment is undetermined.</w:t>
      </w:r>
    </w:p>
    <w:p>
      <w:pPr>
        <w:pStyle w:val="BodyText"/>
      </w:pPr>
      <w:r>
        <w:t xml:space="preserve">Like the August deployment, the November deployment is being funded by</w:t>
      </w:r>
    </w:p>
    <w:p>
      <w:pPr>
        <w:pStyle w:val="BodyText"/>
      </w:pPr>
      <w:r>
        <w:t xml:space="preserve">the federal government under Title 32. 9 As a result, the troops are not “federalized”</w:t>
      </w:r>
    </w:p>
    <w:p>
      <w:pPr>
        <w:pStyle w:val="BodyText"/>
      </w:pPr>
      <w:r>
        <w:t xml:space="preserve">and remain under the command of Governor McMaster. The Mayor of Washington,</w:t>
      </w:r>
    </w:p>
    <w:p>
      <w:pPr>
        <w:pStyle w:val="BodyText"/>
      </w:pPr>
      <w:r>
        <w:t xml:space="preserve">D.C., who is the District’s authorized representative under the EMAC, opposes the</w:t>
      </w:r>
    </w:p>
    <w:p>
      <w:pPr>
        <w:pStyle w:val="BodyText"/>
      </w:pPr>
      <w:r>
        <w:t xml:space="preserve">deployment of National Guard troops in the District and has sued the federal</w:t>
      </w:r>
    </w:p>
    <w:p>
      <w:pPr>
        <w:pStyle w:val="BodyText"/>
      </w:pPr>
      <w:r>
        <w:t xml:space="preserve">government to halt it. See D.C. Code § 7-⁠2332; see also District of Columbia v.</w:t>
      </w:r>
    </w:p>
    <w:p>
      <w:pPr>
        <w:pStyle w:val="BodyText"/>
      </w:pPr>
      <w:r>
        <w:t xml:space="preserve">Trump, 2025 WL 3240331.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Circumstances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Columbia</w:t>
      </w:r>
    </w:p>
    <w:p>
      <w:pPr>
        <w:pStyle w:val="BodyText"/>
      </w:pPr>
      <w:r>
        <w:t xml:space="preserve">When Governor McMaster first deployed National Guard personnel to</w:t>
      </w:r>
    </w:p>
    <w:p>
      <w:pPr>
        <w:pStyle w:val="BodyText"/>
      </w:pPr>
      <w:r>
        <w:t xml:space="preserve">Washington, the Capital’s violent crime rate was at a 30-year low. Guard members</w:t>
      </w:r>
    </w:p>
    <w:p>
      <w:pPr>
        <w:pStyle w:val="BodyText"/>
      </w:pPr>
      <w:r>
        <w:t xml:space="preserve">deployed to the city have repeatedly refuted the existence of any emergency, 10 and</w:t>
      </w:r>
    </w:p>
    <w:p>
      <w:pPr>
        <w:pStyle w:val="BodyText"/>
      </w:pPr>
      <w:r>
        <w:t xml:space="preserve">in the absence of critical Guard duties, Guardsmen and Guardswomen have been</w:t>
      </w:r>
    </w:p>
    <w:p>
      <w:pPr>
        <w:pStyle w:val="BodyText"/>
      </w:pPr>
      <w:r>
        <w:t xml:space="preserve">Marley Bassett, ‘Happy to do it’: McMaster explains S.C. National Guard members’</w:t>
      </w:r>
    </w:p>
    <w:p>
      <w:pPr>
        <w:pStyle w:val="BodyText"/>
      </w:pPr>
      <w:r>
        <w:t xml:space="preserve">return to D.C., WRDW (Dec. 2, 2025, at 4:50am), https://​perma.​cc/​DJ4A-⁠3Q9B. 8 Jessica Holdman, SC sends 300 National Guard troops to DC in second deployment rotation, S.C. Daily Gazette (Dec. 5, 2025, at 9:18am), https://​perma.​cc/​8H5N-⁠2Q8J. 9 Marley Bassett, ‘Happy to do it’: McMaster explains S.C. National Guard members’</w:t>
      </w:r>
    </w:p>
    <w:p>
      <w:pPr>
        <w:pStyle w:val="BodyText"/>
      </w:pPr>
      <w:r>
        <w:t xml:space="preserve">return to D.C., WRDW (Dec. 2, 2025, at 4:50am), https://​perma.​cc/​JQ84-​PGPU. 10 See, e.g., Carla Babb, Troops in DC Encounter Few Crises, But Plenty of Walking</w:t>
      </w:r>
    </w:p>
    <w:p>
      <w:pPr>
        <w:pStyle w:val="BodyText"/>
      </w:pPr>
      <w:r>
        <w:t xml:space="preserve">and Yard Work, Military Times (Sep. 12, 2025), https://​perma.​cc/​JW2C-​NF4M (“Have I seen [an emergency]? I’d better not answer that,” one deployed Guard member said while shaking his head. “Besides people falling off the steps, not really.”); see also id. (“I think it could be nice to work here,” said another Guard member).</w:t>
      </w:r>
    </w:p>
    <w:p>
      <w:pPr>
        <w:pStyle w:val="BodyText"/>
      </w:pPr>
      <w:r>
        <w:t xml:space="preserve">assigned to other tasks: picking up trash, spreading mulch, and painting fences. Id.</w:t>
      </w:r>
    </w:p>
    <w:p>
      <w:pPr>
        <w:pStyle w:val="BodyText"/>
      </w:pPr>
      <w:r>
        <w:t xml:space="preserve">In October, “officials boasted that troops cleared 1,150 bags of trash, spread 1,045</w:t>
      </w:r>
    </w:p>
    <w:p>
      <w:pPr>
        <w:pStyle w:val="BodyText"/>
      </w:pPr>
      <w:r>
        <w:t xml:space="preserve">cubic yards of mulch, removed 50 truckloads of plant waste, cleared 7.9 miles of</w:t>
      </w:r>
    </w:p>
    <w:p>
      <w:pPr>
        <w:pStyle w:val="BodyText"/>
      </w:pPr>
      <w:r>
        <w:t xml:space="preserve">roadway, painted 270 feet of fencing and pruned 400 trees.” Konstantin Tropin, “DC</w:t>
      </w:r>
    </w:p>
    <w:p>
      <w:pPr>
        <w:pStyle w:val="BodyText"/>
      </w:pPr>
      <w:r>
        <w:t xml:space="preserve">National Guard Deployment in the Nation’s Capital Ordered by Trump is Extended</w:t>
      </w:r>
    </w:p>
    <w:p>
      <w:pPr>
        <w:pStyle w:val="BodyText"/>
      </w:pPr>
      <w:r>
        <w:t xml:space="preserve">to Feb. 28,” Konstantin Toropin, DC National Guard Deployment in the Nation’s Capital Ordered by Trump Is Extended to Feb. 28, Military Times (Nov. 6, 2025),</w:t>
      </w:r>
    </w:p>
    <w:p>
      <w:pPr>
        <w:pStyle w:val="BodyText"/>
      </w:pPr>
      <w:r>
        <w:t xml:space="preserve">https://​perma.​cc/​8U7U-​WQXU.</w:t>
      </w:r>
    </w:p>
    <w:p>
      <w:pPr>
        <w:keepNext/>
        <w:keepLines/>
        <w:spacing w:before="288" w:after="216" w:line="276" w:lineRule="exact"/>
        <w:ind w:left="0" w:firstLine="0"/>
        <w:jc w:val="center"/>
      </w:pPr>
      <w:r>
        <w:rPr>
          <w:b/>
          <w:bCs/>
        </w:rPr>
        <w:t xml:space="preserve">GROUNDS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ORIGINAL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</w:p>
    <w:p>
      <w:pPr>
        <w:pStyle w:val="BodyText"/>
      </w:pPr>
      <w:r>
        <w:t xml:space="preserve">South Carolina Appellate Court Rule 245 authorizes this Court to “entertain</w:t>
      </w:r>
    </w:p>
    <w:p>
      <w:pPr>
        <w:pStyle w:val="BodyText"/>
      </w:pPr>
      <w:r>
        <w:t xml:space="preserve">matters in its original jurisdiction ⁠. ⁠. ⁠. [i]f the public interest is involved, or if special</w:t>
      </w:r>
    </w:p>
    <w:p>
      <w:pPr>
        <w:pStyle w:val="BodyText"/>
      </w:pPr>
      <w:r>
        <w:t xml:space="preserve">grounds of emergency or other good reasons exist.” See also S.C. Const. art. V, § 5.</w:t>
      </w:r>
    </w:p>
    <w:p>
      <w:pPr>
        <w:pStyle w:val="BodyText"/>
      </w:pPr>
      <w:r>
        <w:t xml:space="preserve">In essence, “Rule 245 is concerned with whether a case should be resolved by this</w:t>
      </w:r>
    </w:p>
    <w:p>
      <w:pPr>
        <w:pStyle w:val="BodyText"/>
      </w:pPr>
      <w:r>
        <w:t xml:space="preserve">Court in the first instance because of the public interest involved and the need for</w:t>
      </w:r>
    </w:p>
    <w:p>
      <w:pPr>
        <w:pStyle w:val="BodyText"/>
      </w:pPr>
      <w:r>
        <w:t xml:space="preserve">prompt resolution.” Carnival Corp. v. Hist. Ansonborough Neighborhood Ass’n, 407</w:t>
      </w:r>
    </w:p>
    <w:p>
      <w:pPr>
        <w:pStyle w:val="BodyText"/>
      </w:pPr>
      <w:r>
        <w:t xml:space="preserve">S.C. 67, 80, 753 S.E.2d 846, 853 (2014).</w:t>
      </w:r>
    </w:p>
    <w:p>
      <w:pPr>
        <w:pStyle w:val="BodyText"/>
      </w:pPr>
      <w:r>
        <w:t xml:space="preserve">Challenges to the Governor’s authority over the National Guard are properly</w:t>
      </w:r>
    </w:p>
    <w:p>
      <w:pPr>
        <w:pStyle w:val="BodyText"/>
      </w:pPr>
      <w:r>
        <w:t xml:space="preserve">resolved in the Court’s original jurisdiction. See, e.g., Hearon v. Calus, 183 S.E. 13 (1935). As it was in Hearon (which this Court also heard in its original jurisdiction),</w:t>
      </w:r>
    </w:p>
    <w:p>
      <w:pPr>
        <w:pStyle w:val="BodyText"/>
      </w:pPr>
      <w:r>
        <w:t xml:space="preserve">Petitioners’ challenge to Governor McMaster’s extraterritorial deployment of the</w:t>
      </w:r>
    </w:p>
    <w:p>
      <w:pPr>
        <w:pStyle w:val="BodyText"/>
      </w:pPr>
      <w:r>
        <w:t xml:space="preserve">National Guard is both important and urgent enough to warrant the Court’s</w:t>
      </w:r>
    </w:p>
    <w:p>
      <w:pPr>
        <w:pStyle w:val="BodyText"/>
      </w:pPr>
      <w:r>
        <w:t xml:space="preserve">jurisdiction.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w:r>
        <w:rPr>
          <w:b/>
          <w:bCs/>
        </w:rPr>
        <w:t xml:space="preserve">raises</w:t>
      </w:r>
      <w:r>
        <w:rPr>
          <w:b/>
          <w:bCs/>
        </w:rPr>
        <w:t xml:space="preserve"> </w:t>
      </w:r>
      <w:r>
        <w:rPr>
          <w:b/>
          <w:bCs/>
        </w:rPr>
        <w:t xml:space="preserve">an</w:t>
      </w:r>
      <w:r>
        <w:rPr>
          <w:b/>
          <w:bCs/>
        </w:rPr>
        <w:t xml:space="preserve"> </w:t>
      </w:r>
      <w:r>
        <w:rPr>
          <w:b/>
          <w:bCs/>
        </w:rPr>
        <w:t xml:space="preserve">important</w:t>
      </w:r>
      <w:r>
        <w:rPr>
          <w:b/>
          <w:bCs/>
        </w:rPr>
        <w:t xml:space="preserve"> </w:t>
      </w:r>
      <w:r>
        <w:rPr>
          <w:b/>
          <w:bCs/>
        </w:rPr>
        <w:t xml:space="preserve">question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public</w:t>
      </w:r>
      <w:r>
        <w:rPr>
          <w:b/>
          <w:bCs/>
        </w:rPr>
        <w:t xml:space="preserve"> </w:t>
      </w:r>
      <w:r>
        <w:rPr>
          <w:b/>
          <w:bCs/>
        </w:rPr>
        <w:t xml:space="preserve">interest.</w:t>
      </w:r>
    </w:p>
    <w:p>
      <w:pPr>
        <w:pStyle w:val="BodyText"/>
      </w:pPr>
      <w:r>
        <w:t xml:space="preserve">Even the highest office in South Carolina comes with limits on its power. The</w:t>
      </w:r>
    </w:p>
    <w:p>
      <w:pPr>
        <w:pStyle w:val="BodyText"/>
      </w:pPr>
      <w:r>
        <w:t xml:space="preserve">Governor’s authority is carefully constrained by the Constitution and by the duly</w:t>
      </w:r>
    </w:p>
    <w:p>
      <w:pPr>
        <w:pStyle w:val="BodyText"/>
      </w:pPr>
      <w:r>
        <w:t xml:space="preserve">enacted laws of the legislature. The nature, extent, and enforceability of those limits</w:t>
      </w:r>
    </w:p>
    <w:p>
      <w:pPr>
        <w:pStyle w:val="BodyText"/>
      </w:pPr>
      <w:r>
        <w:t xml:space="preserve">are of exceeding importance to our state, its citizens, and to the rule of law.</w:t>
      </w:r>
    </w:p>
    <w:p>
      <w:pPr>
        <w:pStyle w:val="BodyText"/>
      </w:pPr>
      <w:r>
        <w:t xml:space="preserve">This Court has often used its original jurisdiction to resolve challenges to</w:t>
      </w:r>
    </w:p>
    <w:p>
      <w:pPr>
        <w:pStyle w:val="BodyText"/>
      </w:pPr>
      <w:r>
        <w:t xml:space="preserve">highly consequential assertions of gubernatorial authority. In Senate by and</w:t>
      </w:r>
    </w:p>
    <w:p>
      <w:pPr>
        <w:pStyle w:val="BodyText"/>
      </w:pPr>
      <w:r>
        <w:t xml:space="preserve">through Leatherman v. McMaster, 425 S.C. 315, 821 S.E.2d 908 (2018), for example,</w:t>
      </w:r>
    </w:p>
    <w:p>
      <w:pPr>
        <w:pStyle w:val="BodyText"/>
      </w:pPr>
      <w:r>
        <w:t xml:space="preserve">the Court exercised its original jurisdiction to examine the governor’s authority to make recess appointments. Likewise, in Amisub of South Carolina, Inc. v. South</w:t>
      </w:r>
    </w:p>
    <w:p>
      <w:pPr>
        <w:pStyle w:val="BodyText"/>
      </w:pPr>
      <w:r>
        <w:t xml:space="preserve">Carolina Department of Health &amp; Environmental Control, 407 S.C. 583, 757 S.E.2d</w:t>
      </w:r>
    </w:p>
    <w:p>
      <w:pPr>
        <w:pStyle w:val="BodyText"/>
      </w:pPr>
      <w:r>
        <w:t xml:space="preserve">408 (2014), the Court exercised its original jurisdiction to examine the scope of the</w:t>
      </w:r>
    </w:p>
    <w:p>
      <w:pPr>
        <w:pStyle w:val="BodyText"/>
      </w:pPr>
      <w:r>
        <w:t xml:space="preserve">governor’s authority to issue line-item vetoes.</w:t>
      </w:r>
    </w:p>
    <w:p>
      <w:pPr>
        <w:pStyle w:val="BodyText"/>
      </w:pPr>
      <w:r>
        <w:t xml:space="preserve">So too here. Deploying South Carolina National Guard personnel beyond our</w:t>
      </w:r>
    </w:p>
    <w:p>
      <w:pPr>
        <w:pStyle w:val="BodyText"/>
      </w:pPr>
      <w:r>
        <w:t xml:space="preserve">borders (and into a jurisdiction whose officials have opposed it) weakens the South</w:t>
      </w:r>
    </w:p>
    <w:p>
      <w:pPr>
        <w:pStyle w:val="BodyText"/>
      </w:pPr>
      <w:r>
        <w:t xml:space="preserve">Carolina National Guard, deprives our citizens of its services locally, and raises</w:t>
      </w:r>
    </w:p>
    <w:p>
      <w:pPr>
        <w:pStyle w:val="BodyText"/>
      </w:pPr>
      <w:r>
        <w:t xml:space="preserve">serious federalism and comity concerns. See, e.g., Drs. Hosp. of Augusta, L.L.C. v.</w:t>
      </w:r>
    </w:p>
    <w:p>
      <w:pPr>
        <w:pStyle w:val="BodyText"/>
      </w:pPr>
      <w:r>
        <w:t xml:space="preserve">CompTrust AGC Workers’ Comp. Tr. Fund, 371 S.C. 5, 8, 636 S.E.2d 862, 863</w:t>
      </w:r>
    </w:p>
    <w:p>
      <w:pPr>
        <w:pStyle w:val="BodyText"/>
      </w:pPr>
      <w:r>
        <w:t xml:space="preserve">(2006). Indeed, sending armed forces into a state or territory of “equal dignity and</w:t>
      </w:r>
    </w:p>
    <w:p>
      <w:pPr>
        <w:pStyle w:val="BodyText"/>
      </w:pPr>
      <w:r>
        <w:t xml:space="preserve">authority,” Pennoyer v. Neff, 95 U.S. (5 Otto) 714, 722 (1877), risks unsettling the</w:t>
      </w:r>
    </w:p>
    <w:p>
      <w:pPr>
        <w:pStyle w:val="BodyText"/>
      </w:pPr>
      <w:r>
        <w:t xml:space="preserve">delicate, federalist structure of our Nation. See Michael Bahar, The Presidential</w:t>
      </w:r>
    </w:p>
    <w:p>
      <w:pPr>
        <w:pStyle w:val="BodyText"/>
      </w:pPr>
      <w:r>
        <w:t xml:space="preserve">Intervention Principle: The Domestic Use of the Military and the Power of the</w:t>
      </w:r>
    </w:p>
    <w:p>
      <w:pPr>
        <w:pStyle w:val="BodyText"/>
      </w:pPr>
      <w:r>
        <w:t xml:space="preserve">Several States, 5 Harv. Nat’l Sec. J. 537, 575 (2014) (explaining, through several</w:t>
      </w:r>
    </w:p>
    <w:p>
      <w:pPr>
        <w:pStyle w:val="BodyText"/>
      </w:pPr>
      <w:r>
        <w:t xml:space="preserve">examples of federal intervention into state affairs, that “[c]onsultation and comity</w:t>
      </w:r>
    </w:p>
    <w:p>
      <w:pPr>
        <w:pStyle w:val="BodyText"/>
      </w:pPr>
      <w:r>
        <w:t xml:space="preserve">are critical, even when consent is not required”).</w:t>
      </w:r>
    </w:p>
    <w:p>
      <w:pPr>
        <w:pStyle w:val="BodyText"/>
      </w:pPr>
      <w:r>
        <w:t xml:space="preserve">Whether such a deployment is permissible under South Carolina law is</w:t>
      </w:r>
    </w:p>
    <w:p>
      <w:pPr>
        <w:pStyle w:val="BodyText"/>
      </w:pPr>
      <w:r>
        <w:t xml:space="preserve">undoubtedly a question of paramount public and legal importance, and a question</w:t>
      </w:r>
    </w:p>
    <w:p>
      <w:pPr>
        <w:pStyle w:val="BodyText"/>
      </w:pPr>
      <w:r>
        <w:t xml:space="preserve">properly answered by this Court in the first instance.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This</w:t>
      </w:r>
      <w:r>
        <w:rPr>
          <w:b/>
          <w:bCs/>
        </w:rPr>
        <w:t xml:space="preserve"> </w:t>
      </w:r>
      <w:r>
        <w:rPr>
          <w:b/>
          <w:bCs/>
        </w:rPr>
        <w:t xml:space="preserve">matter</w:t>
      </w:r>
      <w:r>
        <w:rPr>
          <w:b/>
          <w:bCs/>
        </w:rPr>
        <w:t xml:space="preserve"> </w:t>
      </w:r>
      <w:r>
        <w:rPr>
          <w:b/>
          <w:bCs/>
        </w:rPr>
        <w:t xml:space="preserve">demands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rPr>
          <w:b/>
          <w:bCs/>
        </w:rPr>
        <w:t xml:space="preserve"> </w:t>
      </w:r>
      <w:r>
        <w:rPr>
          <w:b/>
          <w:bCs/>
        </w:rPr>
        <w:t xml:space="preserve">resolution.</w:t>
      </w:r>
    </w:p>
    <w:p>
      <w:pPr>
        <w:pStyle w:val="BodyText"/>
      </w:pPr>
      <w:r>
        <w:t xml:space="preserve">This matter is time-sensitive, and requiring that it proceed through the lower</w:t>
      </w:r>
    </w:p>
    <w:p>
      <w:pPr>
        <w:pStyle w:val="BodyText"/>
      </w:pPr>
      <w:r>
        <w:t xml:space="preserve">courts will thwart Petitioners’ bid for relief. The harms at stake in this case are</w:t>
      </w:r>
    </w:p>
    <w:p>
      <w:pPr>
        <w:pStyle w:val="BodyText"/>
      </w:pPr>
      <w:r>
        <w:t xml:space="preserve">ongoing, and they compound every day that the unlawful deployment continues.</w:t>
      </w:r>
    </w:p>
    <w:p>
      <w:pPr>
        <w:pStyle w:val="BodyText"/>
      </w:pPr>
      <w:r>
        <w:t xml:space="preserve">The end date for the deployment is currently indeterminate. Furthermore, the</w:t>
      </w:r>
    </w:p>
    <w:p>
      <w:pPr>
        <w:pStyle w:val="BodyText"/>
      </w:pPr>
      <w:r>
        <w:t xml:space="preserve">federal government has indicated that it intends to continue and to expand the</w:t>
      </w:r>
    </w:p>
    <w:p>
      <w:pPr>
        <w:pStyle w:val="BodyText"/>
      </w:pPr>
      <w:r>
        <w:t xml:space="preserve">practice of using National Guard personnel to police street crime (or for even more</w:t>
      </w:r>
    </w:p>
    <w:p>
      <w:pPr>
        <w:pStyle w:val="BodyText"/>
      </w:pPr>
      <w:r>
        <w:t xml:space="preserve">mundane tasks, such as raking leaves and painting fences), raising the possibility</w:t>
      </w:r>
    </w:p>
    <w:p>
      <w:pPr>
        <w:pStyle w:val="BodyText"/>
      </w:pPr>
      <w:r>
        <w:t xml:space="preserve">that the Governor might send the South Carolina National Guard to yet more states. Unless this Court addresses Governor McMaster’s illegal deployment</w:t>
      </w:r>
    </w:p>
    <w:p>
      <w:pPr>
        <w:pStyle w:val="BodyText"/>
      </w:pPr>
      <w:r>
        <w:t xml:space="preserve">quickly, the present unlawful deployment will continue, and future deployments</w:t>
      </w:r>
    </w:p>
    <w:p>
      <w:pPr>
        <w:pStyle w:val="BodyText"/>
      </w:pPr>
      <w:r>
        <w:t xml:space="preserve">might occur before this case reaches this Court in the normal course. See Carnival</w:t>
      </w:r>
    </w:p>
    <w:p>
      <w:pPr>
        <w:pStyle w:val="BodyText"/>
      </w:pPr>
      <w:r>
        <w:t xml:space="preserve">Corp, 753 S.E.2d at 853 (noting that Rule 245 considers, in part, “the need for</w:t>
      </w:r>
    </w:p>
    <w:p>
      <w:pPr>
        <w:pStyle w:val="BodyText"/>
      </w:pPr>
      <w:r>
        <w:t xml:space="preserve">prompt resolution.”).</w:t>
      </w:r>
    </w:p>
    <w:p>
      <w:pPr>
        <w:pStyle w:val="BodyText"/>
      </w:pPr>
      <w:r>
        <w:t xml:space="preserve">Instructively, a Tennessee chancery court recently entered a preliminary</w:t>
      </w:r>
    </w:p>
    <w:p>
      <w:pPr>
        <w:pStyle w:val="BodyText"/>
      </w:pPr>
      <w:r>
        <w:t xml:space="preserve">injunction against its governor’s Title 32 National Guard deployment ongoing in</w:t>
      </w:r>
    </w:p>
    <w:p>
      <w:pPr>
        <w:pStyle w:val="BodyText"/>
      </w:pPr>
      <w:r>
        <w:t xml:space="preserve">that state. Harris v. Lee, No. 25-⁠1461-I, Order on Plaintiffs’ Motion for Temporary</w:t>
      </w:r>
    </w:p>
    <w:p>
      <w:pPr>
        <w:pStyle w:val="BodyText"/>
      </w:pPr>
      <w:r>
        <w:t xml:space="preserve">Injunction (Chan. Ct. 20th Jud. Dist., Davidson Cnty., Tenn. Nov. 17, 2025). In so doing, it held (among other things) that the public interest supported an injunction,</w:t>
      </w:r>
    </w:p>
    <w:p>
      <w:pPr>
        <w:pStyle w:val="BodyText"/>
      </w:pPr>
      <w:r>
        <w:t xml:space="preserve">that the case “raises important questions concerning the use of the state’s military</w:t>
      </w:r>
    </w:p>
    <w:p>
      <w:pPr>
        <w:pStyle w:val="BodyText"/>
      </w:pPr>
      <w:r>
        <w:t xml:space="preserve">forces for domestic law enforcement purposes,” and that the injunction was</w:t>
      </w:r>
    </w:p>
    <w:p>
      <w:pPr>
        <w:pStyle w:val="BodyText"/>
      </w:pPr>
      <w:r>
        <w:t xml:space="preserve">necessary to address “immediate and irreparable harm.” Id. at 32. This case</w:t>
      </w:r>
    </w:p>
    <w:p>
      <w:pPr>
        <w:pStyle w:val="BodyText"/>
      </w:pPr>
      <w:r>
        <w:t xml:space="preserve">presents the same interests, and the Tennessee court’s reasoning supports both the</w:t>
      </w:r>
    </w:p>
    <w:p>
      <w:pPr>
        <w:pStyle w:val="BodyText"/>
      </w:pPr>
      <w:r>
        <w:t xml:space="preserve">invocation of this Court’s original jurisdiction and its expedited consideration of</w:t>
      </w:r>
    </w:p>
    <w:p>
      <w:pPr>
        <w:pStyle w:val="BodyText"/>
      </w:pPr>
      <w:r>
        <w:t xml:space="preserve">Petitioners’ claims.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issues</w:t>
      </w:r>
      <w:r>
        <w:rPr>
          <w:b/>
          <w:bCs/>
        </w:rPr>
        <w:t xml:space="preserve"> </w:t>
      </w:r>
      <w:r>
        <w:rPr>
          <w:b/>
          <w:bCs/>
        </w:rPr>
        <w:t xml:space="preserve">raised</w:t>
      </w:r>
      <w:r>
        <w:rPr>
          <w:b/>
          <w:bCs/>
        </w:rPr>
        <w:t xml:space="preserve"> </w:t>
      </w:r>
      <w:r>
        <w:rPr>
          <w:b/>
          <w:bCs/>
        </w:rPr>
        <w:t xml:space="preserve">do</w:t>
      </w:r>
      <w:r>
        <w:rPr>
          <w:b/>
          <w:bCs/>
        </w:rP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require</w:t>
      </w:r>
      <w:r>
        <w:rPr>
          <w:b/>
          <w:bCs/>
        </w:rPr>
        <w:t xml:space="preserve"> </w:t>
      </w:r>
      <w:r>
        <w:rPr>
          <w:b/>
          <w:bCs/>
        </w:rPr>
        <w:t xml:space="preserve">development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lower</w:t>
      </w:r>
      <w:r>
        <w:rPr>
          <w:b/>
          <w:bCs/>
        </w:rPr>
        <w:t xml:space="preserve"> </w:t>
      </w:r>
      <w:r>
        <w:rPr>
          <w:b/>
          <w:bCs/>
        </w:rPr>
        <w:t xml:space="preserve">courts.</w:t>
      </w:r>
    </w:p>
    <w:p>
      <w:pPr>
        <w:pStyle w:val="BodyText"/>
      </w:pPr>
      <w:r>
        <w:t xml:space="preserve">Finally, this case requires no factual development and presents a purely legal</w:t>
      </w:r>
    </w:p>
    <w:p>
      <w:pPr>
        <w:pStyle w:val="BodyText"/>
      </w:pPr>
      <w:r>
        <w:t xml:space="preserve">question. None of the pertinent facts can be disputed reasonably: Governor</w:t>
      </w:r>
    </w:p>
    <w:p>
      <w:pPr>
        <w:pStyle w:val="BodyText"/>
      </w:pPr>
      <w:r>
        <w:t xml:space="preserve">McMaster ordered the deployment, and he did so for the purpose of participating in</w:t>
      </w:r>
    </w:p>
    <w:p>
      <w:pPr>
        <w:pStyle w:val="BodyText"/>
      </w:pPr>
      <w:r>
        <w:t xml:space="preserve">a Title 32 operation. See Marley Bassett, ‘Happy to do it’: Gov. McMaster comments</w:t>
      </w:r>
    </w:p>
    <w:p>
      <w:pPr>
        <w:pStyle w:val="BodyText"/>
      </w:pPr>
      <w:r>
        <w:t xml:space="preserve">on SC National Guard members returning to DC, WIS10 (Dec. 1, 2025 at 4:18pm),</w:t>
      </w:r>
    </w:p>
    <w:p>
      <w:pPr>
        <w:pStyle w:val="BodyText"/>
      </w:pPr>
      <w:r>
        <w:t xml:space="preserve">https://​perma.​cc/​4XTP-​WEMZ; Donald J. Trump, Restoring Law and Order in the</w:t>
      </w:r>
    </w:p>
    <w:p>
      <w:pPr>
        <w:pStyle w:val="BodyText"/>
      </w:pPr>
      <w:r>
        <w:t xml:space="preserve">District of Columbia, The White House (Aug. 11, 2025), https://​perma.​cc/​2U6Q-</w:t>
      </w:r>
    </w:p>
    <w:p>
      <w:pPr>
        <w:pStyle w:val="BodyText"/>
      </w:pPr>
      <w:r>
        <w:t xml:space="preserve">8LVK ⁠. All that this case requires from the Court is a legal determination of whether the Governor’s actions exceed his legal authority, and that determination</w:t>
      </w:r>
    </w:p>
    <w:p>
      <w:pPr>
        <w:pStyle w:val="BodyText"/>
      </w:pPr>
      <w:r>
        <w:t xml:space="preserve">is not aided by factual or legal development in the circuit court.</w:t>
      </w:r>
    </w:p>
    <w:p>
      <w:pPr>
        <w:keepNext/>
        <w:keepLines/>
        <w:spacing w:before="288" w:after="216" w:line="276" w:lineRule="exact"/>
        <w:ind w:left="0" w:firstLine="0"/>
        <w:jc w:val="center"/>
      </w:pPr>
      <w:r>
        <w:rPr>
          <w:b/>
          <w:bCs/>
        </w:rPr>
        <w:t xml:space="preserve">GROUNDS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McMaster’s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National</w:t>
      </w:r>
      <w:r>
        <w:rPr>
          <w:b/>
          <w:bCs/>
        </w:rPr>
        <w:t xml:space="preserve"> </w:t>
      </w:r>
      <w:r>
        <w:rPr>
          <w:b/>
          <w:bCs/>
        </w:rPr>
        <w:t xml:space="preserve">Guard</w:t>
      </w:r>
      <w:r>
        <w:rPr>
          <w:b/>
          <w:bCs/>
        </w:rPr>
        <w:t xml:space="preserve"> </w:t>
      </w:r>
      <w:r>
        <w:rPr>
          <w:b/>
          <w:bCs/>
        </w:rPr>
        <w:t xml:space="preserve">troops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Washington</w:t>
      </w:r>
      <w:r>
        <w:rPr>
          <w:b/>
          <w:bCs/>
        </w:rPr>
        <w:t xml:space="preserve"> </w:t>
      </w:r>
      <w:r>
        <w:rPr>
          <w:b/>
          <w:bCs/>
        </w:rPr>
        <w:t xml:space="preserve">D.C.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ultra</w:t>
      </w:r>
      <w:r>
        <w:rPr>
          <w:b/>
          <w:bCs/>
        </w:rPr>
        <w:t xml:space="preserve"> </w:t>
      </w:r>
      <w:r>
        <w:rPr>
          <w:b/>
          <w:bCs/>
        </w:rPr>
        <w:t xml:space="preserve">vires.</w:t>
      </w:r>
    </w:p>
    <w:p>
      <w:pPr>
        <w:pStyle w:val="BodyText"/>
      </w:pPr>
      <w:r>
        <w:t xml:space="preserve">An official’s action in excess of his statutory authority is ultra vires and</w:t>
      </w:r>
    </w:p>
    <w:p>
      <w:pPr>
        <w:pStyle w:val="BodyText"/>
      </w:pPr>
      <w:r>
        <w:t xml:space="preserve">unlawful. In this case, Governor McMaster’s deployment exceeds the authority</w:t>
      </w:r>
    </w:p>
    <w:p>
      <w:pPr>
        <w:pStyle w:val="BodyText"/>
      </w:pPr>
      <w:r>
        <w:t xml:space="preserve">vested in him by Section 25-⁠1-⁠1840 of the South Carolina Code. Therefore, it is</w:t>
      </w:r>
    </w:p>
    <w:p>
      <w:pPr>
        <w:pStyle w:val="BodyText"/>
      </w:pPr>
      <w:r>
        <w:t xml:space="preserve">unlawful.</w:t>
      </w:r>
    </w:p>
    <w:p>
      <w:pPr>
        <w:keepNext/>
        <w:keepLines/>
        <w:spacing w:before="216" w:after="144" w:line="276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Governor’s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discretionary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deployment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Title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32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must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justified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state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law.</w:t>
      </w:r>
    </w:p>
    <w:p>
      <w:pPr>
        <w:pStyle w:val="BodyText"/>
      </w:pPr>
      <w:r>
        <w:t xml:space="preserve">When the President or Secretary of Defense requests that a state’s governor</w:t>
      </w:r>
    </w:p>
    <w:p>
      <w:pPr>
        <w:pStyle w:val="BodyText"/>
      </w:pPr>
      <w:r>
        <w:t xml:space="preserve">undertake a Title 32 deployment, the state’s decision is discretionary. Therefore, the</w:t>
      </w:r>
    </w:p>
    <w:p>
      <w:pPr>
        <w:pStyle w:val="BodyText"/>
      </w:pPr>
      <w:r>
        <w:t xml:space="preserve">decisions are cabined by state law. See District of Columbia v. Trump, No. 25-⁠5418,</w:t>
      </w:r>
    </w:p>
    <w:p>
      <w:pPr>
        <w:pStyle w:val="BodyText"/>
      </w:pPr>
      <w:r>
        <w:t xml:space="preserve">2025 WL 3673674, at *10 (D.C. Cir. Dec. 17, 2025) (noting that a remedy for a</w:t>
      </w:r>
    </w:p>
    <w:p>
      <w:pPr>
        <w:pStyle w:val="BodyText"/>
      </w:pPr>
      <w:r>
        <w:t xml:space="preserve">governor’s unlawful assent to Title 32 deployment “would be a suit against that</w:t>
      </w:r>
    </w:p>
    <w:p>
      <w:pPr>
        <w:pStyle w:val="BodyText"/>
      </w:pPr>
      <w:r>
        <w:t xml:space="preserve">governor for violating state law.”).</w:t>
      </w:r>
    </w:p>
    <w:p>
      <w:pPr>
        <w:keepNext/>
        <w:keepLines/>
        <w:spacing w:before="216" w:after="144" w:line="276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Governor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cannot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satisfy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justifications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National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Guard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deployment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Section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25-⁠1-⁠1840.</w:t>
      </w:r>
    </w:p>
    <w:p>
      <w:pPr>
        <w:pStyle w:val="BodyText"/>
      </w:pPr>
      <w:r>
        <w:t xml:space="preserve">The Governor’s power to deploy the National Guard is provided by Section</w:t>
      </w:r>
    </w:p>
    <w:p>
      <w:pPr>
        <w:pStyle w:val="BodyText"/>
      </w:pPr>
      <w:r>
        <w:t xml:space="preserve">25-⁠1-⁠1840 of the South Carolina Code. It allows the Governor to deploy the National</w:t>
      </w:r>
    </w:p>
    <w:p>
      <w:pPr>
        <w:pStyle w:val="BodyText"/>
      </w:pPr>
      <w:r>
        <w:t xml:space="preserve">Guard:</w:t>
      </w:r>
    </w:p>
    <w:p>
      <w:pPr>
        <w:pStyle w:val="BodyText"/>
      </w:pPr>
      <w:r>
        <w:t xml:space="preserve">[i]n the event of (a) war, insurrection, rebellion, invasion, tumult, riot</w:t>
      </w:r>
    </w:p>
    <w:p>
      <w:pPr>
        <w:pStyle w:val="BodyText"/>
      </w:pPr>
      <w:r>
        <w:t xml:space="preserve">or a mob, (b) a body of men acting together by force with intent to</w:t>
      </w:r>
    </w:p>
    <w:p>
      <w:pPr>
        <w:pStyle w:val="BodyText"/>
      </w:pPr>
      <w:r>
        <w:t xml:space="preserve">commit a felony, to offer violence to persons or property or by force</w:t>
      </w:r>
    </w:p>
    <w:p>
      <w:pPr>
        <w:pStyle w:val="BodyText"/>
      </w:pPr>
      <w:r>
        <w:t xml:space="preserve">and violence to break and resist the laws of this State or of the United</w:t>
      </w:r>
    </w:p>
    <w:p>
      <w:pPr>
        <w:pStyle w:val="BodyText"/>
      </w:pPr>
      <w:r>
        <w:t xml:space="preserve">States, (c) in case of the imminent danger of the occurrence of any of</w:t>
      </w:r>
    </w:p>
    <w:p>
      <w:pPr>
        <w:pStyle w:val="BodyText"/>
      </w:pPr>
      <w:r>
        <w:t xml:space="preserve">such events or (d) in the event of public disaster[.]</w:t>
      </w:r>
    </w:p>
    <w:p>
      <w:pPr>
        <w:pStyle w:val="BodyText"/>
      </w:pPr>
      <w:r>
        <w:t xml:space="preserve">S.C. Code Ann. § 25-⁠1-⁠1840.</w:t>
      </w:r>
    </w:p>
    <w:p>
      <w:pPr>
        <w:pStyle w:val="BodyText"/>
      </w:pPr>
      <w:r>
        <w:t xml:space="preserve">None of these provisions permits Governor McMaster’s deployment. As an</w:t>
      </w:r>
    </w:p>
    <w:p>
      <w:pPr>
        <w:pStyle w:val="BodyText"/>
      </w:pPr>
      <w:r>
        <w:t xml:space="preserve">initial matter, South Carolina state law cannot authorize Governor McMaster’s</w:t>
      </w:r>
    </w:p>
    <w:p>
      <w:pPr>
        <w:pStyle w:val="BodyText"/>
      </w:pPr>
      <w:r>
        <w:t xml:space="preserve">deployment based solely on triggering events outside the state’s jurisdiction. See,</w:t>
      </w:r>
    </w:p>
    <w:p>
      <w:pPr>
        <w:pStyle w:val="BodyText"/>
      </w:pPr>
      <w:r>
        <w:t xml:space="preserve">e.g., Pennoyer v. Neff, 95 U.S. (5 Otto) 714, 722 (1877) (It is “an elementary</w:t>
      </w:r>
    </w:p>
    <w:p>
      <w:pPr>
        <w:pStyle w:val="BodyText"/>
      </w:pPr>
      <w:r>
        <w:t xml:space="preserve">principle[] that the laws of one State have no operation outside of its territory,</w:t>
      </w:r>
    </w:p>
    <w:p>
      <w:pPr>
        <w:pStyle w:val="BodyText"/>
      </w:pPr>
      <w:r>
        <w:t xml:space="preserve">except so far as is allowed by comity.”); Drs. Hosp. of Augusta, L.L.C. v. CompTrust</w:t>
      </w:r>
    </w:p>
    <w:p>
      <w:pPr>
        <w:pStyle w:val="BodyText"/>
      </w:pPr>
      <w:r>
        <w:t xml:space="preserve">AGC Workers’ Comp. Tr. Fund, 371 S.C. 5, 8, 636 S.E.2d 862, 863 (2006) (“[T]he jurisdiction of a state is restricted to its own territorial limits.”) (quoting Ex parte</w:t>
      </w:r>
    </w:p>
    <w:p>
      <w:pPr>
        <w:pStyle w:val="BodyText"/>
      </w:pPr>
      <w:r>
        <w:t xml:space="preserve">First Pa. Banking &amp; Trust Co., 247 S.C. 506, 507–08, 148 S.E.2d 373, 374 (1966)).</w:t>
      </w:r>
    </w:p>
    <w:p>
      <w:pPr>
        <w:pStyle w:val="BodyText"/>
      </w:pPr>
      <w:r>
        <w:t xml:space="preserve">But even if it could, each provision within 25-⁠1-⁠1840 contemplates</w:t>
      </w:r>
    </w:p>
    <w:p>
      <w:pPr>
        <w:pStyle w:val="BodyText"/>
      </w:pPr>
      <w:r>
        <w:t xml:space="preserve">circumstances in which more than one person (and, more likely, a large group of</w:t>
      </w:r>
    </w:p>
    <w:p>
      <w:pPr>
        <w:pStyle w:val="BodyText"/>
      </w:pPr>
      <w:r>
        <w:t xml:space="preserve">people) collaborate in violence to threaten life and property on a large scale. See id.</w:t>
      </w:r>
    </w:p>
    <w:p>
      <w:pPr>
        <w:pStyle w:val="BodyText"/>
      </w:pPr>
      <w:r>
        <w:t xml:space="preserve">at (a). In contrast, Governor McMaster’s deployment is simply to support routine</w:t>
      </w:r>
    </w:p>
    <w:p>
      <w:pPr>
        <w:pStyle w:val="BodyText"/>
      </w:pPr>
      <w:r>
        <w:t xml:space="preserve">law enforcement. Similarly, the deployment is not addressed at any “body of men</w:t>
      </w:r>
    </w:p>
    <w:p>
      <w:pPr>
        <w:pStyle w:val="BodyText"/>
      </w:pPr>
      <w:r>
        <w:t xml:space="preserve">acting together by force with intent to commit a felony, to offer violence to persons</w:t>
      </w:r>
    </w:p>
    <w:p>
      <w:pPr>
        <w:pStyle w:val="BodyText"/>
      </w:pPr>
      <w:r>
        <w:t xml:space="preserve">or property or by force and violence to break and resist the laws of this State or of</w:t>
      </w:r>
    </w:p>
    <w:p>
      <w:pPr>
        <w:pStyle w:val="BodyText"/>
      </w:pPr>
      <w:r>
        <w:t xml:space="preserve">the United States,” nor at any imminent risk thereof. Id. at (b), (c). The</w:t>
      </w:r>
    </w:p>
    <w:p>
      <w:pPr>
        <w:pStyle w:val="BodyText"/>
      </w:pPr>
      <w:r>
        <w:t xml:space="preserve">deployment’s express purpose is to support everyday law enforcement in a foreign</w:t>
      </w:r>
    </w:p>
    <w:p>
      <w:pPr>
        <w:pStyle w:val="BodyText"/>
      </w:pPr>
      <w:r>
        <w:t xml:space="preserve">jurisdiction. The statute does not allow that.</w:t>
      </w:r>
    </w:p>
    <w:p>
      <w:pPr>
        <w:keepNext/>
        <w:keepLines/>
        <w:spacing w:before="216" w:after="144" w:line="276" w:lineRule="exact"/>
        <w:ind w:left="0" w:firstLine="0"/>
        <w:jc w:val="left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deployment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cannot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justified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under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EMAC.</w:t>
      </w:r>
    </w:p>
    <w:p>
      <w:pPr>
        <w:pStyle w:val="BodyText"/>
      </w:pPr>
      <w:r>
        <w:t xml:space="preserve">Finally, the EMAC, by its plain terms, is not relevant to this case. See S.C.</w:t>
      </w:r>
    </w:p>
    <w:p>
      <w:pPr>
        <w:pStyle w:val="BodyText"/>
      </w:pPr>
      <w:r>
        <w:t xml:space="preserve">Code § 25-⁠9-⁠420 (“Nothing in this compact shall authorize or permit the use of</w:t>
      </w:r>
    </w:p>
    <w:p>
      <w:pPr>
        <w:pStyle w:val="BodyText"/>
      </w:pPr>
      <w:r>
        <w:t xml:space="preserve">military force by the National Guard of a state at any place outside that state.”).</w:t>
      </w:r>
    </w:p>
    <w:p>
      <w:pPr>
        <w:pStyle w:val="BodyText"/>
      </w:pPr>
      <w:r>
        <w:t xml:space="preserve">And even beyond that, the EMAC requires a request for emergency assistance by the host state, and the Mayor of the District of Columbia—not the President—</w:t>
      </w:r>
    </w:p>
    <w:p>
      <w:pPr>
        <w:pStyle w:val="BodyText"/>
      </w:pPr>
      <w:r>
        <w:t xml:space="preserve">speaks for the District under the Compact. See D.C. Code § 7-⁠2332.</w:t>
      </w:r>
    </w:p>
    <w:p>
      <w:pPr>
        <w:pStyle w:val="BodyText"/>
      </w:pPr>
      <w:r>
        <w:t xml:space="preserve">Furthermore, an EMAC deployment and a Title 32 deployment are different</w:t>
      </w:r>
    </w:p>
    <w:p>
      <w:pPr>
        <w:pStyle w:val="BodyText"/>
      </w:pPr>
      <w:r>
        <w:t xml:space="preserve">creatures. District of Columbia v. Trump, No. 25-⁠5418, 2025 WL 3673674, at *10</w:t>
      </w:r>
    </w:p>
    <w:p>
      <w:pPr>
        <w:pStyle w:val="BodyText"/>
      </w:pPr>
      <w:r>
        <w:t xml:space="preserve">(D.C. Cir. Dec. 17, 2025) (EMAC “simply provides its signatories, including all</w:t>
      </w:r>
    </w:p>
    <w:p>
      <w:pPr>
        <w:pStyle w:val="BodyText"/>
      </w:pPr>
      <w:r>
        <w:t xml:space="preserve">States and the District, an avenue for independently seeking assistance from other</w:t>
      </w:r>
    </w:p>
    <w:p>
      <w:pPr>
        <w:pStyle w:val="BodyText"/>
      </w:pPr>
      <w:r>
        <w:t xml:space="preserve">Guard units wholly apart from any federal-law-based activation.”). The operation</w:t>
      </w:r>
    </w:p>
    <w:p>
      <w:pPr>
        <w:pStyle w:val="BodyText"/>
      </w:pPr>
      <w:r>
        <w:t xml:space="preserve">ongoing in Washington, D.C., is a Title 32 deployment. EMAC is inapposite.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Petitioners</w:t>
      </w:r>
      <w:r>
        <w:rPr>
          <w:b/>
          <w:bCs/>
        </w:rPr>
        <w:t xml:space="preserve"> </w:t>
      </w:r>
      <w:r>
        <w:rPr>
          <w:b/>
          <w:bCs/>
        </w:rPr>
        <w:t xml:space="preserve">are</w:t>
      </w:r>
      <w:r>
        <w:rPr>
          <w:b/>
          <w:bCs/>
        </w:rPr>
        <w:t xml:space="preserve"> </w:t>
      </w:r>
      <w:r>
        <w:rPr>
          <w:b/>
          <w:bCs/>
        </w:rPr>
        <w:t xml:space="preserve">entitled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seek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b/>
          <w:bCs/>
        </w:rPr>
        <w:t xml:space="preserve">Governor</w:t>
      </w:r>
      <w:r>
        <w:rPr>
          <w:b/>
          <w:bCs/>
        </w:rPr>
        <w:t xml:space="preserve"> </w:t>
      </w:r>
      <w:r>
        <w:rPr>
          <w:b/>
          <w:bCs/>
        </w:rPr>
        <w:t xml:space="preserve">McMaster’s</w:t>
      </w:r>
      <w:r>
        <w:rPr>
          <w:b/>
          <w:bCs/>
        </w:rPr>
        <w:t xml:space="preserve"> </w:t>
      </w:r>
      <w:r>
        <w:rPr>
          <w:b/>
          <w:bCs/>
        </w:rPr>
        <w:t xml:space="preserve">unlawful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deployment.</w:t>
      </w:r>
    </w:p>
    <w:p>
      <w:pPr>
        <w:pStyle w:val="BodyText"/>
      </w:pPr>
      <w:r>
        <w:t xml:space="preserve">Both Petitioners have public importance standing to bring the claim pled in</w:t>
      </w:r>
    </w:p>
    <w:p>
      <w:pPr>
        <w:pStyle w:val="BodyText"/>
      </w:pPr>
      <w:r>
        <w:t xml:space="preserve">the Complaint. Additionally, Mr. Weninger has taxpayer standing and has been</w:t>
      </w:r>
    </w:p>
    <w:p>
      <w:pPr>
        <w:pStyle w:val="BodyText"/>
      </w:pPr>
      <w:r>
        <w:t xml:space="preserve">injured in fact.</w:t>
      </w:r>
    </w:p>
    <w:p>
      <w:pPr>
        <w:keepNext/>
        <w:keepLines/>
        <w:spacing w:before="216" w:after="144" w:line="276" w:lineRule="exact"/>
        <w:ind w:left="0" w:firstLine="0"/>
        <w:jc w:val="left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Petitioners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have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public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interest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standing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seek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relief.</w:t>
      </w:r>
    </w:p>
    <w:p>
      <w:pPr>
        <w:pStyle w:val="BodyText"/>
      </w:pPr>
      <w:r>
        <w:t xml:space="preserve">Both SCPIF and Mr. Weninger have public importance standing because the</w:t>
      </w:r>
    </w:p>
    <w:p>
      <w:pPr>
        <w:pStyle w:val="BodyText"/>
      </w:pPr>
      <w:r>
        <w:t xml:space="preserve">“issues are of significant public importance” and because the case “ensure[s]</w:t>
      </w:r>
    </w:p>
    <w:p>
      <w:pPr>
        <w:pStyle w:val="BodyText"/>
      </w:pPr>
      <w:r>
        <w:t xml:space="preserve">accountability and the ⁠. ⁠. ⁠. integrity of government action.” S.C. Pub. Int. Found. v.</w:t>
      </w:r>
    </w:p>
    <w:p>
      <w:pPr>
        <w:pStyle w:val="BodyText"/>
      </w:pPr>
      <w:r>
        <w:t xml:space="preserve">S.C. Dep’t of Transp., 421 S.C. 110, 118, 804, S.E. 2d 854, 858–59 (2017) (citation</w:t>
      </w:r>
    </w:p>
    <w:p>
      <w:pPr>
        <w:pStyle w:val="BodyText"/>
      </w:pPr>
      <w:r>
        <w:t xml:space="preserve">modified). In South Carolina, “a court may confer standing upon a party when an</w:t>
      </w:r>
    </w:p>
    <w:p>
      <w:pPr>
        <w:pStyle w:val="BodyText"/>
      </w:pPr>
      <w:r>
        <w:t xml:space="preserve">issue is of such public importance as to require its resolution for future guidance.”</w:t>
      </w:r>
    </w:p>
    <w:p>
      <w:pPr>
        <w:pStyle w:val="BodyText"/>
      </w:pPr>
      <w:r>
        <w:t xml:space="preserve">Baird v. Charleston Cnty., 333 S.C. 519, 531, 511 S.E.2d 69, 75 (1999). Cases of</w:t>
      </w:r>
    </w:p>
    <w:p>
      <w:pPr>
        <w:pStyle w:val="BodyText"/>
      </w:pPr>
      <w:r>
        <w:t xml:space="preserve">public importance may proceed “even without an allegation of particularized</w:t>
      </w:r>
    </w:p>
    <w:p>
      <w:pPr>
        <w:pStyle w:val="BodyText"/>
      </w:pPr>
      <w:r>
        <w:t xml:space="preserve">injury.” S.C. Pub. Int. Found. v. Wilson, 437 S.C. 334, 341, 878 S.E.2d 891, 895</w:t>
      </w:r>
    </w:p>
    <w:p>
      <w:pPr>
        <w:pStyle w:val="BodyText"/>
      </w:pPr>
      <w:r>
        <w:t xml:space="preserve">(2022); see also S.C. Pub. Int. Found. v. S.C. Transp. Infrastructure Bank, 403 S.C. 640, 646, 744 S.E.2d 521, 524 (2013) (“Sloan has not asserted [that] he has suffered</w:t>
      </w:r>
    </w:p>
    <w:p>
      <w:pPr>
        <w:pStyle w:val="BodyText"/>
      </w:pPr>
      <w:r>
        <w:t xml:space="preserve">a particularized harm or injury as a result of section 11-⁠43-⁠140, but we find this</w:t>
      </w:r>
    </w:p>
    <w:p>
      <w:pPr>
        <w:pStyle w:val="BodyText"/>
      </w:pPr>
      <w:r>
        <w:t xml:space="preserve">case fits within the public importance exception.”). As the Court knows, Petitioner</w:t>
      </w:r>
    </w:p>
    <w:p>
      <w:pPr>
        <w:pStyle w:val="BodyText"/>
      </w:pPr>
      <w:r>
        <w:t xml:space="preserve">SCPIF (and its predecessor, Mr. Sloan) has routinely invoked public importance</w:t>
      </w:r>
    </w:p>
    <w:p>
      <w:pPr>
        <w:pStyle w:val="BodyText"/>
      </w:pPr>
      <w:r>
        <w:t xml:space="preserve">standing to challenge unconstitutional and/​or ultra vires acts by South Carolina</w:t>
      </w:r>
    </w:p>
    <w:p>
      <w:pPr>
        <w:pStyle w:val="BodyText"/>
      </w:pPr>
      <w:r>
        <w:t xml:space="preserve">officials. See, e.g., S.C. Pub. Int. Found. v. S.C. Dep’t of Transp., 421 S.C. 110, 119,</w:t>
      </w:r>
    </w:p>
    <w:p>
      <w:pPr>
        <w:pStyle w:val="BodyText"/>
      </w:pPr>
      <w:r>
        <w:t xml:space="preserve">804 S.E.2d 854, 859 (2017) (granting public importance standing to address</w:t>
      </w:r>
    </w:p>
    <w:p>
      <w:pPr>
        <w:pStyle w:val="BodyText"/>
      </w:pPr>
      <w:r>
        <w:t xml:space="preserve">spending public money for private purposes); S.C. Transp. Infrastructure Bank, 403</w:t>
      </w:r>
    </w:p>
    <w:p>
      <w:pPr>
        <w:pStyle w:val="BodyText"/>
      </w:pPr>
      <w:r>
        <w:t xml:space="preserve">S.C. at 645-⁠46, 511 S.E.2d at 75 (granting public importance standing to address</w:t>
      </w:r>
    </w:p>
    <w:p>
      <w:pPr>
        <w:pStyle w:val="BodyText"/>
      </w:pPr>
      <w:r>
        <w:t xml:space="preserve">claims that DOT Commissioners were serving successive terms in violation of the</w:t>
      </w:r>
    </w:p>
    <w:p>
      <w:pPr>
        <w:pStyle w:val="BodyText"/>
      </w:pPr>
      <w:r>
        <w:t xml:space="preserve">authorizing statute); Sloan v. Wilkins, 362 S.C. 430, 437, 608 S.E.2d 579, 583</w:t>
      </w:r>
    </w:p>
    <w:p>
      <w:pPr>
        <w:pStyle w:val="BodyText"/>
      </w:pPr>
      <w:r>
        <w:t xml:space="preserve">(2005), abrogated on other grounds by Am. Petroleum Inst. v. S C. Dep’t of Revenue,</w:t>
      </w:r>
    </w:p>
    <w:p>
      <w:pPr>
        <w:pStyle w:val="BodyText"/>
      </w:pPr>
      <w:r>
        <w:t xml:space="preserve">382 S.C. 572, 677 S.E.2d 16 (2009).</w:t>
      </w:r>
    </w:p>
    <w:p>
      <w:pPr>
        <w:pStyle w:val="BodyText"/>
      </w:pPr>
      <w:r>
        <w:t xml:space="preserve">This case easily satisfies the Court’s “public importance standing” analysis.</w:t>
      </w:r>
    </w:p>
    <w:p>
      <w:pPr>
        <w:pStyle w:val="BodyText"/>
      </w:pPr>
      <w:r>
        <w:t xml:space="preserve">Petitioners’ argument—that Governor McMaster’s deployment of the National</w:t>
      </w:r>
    </w:p>
    <w:p>
      <w:pPr>
        <w:pStyle w:val="BodyText"/>
      </w:pPr>
      <w:r>
        <w:t xml:space="preserve">Guard to the District of Columbia exceeds his lawful authority—raises fundamental</w:t>
      </w:r>
    </w:p>
    <w:p>
      <w:pPr>
        <w:pStyle w:val="BodyText"/>
      </w:pPr>
      <w:r>
        <w:t xml:space="preserve">questions of executive authority and the separation of powers. The public</w:t>
      </w:r>
    </w:p>
    <w:p>
      <w:pPr>
        <w:pStyle w:val="BodyText"/>
      </w:pPr>
      <w:r>
        <w:t xml:space="preserve">importance of this case is further sharpened by the effect that the Governor’s</w:t>
      </w:r>
    </w:p>
    <w:p>
      <w:pPr>
        <w:pStyle w:val="BodyText"/>
      </w:pPr>
      <w:r>
        <w:t xml:space="preserve">extraterritorial deployment might have on interstate comity within our nation’s</w:t>
      </w:r>
    </w:p>
    <w:p>
      <w:pPr>
        <w:pStyle w:val="BodyText"/>
      </w:pPr>
      <w:r>
        <w:t xml:space="preserve">federalist structure. This case’s issue also cries out for future guidance. See ATC S.,</w:t>
      </w:r>
    </w:p>
    <w:p>
      <w:pPr>
        <w:pStyle w:val="BodyText"/>
      </w:pPr>
      <w:r>
        <w:t xml:space="preserve">Inc. v. Charleston Cnty., 380 S.C. 191, 199, 669 S.E.2d 337, 341 (2008) (“The key to the public importance analysis is whether a resolution is needed for future</w:t>
      </w:r>
    </w:p>
    <w:p>
      <w:pPr>
        <w:pStyle w:val="BodyText"/>
      </w:pPr>
      <w:r>
        <w:t xml:space="preserve">guidance.”). The National Guard deployment at issue in this case is Governor</w:t>
      </w:r>
    </w:p>
    <w:p>
      <w:pPr>
        <w:pStyle w:val="BodyText"/>
      </w:pPr>
      <w:r>
        <w:t xml:space="preserve">McMaster’s second such deployment, showing a likelihood that he will continue</w:t>
      </w:r>
    </w:p>
    <w:p>
      <w:pPr>
        <w:pStyle w:val="BodyText"/>
      </w:pPr>
      <w:r>
        <w:t xml:space="preserve">sending National Guard personnel to participate in the ongoing Title 32 deployment</w:t>
      </w:r>
    </w:p>
    <w:p>
      <w:pPr>
        <w:pStyle w:val="BodyText"/>
      </w:pPr>
      <w:r>
        <w:t xml:space="preserve">in Washington, D.C., unless this Court intervenes.</w:t>
      </w:r>
    </w:p>
    <w:p>
      <w:pPr>
        <w:pStyle w:val="BodyText"/>
      </w:pPr>
      <w:r>
        <w:t xml:space="preserve">Beyond those fundamental legal questions, Governor McMaster’s deployment of the South Carolina National Guard expends limited resources that are critical in</w:t>
      </w:r>
    </w:p>
    <w:p>
      <w:pPr>
        <w:pStyle w:val="BodyText"/>
      </w:pPr>
      <w:r>
        <w:t xml:space="preserve">responding to emergencies in the state. For example, in the aftermath of Hurricane</w:t>
      </w:r>
    </w:p>
    <w:p>
      <w:pPr>
        <w:pStyle w:val="BodyText"/>
      </w:pPr>
      <w:r>
        <w:t xml:space="preserve">Helene, the National Guard “support[ed] road clearing, traffic control assistance,</w:t>
      </w:r>
    </w:p>
    <w:p>
      <w:pPr>
        <w:pStyle w:val="BodyText"/>
      </w:pPr>
      <w:r>
        <w:t xml:space="preserve">transportation, damage assessment (ground), vehicle recovery, general purpose</w:t>
      </w:r>
    </w:p>
    <w:p>
      <w:pPr>
        <w:pStyle w:val="BodyText"/>
      </w:pPr>
      <w:r>
        <w:t xml:space="preserve">troops for support, and security (non-armed) general purpose troops” in counties</w:t>
      </w:r>
    </w:p>
    <w:p>
      <w:pPr>
        <w:pStyle w:val="BodyText"/>
      </w:pPr>
      <w:r>
        <w:t xml:space="preserve">across the state. 11 Those efforts included distributing food and clean drinking water,</w:t>
      </w:r>
    </w:p>
    <w:p>
      <w:pPr>
        <w:pStyle w:val="BodyText"/>
      </w:pPr>
      <w:r>
        <w:t xml:space="preserve">logging more than 4,200 chainsaw hours, removing 2,525 trees, clearing 1,173 miles</w:t>
      </w:r>
    </w:p>
    <w:p>
      <w:pPr>
        <w:pStyle w:val="BodyText"/>
      </w:pPr>
      <w:r>
        <w:t xml:space="preserve">of roadways, and rescuing 57 people. 12 When deployed outside South Carolina, the</w:t>
      </w:r>
    </w:p>
    <w:p>
      <w:pPr>
        <w:pStyle w:val="BodyText"/>
      </w:pPr>
      <w:r>
        <w:t xml:space="preserve">National Guard does not retain its full capacity to address emergencies at home.</w:t>
      </w:r>
    </w:p>
    <w:p>
      <w:pPr>
        <w:keepNext/>
        <w:keepLines/>
        <w:spacing w:before="216" w:after="144" w:line="276" w:lineRule="exact"/>
        <w:ind w:left="0" w:firstLine="0"/>
        <w:jc w:val="left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Mr.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Weninger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taxpayer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standing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has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been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injured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fact.</w:t>
      </w:r>
    </w:p>
    <w:p>
      <w:pPr>
        <w:pStyle w:val="BodyText"/>
      </w:pPr>
      <w:r>
        <w:t xml:space="preserve">Additionally, Mr. Weninger has taxpayer standing. “A taxpayer’s standing to</w:t>
      </w:r>
    </w:p>
    <w:p>
      <w:pPr>
        <w:pStyle w:val="BodyText"/>
      </w:pPr>
      <w:r>
        <w:t xml:space="preserve">challenge unauthorized or illegal governmental acts has been repeatedly recognized</w:t>
      </w:r>
    </w:p>
    <w:p>
      <w:pPr>
        <w:pStyle w:val="BodyText"/>
      </w:pPr>
      <w:r>
        <w:t xml:space="preserve">in South Carolina.” Sloan v. Sch. Dist. of Greenville Cnty., 342 S.C. 515, 520, 537</w:t>
      </w:r>
    </w:p>
    <w:p>
      <w:pPr>
        <w:pStyle w:val="BodyText"/>
      </w:pPr>
      <w:r>
        <w:t xml:space="preserve">S.E.2d 299, 301 (Ct. App. 2000). As this Court has explained, “[p]ublic policy</w:t>
      </w:r>
    </w:p>
    <w:p>
      <w:pPr>
        <w:pStyle w:val="BodyText"/>
      </w:pPr>
      <w:r>
        <w:t xml:space="preserve">demands a system of checks and balances whereby taxpayers can hold public</w:t>
      </w:r>
    </w:p>
    <w:p>
      <w:pPr>
        <w:pStyle w:val="BodyText"/>
      </w:pPr>
      <w:r>
        <w:t xml:space="preserve">officials accountable for their acts. Taxpayers must have some mechanism of</w:t>
      </w:r>
    </w:p>
    <w:p>
      <w:pPr>
        <w:pStyle w:val="BodyText"/>
      </w:pPr>
      <w:r>
        <w:t xml:space="preserve">SCEMD, Update to Team SC Response and Recovery After Helene, SCEMD (Oct.</w:t>
      </w:r>
    </w:p>
    <w:p>
      <w:pPr>
        <w:pStyle w:val="BodyText"/>
      </w:pPr>
      <w:r>
        <w:t xml:space="preserve">1, 2024), https://​perma.​cc/​8N7D-⁠5AXD. 12 SC NationalGuard, Hurricane Helene Response 2024, YouTube (Nov. 26, 2024),</w:t>
      </w:r>
    </w:p>
    <w:p>
      <w:pPr>
        <w:pStyle w:val="BodyText"/>
      </w:pPr>
      <w:r>
        <w:t xml:space="preserve">https://​www.​youtube.​com/​watch?​v=pYTO-​iyEJYw.</w:t>
      </w:r>
    </w:p>
    <w:p>
      <w:pPr>
        <w:pStyle w:val="BodyText"/>
      </w:pPr>
      <w:r>
        <w:t xml:space="preserve">enforcing the law.” Sloan v. Dep’t of Transp., 379 S.C. 160, 170, 666 S.E.2d 236, 241</w:t>
      </w:r>
    </w:p>
    <w:p>
      <w:pPr>
        <w:pStyle w:val="BodyText"/>
      </w:pPr>
      <w:r>
        <w:t xml:space="preserve">(2008) (quoting Sloan, 342 S.C. at 523, 537 S.E.2d at 303). In this case, Governor</w:t>
      </w:r>
    </w:p>
    <w:p>
      <w:pPr>
        <w:pStyle w:val="BodyText"/>
      </w:pPr>
      <w:r>
        <w:t xml:space="preserve">McMaster’s unlawful deployment implicates the public fisc. Typically, the federal</w:t>
      </w:r>
    </w:p>
    <w:p>
      <w:pPr>
        <w:pStyle w:val="BodyText"/>
      </w:pPr>
      <w:r>
        <w:t xml:space="preserve">government reimburses states for their participation in a Title 32 deployment.</w:t>
      </w:r>
    </w:p>
    <w:p>
      <w:pPr>
        <w:pStyle w:val="BodyText"/>
      </w:pPr>
      <w:r>
        <w:t xml:space="preserve">Here, though, Governor McMaster’s assent to the federal government’s Title 32</w:t>
      </w:r>
    </w:p>
    <w:p>
      <w:pPr>
        <w:pStyle w:val="BodyText"/>
      </w:pPr>
      <w:r>
        <w:t xml:space="preserve">request was invalid; accordingly, it is not at all clear that the federal government will reimburse South Carolina for the illegitimate deployment’s costs. Given that</w:t>
      </w:r>
    </w:p>
    <w:p>
      <w:pPr>
        <w:pStyle w:val="BodyText"/>
      </w:pPr>
      <w:r>
        <w:t xml:space="preserve">risk, Mr. Weninger has an interest in minimizing taxpayers’ exposure, which will</w:t>
      </w:r>
    </w:p>
    <w:p>
      <w:pPr>
        <w:pStyle w:val="BodyText"/>
      </w:pPr>
      <w:r>
        <w:t xml:space="preserve">only increase as more time passes.</w:t>
      </w:r>
    </w:p>
    <w:p>
      <w:pPr>
        <w:pStyle w:val="BodyText"/>
      </w:pPr>
      <w:r>
        <w:t xml:space="preserve">Mr. Weninger, a veteran of the U.S. Armed Forces and a resident of Berkeley</w:t>
      </w:r>
    </w:p>
    <w:p>
      <w:pPr>
        <w:pStyle w:val="BodyText"/>
      </w:pPr>
      <w:r>
        <w:t xml:space="preserve">County, is also directly harmed by the challenged deployment. The South Carolina</w:t>
      </w:r>
    </w:p>
    <w:p>
      <w:pPr>
        <w:pStyle w:val="BodyText"/>
      </w:pPr>
      <w:r>
        <w:t xml:space="preserve">National Guard plays an important role in responding to emergencies in this state,</w:t>
      </w:r>
    </w:p>
    <w:p>
      <w:pPr>
        <w:pStyle w:val="BodyText"/>
      </w:pPr>
      <w:r>
        <w:t xml:space="preserve">especially in coastal and near-coastal counties, like Berkeley, which are routinely</w:t>
      </w:r>
    </w:p>
    <w:p>
      <w:pPr>
        <w:pStyle w:val="BodyText"/>
      </w:pPr>
      <w:r>
        <w:t xml:space="preserve">threatened by flooding, hurricanes, and other natural disasters. Because the</w:t>
      </w:r>
    </w:p>
    <w:p>
      <w:pPr>
        <w:pStyle w:val="BodyText"/>
      </w:pPr>
      <w:r>
        <w:t xml:space="preserve">unlawful deployment of 300 National Guard personnel weakens the Guard’s ability</w:t>
      </w:r>
    </w:p>
    <w:p>
      <w:pPr>
        <w:pStyle w:val="BodyText"/>
      </w:pPr>
      <w:r>
        <w:t xml:space="preserve">to respond to crises in Berkeley County, Mr. Weninger is directly harmed by the</w:t>
      </w:r>
    </w:p>
    <w:p>
      <w:pPr>
        <w:pStyle w:val="BodyText"/>
      </w:pPr>
      <w:r>
        <w:t xml:space="preserve">Governor’s ultra vires deployment.</w:t>
      </w:r>
    </w:p>
    <w:p>
      <w:pPr>
        <w:keepNext/>
        <w:keepLines/>
        <w:spacing w:before="240" w:after="168" w:line="276" w:lineRule="exact"/>
        <w:ind w:left="0" w:firstLine="0"/>
        <w:jc w:val="left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It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Court’s</w:t>
      </w:r>
      <w:r>
        <w:rPr>
          <w:b/>
          <w:bCs/>
        </w:rPr>
        <w:t xml:space="preserve"> </w:t>
      </w:r>
      <w:r>
        <w:rPr>
          <w:b/>
          <w:bCs/>
        </w:rPr>
        <w:t xml:space="preserve">duty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interpret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enforce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limits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Governor’s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</w:t>
      </w:r>
      <w:r>
        <w:rPr>
          <w:b/>
          <w:bCs/>
        </w:rPr>
        <w:t xml:space="preserve"> </w:t>
      </w:r>
      <w:r>
        <w:rPr>
          <w:b/>
          <w:bCs/>
        </w:rPr>
        <w:t xml:space="preserve">authority.</w:t>
      </w:r>
    </w:p>
    <w:p>
      <w:pPr>
        <w:pStyle w:val="BodyText"/>
      </w:pPr>
      <w:r>
        <w:t xml:space="preserve">In 1935, after Governor Olin Johnston called out the militia against what he</w:t>
      </w:r>
    </w:p>
    <w:p>
      <w:pPr>
        <w:pStyle w:val="BodyText"/>
      </w:pPr>
      <w:r>
        <w:t xml:space="preserve">deemed to be a state of “rebellion, insurrection, resistance and insurgency” in the</w:t>
      </w:r>
    </w:p>
    <w:p>
      <w:pPr>
        <w:pStyle w:val="BodyText"/>
      </w:pPr>
      <w:r>
        <w:t xml:space="preserve">control of the state highway department, this Court met its duty to address the</w:t>
      </w:r>
    </w:p>
    <w:p>
      <w:pPr>
        <w:pStyle w:val="BodyText"/>
      </w:pPr>
      <w:r>
        <w:t xml:space="preserve">legality of the deployment. Hearon v. Calus, 178 S.C. 381, 183 S.E. 13, 14 (1935)</w:t>
      </w:r>
    </w:p>
    <w:p>
      <w:pPr>
        <w:pStyle w:val="BodyText"/>
      </w:pPr>
      <w:r>
        <w:t xml:space="preserve">(quotation marks omitted). The Court heard the case in its original jurisdiction and</w:t>
      </w:r>
    </w:p>
    <w:p>
      <w:pPr>
        <w:pStyle w:val="BodyText"/>
      </w:pPr>
      <w:r>
        <w:t xml:space="preserve">concluded that it was incumbent to scrutinize the Governor’s actions, because “[a]ny</w:t>
      </w:r>
    </w:p>
    <w:p>
      <w:pPr>
        <w:pStyle w:val="BodyText"/>
      </w:pPr>
      <w:r>
        <w:t xml:space="preserve">other construction of the law would lead to anarchy and revolution.” Id. at 20. This</w:t>
      </w:r>
    </w:p>
    <w:p>
      <w:pPr>
        <w:pStyle w:val="BodyText"/>
      </w:pPr>
      <w:r>
        <w:t xml:space="preserve">case presents the same circumstances: a governor deploying the state’s military</w:t>
      </w:r>
    </w:p>
    <w:p>
      <w:pPr>
        <w:pStyle w:val="BodyText"/>
      </w:pPr>
      <w:r>
        <w:t xml:space="preserve">forces in excess of his legal authority. As in Hearon, this Court is duty-bound to</w:t>
      </w:r>
    </w:p>
    <w:p>
      <w:pPr>
        <w:pStyle w:val="BodyText"/>
      </w:pPr>
      <w:r>
        <w:t xml:space="preserve">intercede.</w:t>
      </w:r>
    </w:p>
    <w:p>
      <w:pPr>
        <w:pStyle w:val="BodyText"/>
      </w:pPr>
      <w:r>
        <w:t xml:space="preserve">This is no ordinary separation of powers dispute. This case challenges</w:t>
      </w:r>
    </w:p>
    <w:p>
      <w:pPr>
        <w:pStyle w:val="BodyText"/>
      </w:pPr>
      <w:r>
        <w:t xml:space="preserve">whether the Governor has the authority to sidestep South Carolina law to send the</w:t>
      </w:r>
    </w:p>
    <w:p>
      <w:pPr>
        <w:pStyle w:val="BodyText"/>
      </w:pPr>
      <w:r>
        <w:t xml:space="preserve">state’s National Guard across state borders to police citizens of another</w:t>
      </w:r>
    </w:p>
    <w:p>
      <w:pPr>
        <w:pStyle w:val="BodyText"/>
      </w:pPr>
      <w:r>
        <w:t xml:space="preserve">jurisdiction—a jurisdiction whose leaders have not requested South Carolina’s presence. For a federal nation, comprised of a union of states, there are few issues</w:t>
      </w:r>
    </w:p>
    <w:p>
      <w:pPr>
        <w:pStyle w:val="BodyText"/>
      </w:pPr>
      <w:r>
        <w:t xml:space="preserve">that are so fundamental.</w:t>
      </w:r>
    </w:p>
    <w:p>
      <w:pPr>
        <w:keepNext/>
        <w:keepLines/>
        <w:spacing w:before="288" w:after="216" w:line="276" w:lineRule="exact"/>
        <w:ind w:left="0" w:firstLine="0"/>
        <w:jc w:val="center"/>
      </w:pPr>
      <w:r>
        <w:rPr>
          <w:b/>
          <w:bCs/>
        </w:rPr>
        <w:t xml:space="preserve">CONCLUSION</w:t>
      </w:r>
    </w:p>
    <w:p>
      <w:pPr>
        <w:pStyle w:val="BodyText"/>
      </w:pPr>
      <w:r>
        <w:t xml:space="preserve">The Complaint submitted with this Petition seeks a declaration that the Title</w:t>
      </w:r>
    </w:p>
    <w:p>
      <w:pPr>
        <w:pStyle w:val="BodyText"/>
      </w:pPr>
      <w:r>
        <w:t xml:space="preserve">32 deployment agreed to by Governor McMaster (and carried out under the</w:t>
      </w:r>
    </w:p>
    <w:p>
      <w:pPr>
        <w:pStyle w:val="BodyText"/>
      </w:pPr>
      <w:r>
        <w:t xml:space="preserve">authority of Adjutant General Robin B. Stilwell) is contrary to South Carolina law.</w:t>
      </w:r>
    </w:p>
    <w:p>
      <w:pPr>
        <w:pStyle w:val="BodyText"/>
      </w:pPr>
      <w:r>
        <w:t xml:space="preserve">The Complaint also seeks an injunction vacating Governor McMaster’s deployment</w:t>
      </w:r>
    </w:p>
    <w:p>
      <w:pPr>
        <w:pStyle w:val="BodyText"/>
      </w:pPr>
      <w:r>
        <w:t xml:space="preserve">agreement and enjoining Adjutant General Robin B. Stilwell from further</w:t>
      </w:r>
    </w:p>
    <w:p>
      <w:pPr>
        <w:pStyle w:val="BodyText"/>
      </w:pPr>
      <w:r>
        <w:t xml:space="preserve">implementation of the deployment.</w:t>
      </w:r>
    </w:p>
    <w:p>
      <w:pPr>
        <w:pStyle w:val="BodyText"/>
      </w:pPr>
      <w:r>
        <w:t xml:space="preserve">The Court should grant this Petition and order an expedited schedule for</w:t>
      </w:r>
    </w:p>
    <w:p>
      <w:pPr>
        <w:pStyle w:val="BodyText"/>
      </w:pPr>
      <w:r>
        <w:t xml:space="preserve">dispositive briefing on the Complaint. Counsel for the Governor has been consulted</w:t>
      </w:r>
    </w:p>
    <w:p>
      <w:pPr>
        <w:pStyle w:val="BodyText"/>
      </w:pPr>
      <w:r>
        <w:t xml:space="preserve">and consents to an expedited briefing schedule.</w:t>
      </w:r>
    </w:p>
    <w:p>
      <w:pPr>
        <w:spacing w:before="0" w:after="0" w:line="276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9360"/>
      </w:tblGrid>
      <w:tr>
        <w:trPr>
          <w:cantSplit/>
        </w:trPr>
        <w:tc>
          <w:tcPr>
            <w:tcW w:w="9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</w:t>
            </w:r>
            <w:r>
              <w:t xml:space="preserve"> </w:t>
            </w:r>
            <w:r>
              <w:t xml:space="preserve">submitted,</w:t>
            </w:r>
          </w:p>
          <w:p>
            <w:pPr>
              <w:spacing w:before="0" w:after="0" w:line="192" w:lineRule="exact"/>
            </w:pPr>
          </w:p>
          <w:tbl>
            <w:tblPr>
              <w:tblW w:w="93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92"/>
              <w:gridCol w:w="4968"/>
            </w:tblGrid>
            <w:tr>
              <w:trPr>
                <w:cantSplit/>
              </w:trPr>
              <w:tc>
                <w:tcPr>
                  <w:tcW w:w="4392" w:type="dxa"/>
                </w:tcPr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/s/</w:t>
                  </w:r>
                  <w:r>
                    <w:t xml:space="preserve"> </w:t>
                  </w:r>
                  <w:r>
                    <w:t xml:space="preserve">Allen</w:t>
                  </w:r>
                  <w:r>
                    <w:t xml:space="preserve"> </w:t>
                  </w:r>
                  <w:r>
                    <w:t xml:space="preserve">Chaney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Allen</w:t>
                  </w:r>
                  <w:r>
                    <w:t xml:space="preserve"> </w:t>
                  </w:r>
                  <w:r>
                    <w:t xml:space="preserve">Chaney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SC</w:t>
                  </w:r>
                  <w:r>
                    <w:t xml:space="preserve"> </w:t>
                  </w:r>
                  <w:r>
                    <w:t xml:space="preserve">Bar</w:t>
                  </w:r>
                  <w:r>
                    <w:t xml:space="preserve"> </w:t>
                  </w:r>
                  <w:r>
                    <w:t xml:space="preserve">No.</w:t>
                  </w:r>
                  <w:r>
                    <w:t xml:space="preserve"> </w:t>
                  </w:r>
                  <w:r>
                    <w:t xml:space="preserve">104038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ACLU</w:t>
                  </w:r>
                  <w:r>
                    <w:t xml:space="preserve"> </w:t>
                  </w:r>
                  <w:r>
                    <w:t xml:space="preserve">of</w:t>
                  </w:r>
                  <w:r>
                    <w:t xml:space="preserve"> </w:t>
                  </w:r>
                  <w:r>
                    <w:t xml:space="preserve">South</w:t>
                  </w:r>
                  <w:r>
                    <w:t xml:space="preserve"> </w:t>
                  </w:r>
                  <w:r>
                    <w:t xml:space="preserve">Carolina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P.O.</w:t>
                  </w:r>
                  <w:r>
                    <w:t xml:space="preserve"> </w:t>
                  </w:r>
                  <w:r>
                    <w:t xml:space="preserve">Box</w:t>
                  </w:r>
                  <w:r>
                    <w:t xml:space="preserve"> </w:t>
                  </w:r>
                  <w:r>
                    <w:t xml:space="preserve">1668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Columbia,</w:t>
                  </w:r>
                  <w:r>
                    <w:t xml:space="preserve"> </w:t>
                  </w:r>
                  <w:r>
                    <w:t xml:space="preserve">SC</w:t>
                  </w:r>
                  <w:r>
                    <w:t xml:space="preserve"> </w:t>
                  </w:r>
                  <w:r>
                    <w:t xml:space="preserve">29202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(864)</w:t>
                  </w:r>
                  <w:r>
                    <w:t xml:space="preserve"> </w:t>
                  </w:r>
                  <w:r>
                    <w:t xml:space="preserve">372-⁠6681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achaney@aclusc.org</w:t>
                  </w:r>
                </w:p>
              </w:tc>
              <w:tc>
                <w:tcPr>
                  <w:tcW w:w="4968" w:type="dxa"/>
                  <w:tcMar>
                    <w:left w:w="576" w:type="dxa"/>
                  </w:tcMar>
                </w:tcPr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William</w:t>
                  </w:r>
                  <w:r>
                    <w:t xml:space="preserve"> </w:t>
                  </w:r>
                  <w:r>
                    <w:t xml:space="preserve">B.</w:t>
                  </w:r>
                  <w:r>
                    <w:t xml:space="preserve"> </w:t>
                  </w:r>
                  <w:r>
                    <w:t xml:space="preserve">Bardwell*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Aman</w:t>
                  </w:r>
                  <w:r>
                    <w:t xml:space="preserve"> </w:t>
                  </w:r>
                  <w:r>
                    <w:t xml:space="preserve">T.</w:t>
                  </w:r>
                  <w:r>
                    <w:t xml:space="preserve"> </w:t>
                  </w:r>
                  <w:r>
                    <w:t xml:space="preserve">George*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Brian</w:t>
                  </w:r>
                  <w:r>
                    <w:t xml:space="preserve"> </w:t>
                  </w:r>
                  <w:r>
                    <w:t xml:space="preserve">D.</w:t>
                  </w:r>
                  <w:r>
                    <w:t xml:space="preserve"> </w:t>
                  </w:r>
                  <w:r>
                    <w:t xml:space="preserve">Netter*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Democracy</w:t>
                  </w:r>
                  <w:r>
                    <w:t xml:space="preserve"> </w:t>
                  </w:r>
                  <w:r>
                    <w:t xml:space="preserve">Forward</w:t>
                  </w:r>
                  <w:r>
                    <w:t xml:space="preserve"> </w:t>
                  </w:r>
                  <w:r>
                    <w:t xml:space="preserve">Foundation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P.O.</w:t>
                  </w:r>
                  <w:r>
                    <w:t xml:space="preserve"> </w:t>
                  </w:r>
                  <w:r>
                    <w:t xml:space="preserve">Box</w:t>
                  </w:r>
                  <w:r>
                    <w:t xml:space="preserve"> </w:t>
                  </w:r>
                  <w:r>
                    <w:t xml:space="preserve">34553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Washington,</w:t>
                  </w:r>
                  <w:r>
                    <w:t xml:space="preserve"> </w:t>
                  </w:r>
                  <w:r>
                    <w:t xml:space="preserve">DC</w:t>
                  </w:r>
                  <w:r>
                    <w:t xml:space="preserve"> </w:t>
                  </w:r>
                  <w:r>
                    <w:t xml:space="preserve">20043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*</w:t>
                  </w:r>
                  <w:r>
                    <w:t xml:space="preserve"> </w:t>
                  </w:r>
                  <w:r>
                    <w:t xml:space="preserve">pro</w:t>
                  </w:r>
                  <w:r>
                    <w:t xml:space="preserve"> </w:t>
                  </w:r>
                  <w:r>
                    <w:t xml:space="preserve">hac</w:t>
                  </w:r>
                  <w:r>
                    <w:t xml:space="preserve"> </w:t>
                  </w:r>
                  <w:r>
                    <w:t xml:space="preserve">vice</w:t>
                  </w:r>
                  <w:r>
                    <w:t xml:space="preserve"> </w:t>
                  </w:r>
                  <w:r>
                    <w:t xml:space="preserve">applications</w:t>
                  </w:r>
                  <w:r>
                    <w:t xml:space="preserve"> </w:t>
                  </w:r>
                  <w:r>
                    <w:t xml:space="preserve">pending</w:t>
                  </w:r>
                </w:p>
              </w:tc>
            </w:tr>
          </w:tbl>
          <w:p>
            <w:pPr>
              <w:spacing w:before="0" w:after="0" w:line="288" w:lineRule="exact"/>
            </w:pPr>
          </w:p>
          <w:tbl>
            <w:tblPr>
              <w:tblW w:w="936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392"/>
              <w:gridCol w:w="4968"/>
            </w:tblGrid>
            <w:tr>
              <w:trPr>
                <w:cantSplit/>
              </w:trPr>
              <w:tc>
                <w:tcPr>
                  <w:tcW w:w="4392" w:type="dxa"/>
                </w:tcPr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James</w:t>
                  </w:r>
                  <w:r>
                    <w:t xml:space="preserve"> </w:t>
                  </w:r>
                  <w:r>
                    <w:t xml:space="preserve">G.</w:t>
                  </w:r>
                  <w:r>
                    <w:t xml:space="preserve"> </w:t>
                  </w:r>
                  <w:r>
                    <w:t xml:space="preserve">Carpenter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SC</w:t>
                  </w:r>
                  <w:r>
                    <w:t xml:space="preserve"> </w:t>
                  </w:r>
                  <w:r>
                    <w:t xml:space="preserve">Bar</w:t>
                  </w:r>
                  <w:r>
                    <w:t xml:space="preserve"> </w:t>
                  </w:r>
                  <w:r>
                    <w:t xml:space="preserve">No.</w:t>
                  </w:r>
                  <w:r>
                    <w:t xml:space="preserve"> </w:t>
                  </w:r>
                  <w:r>
                    <w:t xml:space="preserve">1136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The</w:t>
                  </w:r>
                  <w:r>
                    <w:t xml:space="preserve"> </w:t>
                  </w:r>
                  <w:r>
                    <w:t xml:space="preserve">Carpenter</w:t>
                  </w:r>
                  <w:r>
                    <w:t xml:space="preserve"> </w:t>
                  </w:r>
                  <w:r>
                    <w:t xml:space="preserve">Law</w:t>
                  </w:r>
                  <w:r>
                    <w:t xml:space="preserve"> </w:t>
                  </w:r>
                  <w:r>
                    <w:t xml:space="preserve">Firm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819</w:t>
                  </w:r>
                  <w:r>
                    <w:t xml:space="preserve"> </w:t>
                  </w:r>
                  <w:r>
                    <w:t xml:space="preserve">East</w:t>
                  </w:r>
                  <w:r>
                    <w:t xml:space="preserve"> </w:t>
                  </w:r>
                  <w:r>
                    <w:t xml:space="preserve">North</w:t>
                  </w:r>
                  <w:r>
                    <w:t xml:space="preserve"> </w:t>
                  </w:r>
                  <w:r>
                    <w:t xml:space="preserve">Street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Greenville,</w:t>
                  </w:r>
                  <w:r>
                    <w:t xml:space="preserve"> </w:t>
                  </w:r>
                  <w:r>
                    <w:t xml:space="preserve">SC</w:t>
                  </w:r>
                  <w:r>
                    <w:t xml:space="preserve"> </w:t>
                  </w:r>
                  <w:r>
                    <w:t xml:space="preserve">29601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(864)</w:t>
                  </w:r>
                  <w:r>
                    <w:t xml:space="preserve"> </w:t>
                  </w:r>
                  <w:r>
                    <w:t xml:space="preserve">235-⁠1269</w:t>
                  </w:r>
                </w:p>
                <w:p>
                  <w:pPr>
                    <w:spacing w:before="0" w:after="0" w:line="276" w:lineRule="exact"/>
                    <w:ind w:left="0" w:firstLine="0"/>
                    <w:jc w:val="left"/>
                  </w:pPr>
                  <w:r>
                    <w:t xml:space="preserve">Attorneys</w:t>
                  </w:r>
                  <w:r>
                    <w:t xml:space="preserve"> </w:t>
                  </w:r>
                  <w:r>
                    <w:t xml:space="preserve">for</w:t>
                  </w:r>
                  <w:r>
                    <w:t xml:space="preserve"> </w:t>
                  </w:r>
                  <w:r>
                    <w:t xml:space="preserve">Petitioners</w:t>
                  </w:r>
                </w:p>
              </w:tc>
              <w:tc>
                <w:tcPr>
                  <w:tcW w:w="4968" w:type="dxa"/>
                  <w:tcMar>
                    <w:left w:w="576" w:type="dxa"/>
                  </w:tcMar>
                </w:tcPr>
                <w:p>
                  <w:pPr>
                    <w:spacing w:before="0" w:after="0" w:line="1" w:lineRule="exact"/>
                  </w:pPr>
                </w:p>
              </w:tc>
            </w:tr>
          </w:tbl>
          <w:p>
            <w:pPr>
              <w:spacing w:before="0" w:after="0" w:line="1" w:lineRule="exact"/>
            </w:pPr>
          </w:p>
        </w:tc>
      </w:tr>
    </w:tbl>
    <w:sectPr>
      <w:footerReference w:type="default" r:id="rIdXdPage"/>
      <w:footerReference w:type="first" r:id="rIdXdNone"/>
      <w:pgSz w:w="12240" w:h="15840"/>
      <w:pgMar w:top="1440" w:right="1440" w:bottom="1440" w:left="1440" w:header="720" w:footer="732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ftr-add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t>Add-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non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</w:p>
</w:ftr>
</file>

<file path=word/ftr-own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tr-own2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</w:p>
</w:ftr>
</file>

<file path=word/ftr-page.xml><?xml version="1.0" encoding="utf-8"?>
<w:ftr xmlns:w="http://schemas.openxmlformats.org/wordprocessingml/2006/main" xmlns:r="http://schemas.openxmlformats.org/officeDocument/2006/relationships">
  <w:p>
    <w:pPr>
      <w:spacing w:before="0" w:after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46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XdQuote">
    <w:name w:val="Xd Quote"/>
    <w:basedOn w:val="Normal"/>
    <w:qFormat/>
    <w:pPr>
      <w:spacing w:before="0" w:after="0" w:line="276" w:lineRule="exact"/>
      <w:ind w:left="720" w:right="720" w:firstLine="0"/>
    </w:pPr>
  </w:style>
  <w:style w:type="paragraph" w:customStyle="1" w:styleId="XdQuoteFirst">
    <w:name w:val="Xd Quote First"/>
    <w:basedOn w:val="Normal"/>
    <w:qFormat/>
    <w:pPr>
      <w:spacing w:before="192" w:after="0" w:line="276" w:lineRule="exact"/>
      <w:ind w:left="720" w:right="720" w:firstLine="0"/>
    </w:pPr>
  </w:style>
  <w:style w:type="paragraph" w:customStyle="1" w:styleId="XdQuoteLast">
    <w:name w:val="Xd Quote Last"/>
    <w:basedOn w:val="Normal"/>
    <w:qFormat/>
    <w:pPr>
      <w:spacing w:before="0" w:after="240" w:line="276" w:lineRule="exact"/>
      <w:ind w:left="720" w:right="720" w:firstLine="0"/>
    </w:pPr>
  </w:style>
  <w:style w:type="paragraph" w:customStyle="1" w:styleId="XdQuoteOnly">
    <w:name w:val="Xd Quote Only"/>
    <w:basedOn w:val="Normal"/>
    <w:qFormat/>
    <w:pPr>
      <w:spacing w:before="192" w:after="240" w:line="276" w:lineRule="exact"/>
      <w:ind w:left="720" w:right="720" w:firstLine="0"/>
    </w:pPr>
  </w:style>
  <w:style w:type="paragraph" w:customStyle="1" w:styleId="XdTail">
    <w:name w:val="Xd Tail"/>
    <w:basedOn w:val="Normal"/>
    <w:qFormat/>
    <w:pPr>
      <w:spacing w:before="0" w:after="0" w:line="276" w:lineRule="exact"/>
      <w:ind w:firstLine="0"/>
    </w:pPr>
  </w:style>
  <w:style w:type="paragraph" w:customStyle="1" w:styleId="XdList1">
    <w:name w:val="XdList 1"/>
    <w:basedOn w:val="Normal"/>
    <w:qFormat/>
    <w:pPr>
      <w:spacing w:before="0" w:after="0" w:line="552" w:lineRule="exact"/>
      <w:ind w:left="720" w:hanging="720"/>
    </w:pPr>
  </w:style>
  <w:style w:type="paragraph" w:customStyle="1" w:styleId="XdList2">
    <w:name w:val="XdList 2"/>
    <w:basedOn w:val="Normal"/>
    <w:qFormat/>
    <w:pPr>
      <w:spacing w:before="0" w:after="0" w:line="552" w:lineRule="exact"/>
      <w:ind w:left="1440" w:hanging="720"/>
    </w:pPr>
  </w:style>
  <w:style w:type="paragraph" w:customStyle="1" w:styleId="XdList3">
    <w:name w:val="XdList 3"/>
    <w:basedOn w:val="Normal"/>
    <w:qFormat/>
    <w:pPr>
      <w:spacing w:before="0" w:after="0" w:line="552" w:lineRule="exact"/>
      <w:ind w:left="2160" w:hanging="720"/>
    </w:pPr>
  </w:style>
  <w:style w:type="paragraph" w:customStyle="1" w:styleId="XdTailList1">
    <w:name w:val="XdTailList 1"/>
    <w:basedOn w:val="Normal"/>
    <w:qFormat/>
    <w:pPr>
      <w:spacing w:before="0" w:after="0" w:line="276" w:lineRule="exact"/>
      <w:ind w:left="720" w:hanging="720"/>
    </w:pPr>
  </w:style>
  <w:style w:type="paragraph" w:customStyle="1" w:styleId="XdTailList2">
    <w:name w:val="XdTailList 2"/>
    <w:basedOn w:val="Normal"/>
    <w:qFormat/>
    <w:pPr>
      <w:spacing w:before="0" w:after="0" w:line="276" w:lineRule="exact"/>
      <w:ind w:left="1440" w:hanging="720"/>
    </w:pPr>
  </w:style>
  <w:style w:type="paragraph" w:customStyle="1" w:styleId="XdTailList3">
    <w:name w:val="XdTailList 3"/>
    <w:basedOn w:val="Normal"/>
    <w:qFormat/>
    <w:pPr>
      <w:spacing w:before="0" w:after="0" w:line="276" w:lineRule="exact"/>
      <w:ind w:left="2160" w:hanging="720"/>
    </w:pPr>
  </w:style>
  <w:style w:type="paragraph" w:customStyle="1" w:styleId="XdQuoteList1">
    <w:name w:val="Xd Quote List 1"/>
    <w:basedOn w:val="Normal"/>
    <w:qFormat/>
    <w:pPr>
      <w:spacing w:before="0" w:after="0" w:line="276" w:lineRule="exact"/>
      <w:ind w:left="1440" w:right="720" w:hanging="720"/>
    </w:pPr>
  </w:style>
  <w:style w:type="paragraph" w:customStyle="1" w:styleId="XdQuoteList2">
    <w:name w:val="Xd Quote List 2"/>
    <w:basedOn w:val="Normal"/>
    <w:qFormat/>
    <w:pPr>
      <w:spacing w:before="0" w:after="0" w:line="276" w:lineRule="exact"/>
      <w:ind w:left="2160" w:right="720" w:hanging="720"/>
    </w:pPr>
  </w:style>
  <w:style w:type="paragraph" w:customStyle="1" w:styleId="XdQuoteList3">
    <w:name w:val="Xd Quote List 3"/>
    <w:basedOn w:val="Normal"/>
    <w:qFormat/>
    <w:pPr>
      <w:spacing w:before="0" w:after="0" w:line="276" w:lineRule="exact"/>
      <w:ind w:left="2880" w:right="720" w:hanging="7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Relationship Type="http://schemas.openxmlformats.org/officeDocument/2006/relationships/footer" Id="rIdFooterFirst" Target="footer2.xml" /><Relationship Type="http://schemas.openxmlformats.org/officeDocument/2006/relationships/footer" Id="rIdFtrNone" Target="ftr-none.xml"/><Relationship Type="http://schemas.openxmlformats.org/officeDocument/2006/relationships/footer" Id="rIdFtrPage" Target="ftr-page.xml"/><Relationship Type="http://schemas.openxmlformats.org/officeDocument/2006/relationships/footer" Id="rIdFtrAdd" Target="ftr-add.xml"/><Relationship Type="http://schemas.openxmlformats.org/officeDocument/2006/relationships/footer" Id="rIdXdPage" Target="ftr-own1.xml"/><Relationship Type="http://schemas.openxmlformats.org/officeDocument/2006/relationships/footer" Id="rIdXdNone" Target="ftr-own2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