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left"/>
      </w:pPr>
      <w:r>
        <w:rPr>
          <w:b/>
          <w:bCs/>
        </w:rPr>
        <w:t xml:space="preserve">No.</w:t>
      </w:r>
      <w:r>
        <w:rPr>
          <w:b/>
          <w:bCs/>
        </w:rPr>
        <w:t xml:space="preserve"> </w:t>
      </w:r>
      <w:r>
        <w:rPr>
          <w:b/>
          <w:bCs/>
        </w:rPr>
        <w:t xml:space="preserve">24-⁠27</w:t>
      </w:r>
    </w:p>
    <w:p>
      <w:pPr>
        <w:spacing w:before="288"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76" w:lineRule="exact"/>
        <w:ind w:left="0" w:firstLine="0"/>
        <w:jc w:val="center"/>
      </w:pPr>
      <w:r>
        <w:rPr>
          <w:b/>
          <w:bCs/>
        </w:rPr>
        <w:t xml:space="preserve">OF</w:t>
      </w:r>
      <w:r>
        <w:rPr>
          <w:b/>
          <w:bCs/>
        </w:rPr>
        <w:t xml:space="preserve"> </w:t>
      </w:r>
      <w:r>
        <w:rPr>
          <w:b/>
          <w:bCs/>
        </w:rPr>
        <w:t xml:space="preserve">WEST</w:t>
      </w:r>
      <w:r>
        <w:rPr>
          <w:b/>
          <w:bCs/>
        </w:rPr>
        <w:t xml:space="preserve"> </w:t>
      </w:r>
      <w:r>
        <w:rPr>
          <w:b/>
          <w:bCs/>
        </w:rPr>
        <w:t xml:space="preserve">VIRGINIA</w:t>
      </w:r>
    </w:p>
    <w:p>
      <w:pPr>
        <w:spacing w:before="384" w:after="0" w:line="276" w:lineRule="exact"/>
        <w:ind w:left="0" w:firstLine="0"/>
        <w:jc w:val="left"/>
      </w:pPr>
      <w:r>
        <w:t xml:space="preserve">ELAINE</w:t>
      </w:r>
      <w:r>
        <w:t xml:space="preserve"> </w:t>
      </w:r>
      <w:r>
        <w:t xml:space="preserve">NEIDIG,</w:t>
      </w:r>
      <w:r>
        <w:t xml:space="preserve"> </w:t>
      </w:r>
      <w:r>
        <w:t xml:space="preserve">individually</w:t>
      </w:r>
      <w:r>
        <w:t xml:space="preserve"> </w:t>
      </w:r>
      <w:r>
        <w:t xml:space="preserve">and</w:t>
      </w:r>
      <w:r>
        <w:t xml:space="preserve"> </w:t>
      </w:r>
      <w:r>
        <w:t xml:space="preserve">on</w:t>
      </w:r>
      <w:r>
        <w:t xml:space="preserve"> </w:t>
      </w:r>
      <w:r>
        <w:t xml:space="preserve">behalf</w:t>
      </w:r>
      <w:r>
        <w:t xml:space="preserve"> </w:t>
      </w:r>
      <w:r>
        <w:t xml:space="preserve">of</w:t>
      </w:r>
      <w:r>
        <w:t xml:space="preserve"> </w:t>
      </w:r>
      <w:r>
        <w:t xml:space="preserve">all</w:t>
      </w:r>
      <w:r>
        <w:t xml:space="preserve"> </w:t>
      </w:r>
      <w:r>
        <w:t xml:space="preserve">others</w:t>
      </w:r>
      <w:r>
        <w:t xml:space="preserve"> </w:t>
      </w:r>
      <w:r>
        <w:t xml:space="preserve">similarly</w:t>
      </w:r>
      <w:r>
        <w:t xml:space="preserve"> </w:t>
      </w:r>
      <w:r>
        <w:t xml:space="preserve">situated,</w:t>
      </w:r>
    </w:p>
    <w:p>
      <w:pPr>
        <w:spacing w:before="0" w:after="0" w:line="276" w:lineRule="exact"/>
        <w:ind w:left="0" w:firstLine="0"/>
        <w:jc w:val="right"/>
      </w:pPr>
      <w:r>
        <w:t xml:space="preserve">Petitioner,</w:t>
      </w:r>
    </w:p>
    <w:p>
      <w:pPr>
        <w:spacing w:before="144" w:after="144" w:line="276" w:lineRule="exact"/>
        <w:ind w:left="0" w:firstLine="0"/>
        <w:jc w:val="center"/>
      </w:pPr>
      <w:r>
        <w:t xml:space="preserve">vs.</w:t>
      </w:r>
    </w:p>
    <w:p>
      <w:pPr>
        <w:spacing w:before="0" w:after="0" w:line="276" w:lineRule="exact"/>
        <w:ind w:left="0" w:firstLine="0"/>
        <w:jc w:val="left"/>
      </w:pPr>
      <w:r>
        <w:t xml:space="preserve">VALLEY</w:t>
      </w:r>
      <w:r>
        <w:t xml:space="preserve"> </w:t>
      </w:r>
      <w:r>
        <w:t xml:space="preserve">HEALTH</w:t>
      </w:r>
      <w:r>
        <w:t xml:space="preserve"> </w:t>
      </w:r>
      <w:r>
        <w:t xml:space="preserve">SYSTEM,</w:t>
      </w:r>
    </w:p>
    <w:p>
      <w:pPr>
        <w:spacing w:before="0" w:after="0" w:line="276" w:lineRule="exact"/>
        <w:ind w:left="0" w:firstLine="0"/>
        <w:jc w:val="right"/>
      </w:pPr>
      <w:r>
        <w:t xml:space="preserve">Respondent.</w:t>
      </w:r>
    </w:p>
    <w:p>
      <w:pPr>
        <w:spacing w:before="288" w:after="0" w:line="276" w:lineRule="exact"/>
        <w:ind w:left="0" w:firstLine="0"/>
        <w:jc w:val="center"/>
      </w:pPr>
      <w:r>
        <w:rPr>
          <w:b/>
          <w:bCs/>
        </w:rPr>
        <w:t xml:space="preserve">On</w:t>
      </w:r>
      <w:r>
        <w:rPr>
          <w:b/>
          <w:bCs/>
        </w:rPr>
        <w:t xml:space="preserve"> </w:t>
      </w:r>
      <w:r>
        <w:rPr>
          <w:b/>
          <w:bCs/>
        </w:rPr>
        <w:t xml:space="preserve">Certified</w:t>
      </w:r>
      <w:r>
        <w:rPr>
          <w:b/>
          <w:bCs/>
        </w:rPr>
        <w:t xml:space="preserve"> </w:t>
      </w:r>
      <w:r>
        <w:rPr>
          <w:b/>
          <w:bCs/>
        </w:rPr>
        <w:t xml:space="preserve">Question</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United</w:t>
      </w:r>
      <w:r>
        <w:rPr>
          <w:b/>
          <w:bCs/>
        </w:rPr>
        <w:t xml:space="preserve"> </w:t>
      </w:r>
      <w:r>
        <w:rPr>
          <w:b/>
          <w:bCs/>
        </w:rPr>
        <w:t xml:space="preserve">States</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Fourth</w:t>
      </w:r>
      <w:r>
        <w:rPr>
          <w:b/>
          <w:bCs/>
        </w:rPr>
        <w:t xml:space="preserve"> </w:t>
      </w:r>
      <w:r>
        <w:rPr>
          <w:b/>
          <w:bCs/>
        </w:rPr>
        <w:t xml:space="preserve">Circuit,</w:t>
      </w:r>
      <w:r>
        <w:rPr>
          <w:b/>
          <w:bCs/>
        </w:rPr>
        <w:t xml:space="preserve"> </w:t>
      </w:r>
      <w:r>
        <w:rPr>
          <w:b/>
          <w:bCs/>
        </w:rPr>
        <w:t xml:space="preserve">Case</w:t>
      </w:r>
      <w:r>
        <w:rPr>
          <w:b/>
          <w:bCs/>
        </w:rPr>
        <w:t xml:space="preserve"> </w:t>
      </w:r>
      <w:r>
        <w:rPr>
          <w:b/>
          <w:bCs/>
        </w:rPr>
        <w:t xml:space="preserve">No.</w:t>
      </w:r>
      <w:r>
        <w:rPr>
          <w:b/>
          <w:bCs/>
        </w:rPr>
        <w:t xml:space="preserve"> </w:t>
      </w:r>
      <w:r>
        <w:rPr>
          <w:b/>
          <w:bCs/>
        </w:rPr>
        <w:t xml:space="preserve">22-⁠2227</w:t>
      </w:r>
    </w:p>
    <w:p>
      <w:pPr>
        <w:spacing w:before="384" w:after="0" w:line="276" w:lineRule="exact"/>
        <w:ind w:left="0" w:firstLine="0"/>
        <w:jc w:val="center"/>
      </w:pPr>
      <w:r>
        <w:rPr>
          <w:b/>
          <w:bCs/>
        </w:rPr>
        <w:t xml:space="preserve">PETITIONER’S</w:t>
      </w:r>
      <w:r>
        <w:rPr>
          <w:b/>
          <w:bCs/>
        </w:rPr>
        <w:t xml:space="preserve"> </w:t>
      </w:r>
      <w:r>
        <w:rPr>
          <w:b/>
          <w:bCs/>
        </w:rPr>
        <w:t xml:space="preserve">OPENING</w:t>
      </w:r>
      <w:r>
        <w:rPr>
          <w:b/>
          <w:bCs/>
        </w:rPr>
        <w:t xml:space="preserve"> </w:t>
      </w:r>
      <w:r>
        <w:rPr>
          <w:b/>
          <w:bCs/>
        </w:rPr>
        <w:t xml:space="preserve">BRIEF</w:t>
      </w:r>
    </w:p>
    <w:p>
      <w:pPr>
        <w:spacing w:before="720" w:after="0" w:line="276" w:lineRule="exact"/>
        <w:ind w:left="4212" w:firstLine="0"/>
        <w:jc w:val="left"/>
      </w:pPr>
      <w:r>
        <w:t xml:space="preserve">Anthony</w:t>
      </w:r>
      <w:r>
        <w:t xml:space="preserve"> </w:t>
      </w:r>
      <w:r>
        <w:t xml:space="preserve">J.</w:t>
      </w:r>
      <w:r>
        <w:t xml:space="preserve"> </w:t>
      </w:r>
      <w:r>
        <w:t xml:space="preserve">Majestro,</w:t>
      </w:r>
      <w:r>
        <w:t xml:space="preserve"> </w:t>
      </w:r>
      <w:r>
        <w:t xml:space="preserve">Esquire</w:t>
      </w:r>
      <w:r>
        <w:t xml:space="preserve"> </w:t>
      </w:r>
      <w:r>
        <w:t xml:space="preserve">(WVSB</w:t>
      </w:r>
      <w:r>
        <w:t xml:space="preserve"> </w:t>
      </w:r>
      <w:r>
        <w:t xml:space="preserve">#</w:t>
      </w:r>
      <w:r>
        <w:t xml:space="preserve"> </w:t>
      </w:r>
      <w:r>
        <w:t xml:space="preserve">5165)</w:t>
      </w:r>
    </w:p>
    <w:p>
      <w:pPr>
        <w:spacing w:before="0" w:after="0" w:line="276" w:lineRule="exact"/>
        <w:ind w:left="4212" w:firstLine="0"/>
        <w:jc w:val="left"/>
      </w:pPr>
      <w:r>
        <w:t xml:space="preserve">Counsel</w:t>
      </w:r>
      <w:r>
        <w:t xml:space="preserve"> </w:t>
      </w:r>
      <w:r>
        <w:t xml:space="preserve">of</w:t>
      </w:r>
      <w:r>
        <w:t xml:space="preserve"> </w:t>
      </w:r>
      <w:r>
        <w:t xml:space="preserve">Record</w:t>
      </w:r>
    </w:p>
    <w:p>
      <w:pPr>
        <w:spacing w:before="0" w:after="0" w:line="276" w:lineRule="exact"/>
        <w:ind w:left="4212" w:firstLine="0"/>
        <w:jc w:val="left"/>
      </w:pPr>
      <w:r>
        <w:t xml:space="preserve">POWELL</w:t>
      </w:r>
      <w:r>
        <w:t xml:space="preserve"> </w:t>
      </w:r>
      <w:r>
        <w:t xml:space="preserve">&amp;</w:t>
      </w:r>
      <w:r>
        <w:t xml:space="preserve"> </w:t>
      </w:r>
      <w:r>
        <w:t xml:space="preserve">MAJESTRO</w:t>
      </w:r>
      <w:r>
        <w:t xml:space="preserve"> </w:t>
      </w:r>
      <w:r>
        <w:t xml:space="preserve">PLLC</w:t>
      </w:r>
    </w:p>
    <w:p>
      <w:pPr>
        <w:spacing w:before="0" w:after="0" w:line="276" w:lineRule="exact"/>
        <w:ind w:left="4212" w:firstLine="0"/>
        <w:jc w:val="left"/>
      </w:pPr>
      <w:r>
        <w:t xml:space="preserve">405</w:t>
      </w:r>
      <w:r>
        <w:t xml:space="preserve"> </w:t>
      </w:r>
      <w:r>
        <w:t xml:space="preserve">Capitol</w:t>
      </w:r>
      <w:r>
        <w:t xml:space="preserve"> </w:t>
      </w:r>
      <w:r>
        <w:t xml:space="preserve">Street,</w:t>
      </w:r>
      <w:r>
        <w:t xml:space="preserve"> </w:t>
      </w:r>
      <w:r>
        <w:t xml:space="preserve">Suite</w:t>
      </w:r>
      <w:r>
        <w:t xml:space="preserve"> </w:t>
      </w:r>
      <w:r>
        <w:t xml:space="preserve">807</w:t>
      </w:r>
    </w:p>
    <w:p>
      <w:pPr>
        <w:spacing w:before="0" w:after="0" w:line="276" w:lineRule="exact"/>
        <w:ind w:left="4212" w:firstLine="0"/>
        <w:jc w:val="left"/>
      </w:pPr>
      <w:r>
        <w:t xml:space="preserve">Charleston,</w:t>
      </w:r>
      <w:r>
        <w:t xml:space="preserve"> </w:t>
      </w:r>
      <w:r>
        <w:t xml:space="preserve">WV</w:t>
      </w:r>
      <w:r>
        <w:t xml:space="preserve"> </w:t>
      </w:r>
      <w:r>
        <w:t xml:space="preserve">25301</w:t>
      </w:r>
    </w:p>
    <w:p>
      <w:pPr>
        <w:spacing w:before="0" w:after="0" w:line="276" w:lineRule="exact"/>
        <w:ind w:left="4212" w:firstLine="0"/>
        <w:jc w:val="left"/>
      </w:pPr>
      <w:r>
        <w:t xml:space="preserve">Tel:</w:t>
      </w:r>
      <w:r>
        <w:t xml:space="preserve"> </w:t>
      </w:r>
      <w:r>
        <w:t xml:space="preserve">304-⁠346-⁠2889</w:t>
      </w:r>
    </w:p>
    <w:p>
      <w:pPr>
        <w:spacing w:before="0" w:after="0" w:line="276" w:lineRule="exact"/>
        <w:ind w:left="4212" w:firstLine="0"/>
        <w:jc w:val="left"/>
      </w:pPr>
      <w:r>
        <w:t xml:space="preserve">Fax:</w:t>
      </w:r>
      <w:r>
        <w:t xml:space="preserve"> </w:t>
      </w:r>
      <w:r>
        <w:t xml:space="preserve">304-⁠346-⁠2895</w:t>
      </w:r>
    </w:p>
    <w:p>
      <w:pPr>
        <w:spacing w:before="0" w:after="0" w:line="276" w:lineRule="exact"/>
        <w:ind w:left="4212" w:firstLine="0"/>
        <w:jc w:val="left"/>
      </w:pPr>
      <w:r>
        <w:t xml:space="preserve">amajestro@powellmajestro.com</w:t>
      </w:r>
    </w:p>
    <w:p>
      <w:pPr>
        <w:spacing w:before="0" w:after="0" w:line="276" w:lineRule="exact"/>
        <w:ind w:left="4212" w:firstLine="0"/>
        <w:jc w:val="left"/>
      </w:pPr>
      <w:r>
        <w:rPr>
          <w:i/>
          <w:iCs/>
        </w:rPr>
        <w:t xml:space="preserve">Counsel</w:t>
      </w:r>
      <w:r>
        <w:rPr>
          <w:i/>
          <w:iCs/>
        </w:rPr>
        <w:t xml:space="preserve"> </w:t>
      </w:r>
      <w:r>
        <w:rPr>
          <w:i/>
          <w:iCs/>
        </w:rPr>
        <w:t xml:space="preserve">for</w:t>
      </w:r>
      <w:r>
        <w:rPr>
          <w:i/>
          <w:iCs/>
        </w:rPr>
        <w:t xml:space="preserve"> </w:t>
      </w:r>
      <w:r>
        <w:rPr>
          <w:i/>
          <w:iCs/>
        </w:rPr>
        <w:t xml:space="preserve">Petitioner</w:t>
      </w:r>
      <w:r>
        <w:rPr>
          <w:i/>
          <w:iCs/>
        </w:rPr>
        <w:t xml:space="preserve"> </w:t>
      </w:r>
      <w:r>
        <w:rPr>
          <w:i/>
          <w:iCs/>
        </w:rPr>
        <w:t xml:space="preserve">Elaine</w:t>
      </w:r>
      <w:r>
        <w:rPr>
          <w:i/>
          <w:iCs/>
        </w:rPr>
        <w:t xml:space="preserve"> </w:t>
      </w:r>
      <w:r>
        <w:rPr>
          <w:i/>
          <w:iCs/>
        </w:rPr>
        <w:t xml:space="preserve">Neidig</w:t>
      </w:r>
    </w:p>
    <w:p>
      <w:pPr>
        <w:spacing w:before="0" w:after="0" w:line="276" w:lineRule="exact"/>
        <w:ind w:left="4212" w:firstLine="0"/>
        <w:jc w:val="left"/>
      </w:pPr>
      <w:r>
        <w:t xml:space="preserve">Stephen</w:t>
      </w:r>
      <w:r>
        <w:t xml:space="preserve"> </w:t>
      </w:r>
      <w:r>
        <w:t xml:space="preserve">G.</w:t>
      </w:r>
      <w:r>
        <w:t xml:space="preserve"> </w:t>
      </w:r>
      <w:r>
        <w:t xml:space="preserve">Skinner,</w:t>
      </w:r>
      <w:r>
        <w:t xml:space="preserve"> </w:t>
      </w:r>
      <w:r>
        <w:t xml:space="preserve">Esquire</w:t>
      </w:r>
      <w:r>
        <w:t xml:space="preserve"> </w:t>
      </w:r>
      <w:r>
        <w:t xml:space="preserve">(WVSB</w:t>
      </w:r>
      <w:r>
        <w:t xml:space="preserve"> </w:t>
      </w:r>
      <w:r>
        <w:t xml:space="preserve">#</w:t>
      </w:r>
      <w:r>
        <w:t xml:space="preserve"> </w:t>
      </w:r>
      <w:r>
        <w:t xml:space="preserve">6725)</w:t>
      </w:r>
    </w:p>
    <w:p>
      <w:pPr>
        <w:spacing w:before="0" w:after="0" w:line="276" w:lineRule="exact"/>
        <w:ind w:left="4212" w:firstLine="0"/>
        <w:jc w:val="left"/>
      </w:pPr>
      <w:r>
        <w:t xml:space="preserve">SKINNER</w:t>
      </w:r>
      <w:r>
        <w:t xml:space="preserve"> </w:t>
      </w:r>
      <w:r>
        <w:t xml:space="preserve">LAW</w:t>
      </w:r>
      <w:r>
        <w:t xml:space="preserve"> </w:t>
      </w:r>
      <w:r>
        <w:t xml:space="preserve">FIRM</w:t>
      </w:r>
    </w:p>
    <w:p>
      <w:pPr>
        <w:spacing w:before="0" w:after="0" w:line="276" w:lineRule="exact"/>
        <w:ind w:left="4212" w:firstLine="0"/>
        <w:jc w:val="left"/>
      </w:pPr>
      <w:r>
        <w:t xml:space="preserve">PO</w:t>
      </w:r>
      <w:r>
        <w:t xml:space="preserve"> </w:t>
      </w:r>
      <w:r>
        <w:t xml:space="preserve">Box</w:t>
      </w:r>
      <w:r>
        <w:t xml:space="preserve"> </w:t>
      </w:r>
      <w:r>
        <w:t xml:space="preserve">487</w:t>
      </w:r>
    </w:p>
    <w:p>
      <w:pPr>
        <w:spacing w:before="0" w:after="0" w:line="276" w:lineRule="exact"/>
        <w:ind w:left="4212" w:firstLine="0"/>
        <w:jc w:val="left"/>
      </w:pPr>
      <w:r>
        <w:t xml:space="preserve">Charles</w:t>
      </w:r>
      <w:r>
        <w:t xml:space="preserve"> </w:t>
      </w:r>
      <w:r>
        <w:t xml:space="preserve">Town,</w:t>
      </w:r>
      <w:r>
        <w:t xml:space="preserve"> </w:t>
      </w:r>
      <w:r>
        <w:t xml:space="preserve">WV</w:t>
      </w:r>
      <w:r>
        <w:t xml:space="preserve"> </w:t>
      </w:r>
      <w:r>
        <w:t xml:space="preserve">25414</w:t>
      </w:r>
    </w:p>
    <w:p>
      <w:pPr>
        <w:spacing w:before="0" w:after="0" w:line="276" w:lineRule="exact"/>
        <w:ind w:left="4212" w:firstLine="0"/>
        <w:jc w:val="left"/>
      </w:pPr>
      <w:r>
        <w:t xml:space="preserve">Tel:</w:t>
      </w:r>
      <w:r>
        <w:t xml:space="preserve"> </w:t>
      </w:r>
      <w:r>
        <w:t xml:space="preserve">304-⁠725-⁠7029</w:t>
      </w:r>
    </w:p>
    <w:p>
      <w:pPr>
        <w:spacing w:before="0" w:after="0" w:line="276" w:lineRule="exact"/>
        <w:ind w:left="4212" w:firstLine="0"/>
        <w:jc w:val="left"/>
      </w:pPr>
      <w:r>
        <w:t xml:space="preserve">Fax:</w:t>
      </w:r>
      <w:r>
        <w:t xml:space="preserve"> </w:t>
      </w:r>
      <w:r>
        <w:t xml:space="preserve">304-⁠725-⁠4082</w:t>
      </w:r>
    </w:p>
    <w:p>
      <w:pPr>
        <w:spacing w:before="0" w:after="0" w:line="276" w:lineRule="exact"/>
        <w:ind w:left="4212" w:firstLine="0"/>
        <w:jc w:val="left"/>
      </w:pPr>
      <w:r>
        <w:t xml:space="preserve">sskinner@skinnerfirm.com</w:t>
      </w:r>
    </w:p>
    <w:p>
      <w:pPr>
        <w:spacing w:before="0" w:after="0" w:line="276" w:lineRule="exact"/>
        <w:ind w:left="4212" w:firstLine="0"/>
        <w:jc w:val="left"/>
      </w:pPr>
      <w:r>
        <w:rPr>
          <w:i/>
          <w:iCs/>
        </w:rPr>
        <w:t xml:space="preserve">Counsel</w:t>
      </w:r>
      <w:r>
        <w:rPr>
          <w:i/>
          <w:iCs/>
        </w:rPr>
        <w:t xml:space="preserve"> </w:t>
      </w:r>
      <w:r>
        <w:rPr>
          <w:i/>
          <w:iCs/>
        </w:rPr>
        <w:t xml:space="preserve">for</w:t>
      </w:r>
      <w:r>
        <w:rPr>
          <w:i/>
          <w:iCs/>
        </w:rPr>
        <w:t xml:space="preserve"> </w:t>
      </w:r>
      <w:r>
        <w:rPr>
          <w:i/>
          <w:iCs/>
        </w:rPr>
        <w:t xml:space="preserve">Petitioner</w:t>
      </w:r>
      <w:r>
        <w:rPr>
          <w:i/>
          <w:iCs/>
        </w:rPr>
        <w:t xml:space="preserve"> </w:t>
      </w:r>
      <w:r>
        <w:rPr>
          <w:i/>
          <w:iCs/>
        </w:rPr>
        <w:t xml:space="preserve">Elaine</w:t>
      </w:r>
      <w:r>
        <w:rPr>
          <w:i/>
          <w:iCs/>
        </w:rPr>
        <w:t xml:space="preserve"> </w:t>
      </w:r>
      <w:r>
        <w:rPr>
          <w:i/>
          <w:iCs/>
        </w:rPr>
        <w:t xml:space="preserve">Neidig</w:t>
      </w:r>
    </w:p>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2" w:after="0" w:line="276" w:lineRule="exact"/>
        <w:ind w:left="720" w:right="720" w:hanging="720"/>
      </w:pPr>
      <w:r>
        <w:t xml:space="preserve">INTRODUCTION</w:t>
      </w:r>
      <w:r>
        <w:t xml:space="preserve">   </w:t>
      </w:r>
      <w:r>
        <w:tab/>
      </w:r>
      <w:r>
        <w:t xml:space="preserve">1</w:t>
      </w:r>
    </w:p>
    <w:p>
      <w:pPr>
        <w:keepLines/>
        <w:tabs>
          <w:tab w:val="right" w:leader="dot" w:pos="9360"/>
        </w:tabs>
        <w:spacing w:before="192" w:after="0" w:line="276" w:lineRule="exact"/>
        <w:ind w:left="720" w:right="720" w:hanging="720"/>
      </w:pPr>
      <w:r>
        <w:t xml:space="preserve">ASSIGNMENTS</w:t>
      </w:r>
      <w:r>
        <w:t xml:space="preserve"> </w:t>
      </w:r>
      <w:r>
        <w:t xml:space="preserve">OF</w:t>
      </w:r>
      <w:r>
        <w:t xml:space="preserve"> </w:t>
      </w:r>
      <w:r>
        <w:t xml:space="preserve">ERROR</w:t>
      </w:r>
      <w:r>
        <w:t xml:space="preserve">   </w:t>
      </w:r>
      <w:r>
        <w:tab/>
      </w:r>
      <w:r>
        <w:t xml:space="preserve">1</w:t>
      </w:r>
    </w:p>
    <w:p>
      <w:pPr>
        <w:keepLines/>
        <w:tabs>
          <w:tab w:val="right" w:leader="dot" w:pos="9360"/>
        </w:tabs>
        <w:spacing w:before="192" w:after="0" w:line="276"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2</w:t>
      </w:r>
    </w:p>
    <w:p>
      <w:pPr>
        <w:keepLines/>
        <w:tabs>
          <w:tab w:val="right" w:leader="dot" w:pos="9360"/>
        </w:tabs>
        <w:spacing w:before="192" w:after="0" w:line="276" w:lineRule="exact"/>
        <w:ind w:left="720" w:right="720" w:hanging="720"/>
      </w:pPr>
      <w:r>
        <w:t xml:space="preserve">SUMMARY</w:t>
      </w:r>
      <w:r>
        <w:t xml:space="preserve"> </w:t>
      </w:r>
      <w:r>
        <w:t xml:space="preserve">OF</w:t>
      </w:r>
      <w:r>
        <w:t xml:space="preserve"> </w:t>
      </w:r>
      <w:r>
        <w:t xml:space="preserve">ARGUMENT</w:t>
      </w:r>
      <w:r>
        <w:t xml:space="preserve">   </w:t>
      </w:r>
      <w:r>
        <w:tab/>
      </w:r>
      <w:r>
        <w:t xml:space="preserve">5</w:t>
      </w:r>
    </w:p>
    <w:p>
      <w:pPr>
        <w:keepLines/>
        <w:tabs>
          <w:tab w:val="right" w:leader="dot" w:pos="9360"/>
        </w:tabs>
        <w:spacing w:before="192" w:after="0" w:line="276" w:lineRule="exact"/>
        <w:ind w:left="720" w:right="720" w:hanging="720"/>
      </w:pPr>
      <w:r>
        <w:t xml:space="preserve">STATEMENT</w:t>
      </w:r>
      <w:r>
        <w:t xml:space="preserve"> </w:t>
      </w:r>
      <w:r>
        <w:t xml:space="preserve">REGARDING</w:t>
      </w:r>
      <w:r>
        <w:t xml:space="preserve"> </w:t>
      </w:r>
      <w:r>
        <w:t xml:space="preserve">ORAL</w:t>
      </w:r>
      <w:r>
        <w:t xml:space="preserve"> </w:t>
      </w:r>
      <w:r>
        <w:t xml:space="preserve">ARGUMENT</w:t>
      </w:r>
      <w:r>
        <w:t xml:space="preserve"> </w:t>
      </w:r>
      <w:r>
        <w:t xml:space="preserve">AND</w:t>
      </w:r>
      <w:r>
        <w:t xml:space="preserve"> </w:t>
      </w:r>
      <w:r>
        <w:t xml:space="preserve">DECISION</w:t>
      </w:r>
      <w:r>
        <w:t xml:space="preserve">   </w:t>
      </w:r>
      <w:r>
        <w:tab/>
      </w:r>
      <w:r>
        <w:t xml:space="preserve">6</w:t>
      </w:r>
    </w:p>
    <w:p>
      <w:pPr>
        <w:keepLines/>
        <w:tabs>
          <w:tab w:val="right" w:leader="dot" w:pos="9360"/>
        </w:tabs>
        <w:spacing w:before="192" w:after="0" w:line="276" w:lineRule="exact"/>
        <w:ind w:left="720" w:right="720" w:hanging="720"/>
      </w:pPr>
      <w:r>
        <w:t xml:space="preserve">ARGUMENT</w:t>
      </w:r>
      <w:r>
        <w:t xml:space="preserve">   </w:t>
      </w:r>
      <w:r>
        <w:tab/>
      </w:r>
      <w:r>
        <w:t xml:space="preserve">6</w:t>
      </w:r>
    </w:p>
    <w:p>
      <w:pPr>
        <w:keepLines/>
        <w:tabs>
          <w:tab w:val="right" w:leader="dot" w:pos="9360"/>
        </w:tabs>
        <w:spacing w:before="192" w:after="0" w:line="276" w:lineRule="exact"/>
        <w:ind w:left="720" w:right="720" w:hanging="720"/>
      </w:pPr>
      <w:r>
        <w:t xml:space="preserve">I.</w:t>
      </w:r>
      <w:r>
        <w:t xml:space="preserve"> </w:t>
      </w:r>
      <w:r>
        <w:t xml:space="preserve">The</w:t>
      </w:r>
      <w:r>
        <w:t xml:space="preserve"> </w:t>
      </w:r>
      <w:r>
        <w:t xml:space="preserve">MPLA</w:t>
      </w:r>
      <w:r>
        <w:t xml:space="preserve"> </w:t>
      </w:r>
      <w:r>
        <w:t xml:space="preserve">Requires</w:t>
      </w:r>
      <w:r>
        <w:t xml:space="preserve"> </w:t>
      </w:r>
      <w:r>
        <w:t xml:space="preserve">a</w:t>
      </w:r>
      <w:r>
        <w:t xml:space="preserve"> </w:t>
      </w:r>
      <w:r>
        <w:t xml:space="preserve">Personal</w:t>
      </w:r>
      <w:r>
        <w:t xml:space="preserve"> </w:t>
      </w:r>
      <w:r>
        <w:t xml:space="preserve">Injury</w:t>
      </w:r>
      <w:r>
        <w:t xml:space="preserve"> </w:t>
      </w:r>
      <w:r>
        <w:t xml:space="preserve">or</w:t>
      </w:r>
      <w:r>
        <w:t xml:space="preserve"> </w:t>
      </w:r>
      <w:r>
        <w:t xml:space="preserve">Death.</w:t>
      </w:r>
      <w:r>
        <w:t xml:space="preserve">   </w:t>
      </w:r>
      <w:r>
        <w:tab/>
      </w:r>
      <w:r>
        <w:t xml:space="preserve">6</w:t>
      </w:r>
    </w:p>
    <w:p>
      <w:pPr>
        <w:keepLines/>
        <w:tabs>
          <w:tab w:val="right" w:leader="dot" w:pos="9360"/>
        </w:tabs>
        <w:spacing w:before="192" w:after="0" w:line="276" w:lineRule="exact"/>
        <w:ind w:left="1080" w:right="720" w:hanging="720"/>
      </w:pPr>
      <w:r>
        <w:t xml:space="preserve">A.</w:t>
      </w:r>
      <w:r>
        <w:t xml:space="preserve"> </w:t>
      </w:r>
      <w:r>
        <w:t xml:space="preserve">The</w:t>
      </w:r>
      <w:r>
        <w:t xml:space="preserve"> </w:t>
      </w:r>
      <w:r>
        <w:t xml:space="preserve">plain</w:t>
      </w:r>
      <w:r>
        <w:t xml:space="preserve"> </w:t>
      </w:r>
      <w:r>
        <w:t xml:space="preserve">statutory</w:t>
      </w:r>
      <w:r>
        <w:t xml:space="preserve"> </w:t>
      </w:r>
      <w:r>
        <w:t xml:space="preserve">language</w:t>
      </w:r>
      <w:r>
        <w:t xml:space="preserve"> </w:t>
      </w:r>
      <w:r>
        <w:t xml:space="preserve">of</w:t>
      </w:r>
      <w:r>
        <w:t xml:space="preserve"> </w:t>
      </w:r>
      <w:r>
        <w:t xml:space="preserve">the</w:t>
      </w:r>
      <w:r>
        <w:t xml:space="preserve"> </w:t>
      </w:r>
      <w:r>
        <w:t xml:space="preserve">MPLA</w:t>
      </w:r>
      <w:r>
        <w:t xml:space="preserve"> </w:t>
      </w:r>
      <w:r>
        <w:t xml:space="preserve">limits</w:t>
      </w:r>
      <w:r>
        <w:t xml:space="preserve"> </w:t>
      </w:r>
      <w:r>
        <w:t xml:space="preserve">its</w:t>
      </w:r>
      <w:r>
        <w:t xml:space="preserve"> </w:t>
      </w:r>
      <w:r>
        <w:t xml:space="preserve">applicability</w:t>
      </w:r>
      <w:r>
        <w:t xml:space="preserve"> </w:t>
      </w:r>
      <w:r>
        <w:t xml:space="preserve">to</w:t>
      </w:r>
      <w:r>
        <w:t xml:space="preserve"> </w:t>
      </w:r>
      <w:r>
        <w:t xml:space="preserve">claims</w:t>
      </w:r>
      <w:r>
        <w:t xml:space="preserve"> </w:t>
      </w:r>
      <w:r>
        <w:t xml:space="preserve">involving</w:t>
      </w:r>
      <w:r>
        <w:t xml:space="preserve"> </w:t>
      </w:r>
      <w:r>
        <w:t xml:space="preserve">physical</w:t>
      </w:r>
      <w:r>
        <w:t xml:space="preserve"> </w:t>
      </w:r>
      <w:r>
        <w:t xml:space="preserve">or</w:t>
      </w:r>
      <w:r>
        <w:t xml:space="preserve"> </w:t>
      </w:r>
      <w:r>
        <w:t xml:space="preserve">emotional</w:t>
      </w:r>
      <w:r>
        <w:t xml:space="preserve"> </w:t>
      </w:r>
      <w:r>
        <w:t xml:space="preserve">injury.</w:t>
      </w:r>
      <w:r>
        <w:t xml:space="preserve">   </w:t>
      </w:r>
      <w:r>
        <w:tab/>
      </w:r>
      <w:r>
        <w:t xml:space="preserve">7</w:t>
      </w:r>
    </w:p>
    <w:p>
      <w:pPr>
        <w:keepLines/>
        <w:tabs>
          <w:tab w:val="right" w:leader="dot" w:pos="9360"/>
        </w:tabs>
        <w:spacing w:before="192" w:after="0" w:line="276" w:lineRule="exact"/>
        <w:ind w:left="1440" w:right="720" w:hanging="720"/>
      </w:pPr>
      <w:r>
        <w:t xml:space="preserve">1.</w:t>
      </w:r>
      <w:r>
        <w:t xml:space="preserve"> </w:t>
      </w:r>
      <w:r>
        <w:t xml:space="preserve">The</w:t>
      </w:r>
      <w:r>
        <w:t xml:space="preserve"> </w:t>
      </w:r>
      <w:r>
        <w:t xml:space="preserve">plain</w:t>
      </w:r>
      <w:r>
        <w:t xml:space="preserve"> </w:t>
      </w:r>
      <w:r>
        <w:t xml:space="preserve">meaning</w:t>
      </w:r>
      <w:r>
        <w:t xml:space="preserve"> </w:t>
      </w:r>
      <w:r>
        <w:t xml:space="preserve">of</w:t>
      </w:r>
      <w:r>
        <w:t xml:space="preserve"> </w:t>
      </w:r>
      <w:r>
        <w:t xml:space="preserve">the</w:t>
      </w:r>
      <w:r>
        <w:t xml:space="preserve"> </w:t>
      </w:r>
      <w:r>
        <w:t xml:space="preserve">phrase</w:t>
      </w:r>
      <w:r>
        <w:t xml:space="preserve"> </w:t>
      </w:r>
      <w:r>
        <w:t xml:space="preserve">“death</w:t>
      </w:r>
      <w:r>
        <w:t xml:space="preserve"> </w:t>
      </w:r>
      <w:r>
        <w:t xml:space="preserve">or</w:t>
      </w:r>
      <w:r>
        <w:t xml:space="preserve"> </w:t>
      </w:r>
      <w:r>
        <w:t xml:space="preserve">injury</w:t>
      </w:r>
      <w:r>
        <w:t xml:space="preserve"> </w:t>
      </w:r>
      <w:r>
        <w:t xml:space="preserve">of</w:t>
      </w:r>
      <w:r>
        <w:t xml:space="preserve"> </w:t>
      </w:r>
      <w:r>
        <w:t xml:space="preserve">a</w:t>
      </w:r>
      <w:r>
        <w:t xml:space="preserve"> </w:t>
      </w:r>
      <w:r>
        <w:t xml:space="preserve">person”</w:t>
      </w:r>
      <w:r>
        <w:t xml:space="preserve"> </w:t>
      </w:r>
      <w:r>
        <w:t xml:space="preserve">is</w:t>
      </w:r>
      <w:r>
        <w:t xml:space="preserve"> </w:t>
      </w:r>
      <w:r>
        <w:t xml:space="preserve">a</w:t>
      </w:r>
      <w:r>
        <w:t xml:space="preserve"> </w:t>
      </w:r>
      <w:r>
        <w:t xml:space="preserve">personal</w:t>
      </w:r>
      <w:r>
        <w:t xml:space="preserve"> </w:t>
      </w:r>
      <w:r>
        <w:t xml:space="preserve">injury.</w:t>
      </w:r>
      <w:r>
        <w:t xml:space="preserve">   </w:t>
      </w:r>
      <w:r>
        <w:tab/>
      </w:r>
      <w:r>
        <w:t xml:space="preserve">8</w:t>
      </w:r>
    </w:p>
    <w:p>
      <w:pPr>
        <w:keepLines/>
        <w:tabs>
          <w:tab w:val="right" w:leader="dot" w:pos="9360"/>
        </w:tabs>
        <w:spacing w:before="192" w:after="0" w:line="276" w:lineRule="exact"/>
        <w:ind w:left="1440" w:right="720" w:hanging="720"/>
      </w:pPr>
      <w:r>
        <w:t xml:space="preserve">2.</w:t>
      </w:r>
      <w:r>
        <w:t xml:space="preserve"> </w:t>
      </w:r>
      <w:r>
        <w:t xml:space="preserve">Other</w:t>
      </w:r>
      <w:r>
        <w:t xml:space="preserve"> </w:t>
      </w:r>
      <w:r>
        <w:t xml:space="preserve">provisions</w:t>
      </w:r>
      <w:r>
        <w:t xml:space="preserve"> </w:t>
      </w:r>
      <w:r>
        <w:t xml:space="preserve">of</w:t>
      </w:r>
      <w:r>
        <w:t xml:space="preserve"> </w:t>
      </w:r>
      <w:r>
        <w:t xml:space="preserve">the</w:t>
      </w:r>
      <w:r>
        <w:t xml:space="preserve"> </w:t>
      </w:r>
      <w:r>
        <w:t xml:space="preserve">MPLA</w:t>
      </w:r>
      <w:r>
        <w:t xml:space="preserve"> </w:t>
      </w:r>
      <w:r>
        <w:t xml:space="preserve">confirm</w:t>
      </w:r>
      <w:r>
        <w:t xml:space="preserve"> </w:t>
      </w:r>
      <w:r>
        <w:t xml:space="preserve">that</w:t>
      </w:r>
      <w:r>
        <w:t xml:space="preserve"> </w:t>
      </w:r>
      <w:r>
        <w:t xml:space="preserve">it</w:t>
      </w:r>
      <w:r>
        <w:t xml:space="preserve"> </w:t>
      </w:r>
      <w:r>
        <w:t xml:space="preserve">only</w:t>
      </w:r>
      <w:r>
        <w:t xml:space="preserve"> </w:t>
      </w:r>
      <w:r>
        <w:t xml:space="preserve">applies</w:t>
      </w:r>
      <w:r>
        <w:t xml:space="preserve"> </w:t>
      </w:r>
      <w:r>
        <w:t xml:space="preserve">in</w:t>
      </w:r>
      <w:r>
        <w:t xml:space="preserve"> </w:t>
      </w:r>
      <w:r>
        <w:t xml:space="preserve">the</w:t>
      </w:r>
      <w:r>
        <w:t xml:space="preserve"> </w:t>
      </w:r>
      <w:r>
        <w:t xml:space="preserve">case</w:t>
      </w:r>
      <w:r>
        <w:t xml:space="preserve"> </w:t>
      </w:r>
      <w:r>
        <w:t xml:space="preserve">of</w:t>
      </w:r>
      <w:r>
        <w:t xml:space="preserve"> </w:t>
      </w:r>
      <w:r>
        <w:t xml:space="preserve">death</w:t>
      </w:r>
      <w:r>
        <w:t xml:space="preserve"> </w:t>
      </w:r>
      <w:r>
        <w:t xml:space="preserve">or</w:t>
      </w:r>
      <w:r>
        <w:t xml:space="preserve"> </w:t>
      </w:r>
      <w:r>
        <w:t xml:space="preserve">personal</w:t>
      </w:r>
      <w:r>
        <w:t xml:space="preserve"> </w:t>
      </w:r>
      <w:r>
        <w:t xml:space="preserve">injury.</w:t>
      </w:r>
      <w:r>
        <w:t xml:space="preserve">   </w:t>
      </w:r>
      <w:r>
        <w:tab/>
      </w:r>
      <w:r>
        <w:t xml:space="preserve">9</w:t>
      </w:r>
    </w:p>
    <w:p>
      <w:pPr>
        <w:keepLines/>
        <w:tabs>
          <w:tab w:val="right" w:leader="dot" w:pos="9360"/>
        </w:tabs>
        <w:spacing w:before="192" w:after="0" w:line="276" w:lineRule="exact"/>
        <w:ind w:left="1080" w:right="720" w:hanging="720"/>
      </w:pPr>
      <w:r>
        <w:t xml:space="preserve">B.</w:t>
      </w:r>
      <w:r>
        <w:t xml:space="preserve"> </w:t>
      </w:r>
      <w:r>
        <w:t xml:space="preserve">This</w:t>
      </w:r>
      <w:r>
        <w:t xml:space="preserve"> </w:t>
      </w:r>
      <w:r>
        <w:t xml:space="preserve">Court</w:t>
      </w:r>
      <w:r>
        <w:t xml:space="preserve"> </w:t>
      </w:r>
      <w:r>
        <w:t xml:space="preserve">has</w:t>
      </w:r>
      <w:r>
        <w:t xml:space="preserve"> </w:t>
      </w:r>
      <w:r>
        <w:t xml:space="preserve">long</w:t>
      </w:r>
      <w:r>
        <w:t xml:space="preserve"> </w:t>
      </w:r>
      <w:r>
        <w:t xml:space="preserve">recognized</w:t>
      </w:r>
      <w:r>
        <w:t xml:space="preserve"> </w:t>
      </w:r>
      <w:r>
        <w:t xml:space="preserve">that</w:t>
      </w:r>
      <w:r>
        <w:t xml:space="preserve"> </w:t>
      </w:r>
      <w:r>
        <w:t xml:space="preserve">the</w:t>
      </w:r>
      <w:r>
        <w:t xml:space="preserve"> </w:t>
      </w:r>
      <w:r>
        <w:t xml:space="preserve">MPLA</w:t>
      </w:r>
      <w:r>
        <w:t xml:space="preserve"> </w:t>
      </w:r>
      <w:r>
        <w:t xml:space="preserve">amended</w:t>
      </w:r>
      <w:r>
        <w:t xml:space="preserve"> </w:t>
      </w:r>
      <w:r>
        <w:t xml:space="preserve">the</w:t>
      </w:r>
      <w:r>
        <w:t xml:space="preserve"> </w:t>
      </w:r>
      <w:r>
        <w:t xml:space="preserve">common</w:t>
      </w:r>
      <w:r>
        <w:t xml:space="preserve"> </w:t>
      </w:r>
      <w:r>
        <w:t xml:space="preserve">law</w:t>
      </w:r>
      <w:r>
        <w:t xml:space="preserve"> </w:t>
      </w:r>
      <w:r>
        <w:t xml:space="preserve">with</w:t>
      </w:r>
      <w:r>
        <w:t xml:space="preserve"> </w:t>
      </w:r>
      <w:r>
        <w:t xml:space="preserve">respect</w:t>
      </w:r>
      <w:r>
        <w:t xml:space="preserve"> </w:t>
      </w:r>
      <w:r>
        <w:t xml:space="preserve">to</w:t>
      </w:r>
      <w:r>
        <w:t xml:space="preserve"> </w:t>
      </w:r>
      <w:r>
        <w:t xml:space="preserve">claims</w:t>
      </w:r>
      <w:r>
        <w:t xml:space="preserve"> </w:t>
      </w:r>
      <w:r>
        <w:t xml:space="preserve">predicated</w:t>
      </w:r>
      <w:r>
        <w:t xml:space="preserve"> </w:t>
      </w:r>
      <w:r>
        <w:t xml:space="preserve">upon</w:t>
      </w:r>
      <w:r>
        <w:t xml:space="preserve"> </w:t>
      </w:r>
      <w:r>
        <w:t xml:space="preserve">personal</w:t>
      </w:r>
      <w:r>
        <w:t xml:space="preserve"> </w:t>
      </w:r>
      <w:r>
        <w:t xml:space="preserve">injury</w:t>
      </w:r>
      <w:r>
        <w:t xml:space="preserve"> </w:t>
      </w:r>
      <w:r>
        <w:t xml:space="preserve">or</w:t>
      </w:r>
      <w:r>
        <w:t xml:space="preserve"> </w:t>
      </w:r>
      <w:r>
        <w:t xml:space="preserve">death.</w:t>
      </w:r>
      <w:r>
        <w:t xml:space="preserve">   </w:t>
      </w:r>
      <w:r>
        <w:tab/>
      </w:r>
      <w:r>
        <w:t xml:space="preserve">11</w:t>
      </w:r>
    </w:p>
    <w:p>
      <w:pPr>
        <w:keepLines/>
        <w:tabs>
          <w:tab w:val="right" w:leader="dot" w:pos="9360"/>
        </w:tabs>
        <w:spacing w:before="192" w:after="0" w:line="276" w:lineRule="exact"/>
        <w:ind w:left="1080" w:right="720" w:hanging="720"/>
      </w:pPr>
      <w:r>
        <w:t xml:space="preserve">C.</w:t>
      </w:r>
      <w:r>
        <w:t xml:space="preserve"> </w:t>
      </w:r>
      <w:r>
        <w:t xml:space="preserve">There</w:t>
      </w:r>
      <w:r>
        <w:t xml:space="preserve"> </w:t>
      </w:r>
      <w:r>
        <w:t xml:space="preserve">is</w:t>
      </w:r>
      <w:r>
        <w:t xml:space="preserve"> </w:t>
      </w:r>
      <w:r>
        <w:t xml:space="preserve">no</w:t>
      </w:r>
      <w:r>
        <w:t xml:space="preserve"> </w:t>
      </w:r>
      <w:r>
        <w:t xml:space="preserve">MPLA</w:t>
      </w:r>
      <w:r>
        <w:t xml:space="preserve"> </w:t>
      </w:r>
      <w:r>
        <w:t xml:space="preserve">“anchor</w:t>
      </w:r>
      <w:r>
        <w:t xml:space="preserve"> </w:t>
      </w:r>
      <w:r>
        <w:t xml:space="preserve">claim”</w:t>
      </w:r>
      <w:r>
        <w:t xml:space="preserve"> </w:t>
      </w:r>
      <w:r>
        <w:t xml:space="preserve">when</w:t>
      </w:r>
      <w:r>
        <w:t xml:space="preserve"> </w:t>
      </w:r>
      <w:r>
        <w:t xml:space="preserve">the</w:t>
      </w:r>
      <w:r>
        <w:t xml:space="preserve"> </w:t>
      </w:r>
      <w:r>
        <w:t xml:space="preserve">supposed</w:t>
      </w:r>
      <w:r>
        <w:t xml:space="preserve"> </w:t>
      </w:r>
      <w:r>
        <w:t xml:space="preserve">“anchor</w:t>
      </w:r>
      <w:r>
        <w:t xml:space="preserve"> </w:t>
      </w:r>
      <w:r>
        <w:t xml:space="preserve">claim”</w:t>
      </w:r>
      <w:r>
        <w:t xml:space="preserve"> </w:t>
      </w:r>
      <w:r>
        <w:t xml:space="preserve">does</w:t>
      </w:r>
      <w:r>
        <w:t xml:space="preserve"> </w:t>
      </w:r>
      <w:r>
        <w:t xml:space="preserve">not</w:t>
      </w:r>
      <w:r>
        <w:t xml:space="preserve"> </w:t>
      </w:r>
      <w:r>
        <w:t xml:space="preserve">involve</w:t>
      </w:r>
      <w:r>
        <w:t xml:space="preserve"> </w:t>
      </w:r>
      <w:r>
        <w:t xml:space="preserve">an</w:t>
      </w:r>
      <w:r>
        <w:t xml:space="preserve"> </w:t>
      </w:r>
      <w:r>
        <w:t xml:space="preserve">allegation</w:t>
      </w:r>
      <w:r>
        <w:t xml:space="preserve"> </w:t>
      </w:r>
      <w:r>
        <w:t xml:space="preserve">of</w:t>
      </w:r>
      <w:r>
        <w:t xml:space="preserve"> </w:t>
      </w:r>
      <w:r>
        <w:t xml:space="preserve">death</w:t>
      </w:r>
      <w:r>
        <w:t xml:space="preserve"> </w:t>
      </w:r>
      <w:r>
        <w:t xml:space="preserve">or</w:t>
      </w:r>
      <w:r>
        <w:t xml:space="preserve"> </w:t>
      </w:r>
      <w:r>
        <w:t xml:space="preserve">a</w:t>
      </w:r>
      <w:r>
        <w:t xml:space="preserve"> </w:t>
      </w:r>
      <w:r>
        <w:t xml:space="preserve">physical</w:t>
      </w:r>
      <w:r>
        <w:t xml:space="preserve"> </w:t>
      </w:r>
      <w:r>
        <w:t xml:space="preserve">(or</w:t>
      </w:r>
      <w:r>
        <w:t xml:space="preserve"> </w:t>
      </w:r>
      <w:r>
        <w:t xml:space="preserve">even</w:t>
      </w:r>
      <w:r>
        <w:t xml:space="preserve"> </w:t>
      </w:r>
      <w:r>
        <w:t xml:space="preserve">an</w:t>
      </w:r>
      <w:r>
        <w:t xml:space="preserve"> </w:t>
      </w:r>
      <w:r>
        <w:t xml:space="preserve">emotional)</w:t>
      </w:r>
      <w:r>
        <w:t xml:space="preserve"> </w:t>
      </w:r>
      <w:r>
        <w:t xml:space="preserve">injury</w:t>
      </w:r>
      <w:r>
        <w:t xml:space="preserve"> </w:t>
      </w:r>
      <w:r>
        <w:t xml:space="preserve">to</w:t>
      </w:r>
      <w:r>
        <w:t xml:space="preserve"> </w:t>
      </w:r>
      <w:r>
        <w:t xml:space="preserve">a</w:t>
      </w:r>
      <w:r>
        <w:t xml:space="preserve"> </w:t>
      </w:r>
      <w:r>
        <w:t xml:space="preserve">person.</w:t>
      </w:r>
      <w:r>
        <w:t xml:space="preserve">   </w:t>
      </w:r>
      <w:r>
        <w:tab/>
      </w:r>
      <w:r>
        <w:t xml:space="preserve">14</w:t>
      </w:r>
    </w:p>
    <w:p>
      <w:pPr>
        <w:keepLines/>
        <w:tabs>
          <w:tab w:val="right" w:leader="dot" w:pos="9360"/>
        </w:tabs>
        <w:spacing w:before="192" w:after="0" w:line="276" w:lineRule="exact"/>
        <w:ind w:left="720" w:right="720" w:hanging="720"/>
      </w:pPr>
      <w:r>
        <w:t xml:space="preserve">II.</w:t>
      </w:r>
      <w:r>
        <w:t xml:space="preserve"> </w:t>
      </w:r>
      <w:r>
        <w:t xml:space="preserve">Valley’s</w:t>
      </w:r>
      <w:r>
        <w:t xml:space="preserve"> </w:t>
      </w:r>
      <w:r>
        <w:t xml:space="preserve">Interpretation</w:t>
      </w:r>
      <w:r>
        <w:t xml:space="preserve"> </w:t>
      </w:r>
      <w:r>
        <w:t xml:space="preserve">of</w:t>
      </w:r>
      <w:r>
        <w:t xml:space="preserve"> </w:t>
      </w:r>
      <w:r>
        <w:t xml:space="preserve">the</w:t>
      </w:r>
      <w:r>
        <w:t xml:space="preserve"> </w:t>
      </w:r>
      <w:r>
        <w:t xml:space="preserve">MPLA</w:t>
      </w:r>
      <w:r>
        <w:t xml:space="preserve"> </w:t>
      </w:r>
      <w:r>
        <w:t xml:space="preserve">Fails</w:t>
      </w:r>
      <w:r>
        <w:t xml:space="preserve"> </w:t>
      </w:r>
      <w:r>
        <w:t xml:space="preserve">to</w:t>
      </w:r>
      <w:r>
        <w:t xml:space="preserve"> </w:t>
      </w:r>
      <w:r>
        <w:t xml:space="preserve">Strictly</w:t>
      </w:r>
      <w:r>
        <w:t xml:space="preserve"> </w:t>
      </w:r>
      <w:r>
        <w:t xml:space="preserve">Construe</w:t>
      </w:r>
      <w:r>
        <w:t xml:space="preserve"> </w:t>
      </w:r>
      <w:r>
        <w:t xml:space="preserve">the</w:t>
      </w:r>
      <w:r>
        <w:t xml:space="preserve"> </w:t>
      </w:r>
      <w:r>
        <w:t xml:space="preserve">MPLA</w:t>
      </w:r>
      <w:r>
        <w:t xml:space="preserve"> </w:t>
      </w:r>
      <w:r>
        <w:t xml:space="preserve">in</w:t>
      </w:r>
      <w:r>
        <w:t xml:space="preserve"> </w:t>
      </w:r>
      <w:r>
        <w:t xml:space="preserve">Violation</w:t>
      </w:r>
      <w:r>
        <w:t xml:space="preserve"> </w:t>
      </w:r>
      <w:r>
        <w:t xml:space="preserve">of</w:t>
      </w:r>
      <w:r>
        <w:t xml:space="preserve"> </w:t>
      </w:r>
      <w:r>
        <w:t xml:space="preserve">This</w:t>
      </w:r>
      <w:r>
        <w:t xml:space="preserve"> </w:t>
      </w:r>
      <w:r>
        <w:t xml:space="preserve">Court’s</w:t>
      </w:r>
      <w:r>
        <w:t xml:space="preserve"> </w:t>
      </w:r>
      <w:r>
        <w:t xml:space="preserve">Rules</w:t>
      </w:r>
      <w:r>
        <w:t xml:space="preserve"> </w:t>
      </w:r>
      <w:r>
        <w:t xml:space="preserve">of</w:t>
      </w:r>
      <w:r>
        <w:t xml:space="preserve"> </w:t>
      </w:r>
      <w:r>
        <w:t xml:space="preserve">Statutory</w:t>
      </w:r>
      <w:r>
        <w:t xml:space="preserve"> </w:t>
      </w:r>
      <w:r>
        <w:t xml:space="preserve">Construction.</w:t>
      </w:r>
      <w:r>
        <w:t xml:space="preserve">   </w:t>
      </w:r>
      <w:r>
        <w:tab/>
      </w:r>
      <w:r>
        <w:t xml:space="preserve">16</w:t>
      </w:r>
    </w:p>
    <w:p>
      <w:pPr>
        <w:keepLines/>
        <w:tabs>
          <w:tab w:val="right" w:leader="dot" w:pos="9360"/>
        </w:tabs>
        <w:spacing w:before="192" w:after="0" w:line="276" w:lineRule="exact"/>
        <w:ind w:left="1080" w:right="720" w:hanging="720"/>
      </w:pPr>
      <w:r>
        <w:t xml:space="preserve">A.</w:t>
      </w:r>
      <w:r>
        <w:t xml:space="preserve"> </w:t>
      </w:r>
      <w:r>
        <w:t xml:space="preserve">The</w:t>
      </w:r>
      <w:r>
        <w:t xml:space="preserve"> </w:t>
      </w:r>
      <w:r>
        <w:t xml:space="preserve">MPLA</w:t>
      </w:r>
      <w:r>
        <w:t xml:space="preserve"> </w:t>
      </w:r>
      <w:r>
        <w:t xml:space="preserve">must</w:t>
      </w:r>
      <w:r>
        <w:t xml:space="preserve"> </w:t>
      </w:r>
      <w:r>
        <w:t xml:space="preserve">be</w:t>
      </w:r>
      <w:r>
        <w:t xml:space="preserve"> </w:t>
      </w:r>
      <w:r>
        <w:t xml:space="preserve">strictly</w:t>
      </w:r>
      <w:r>
        <w:t xml:space="preserve"> </w:t>
      </w:r>
      <w:r>
        <w:t xml:space="preserve">construed.</w:t>
      </w:r>
      <w:r>
        <w:t xml:space="preserve">   </w:t>
      </w:r>
      <w:r>
        <w:tab/>
      </w:r>
      <w:r>
        <w:t xml:space="preserve">16</w:t>
      </w:r>
    </w:p>
    <w:p>
      <w:pPr>
        <w:keepLines/>
        <w:tabs>
          <w:tab w:val="right" w:leader="dot" w:pos="9360"/>
        </w:tabs>
        <w:spacing w:before="192" w:after="0" w:line="276" w:lineRule="exact"/>
        <w:ind w:left="1080" w:right="720" w:hanging="720"/>
      </w:pPr>
      <w:r>
        <w:t xml:space="preserve">B.</w:t>
      </w:r>
      <w:r>
        <w:t xml:space="preserve"> </w:t>
      </w:r>
      <w:r>
        <w:t xml:space="preserve">Broadening</w:t>
      </w:r>
      <w:r>
        <w:t xml:space="preserve"> </w:t>
      </w:r>
      <w:r>
        <w:t xml:space="preserve">the</w:t>
      </w:r>
      <w:r>
        <w:t xml:space="preserve"> </w:t>
      </w:r>
      <w:r>
        <w:t xml:space="preserve">MPLA</w:t>
      </w:r>
      <w:r>
        <w:t xml:space="preserve"> </w:t>
      </w:r>
      <w:r>
        <w:t xml:space="preserve">to</w:t>
      </w:r>
      <w:r>
        <w:t xml:space="preserve"> </w:t>
      </w:r>
      <w:r>
        <w:t xml:space="preserve">include</w:t>
      </w:r>
      <w:r>
        <w:t xml:space="preserve"> </w:t>
      </w:r>
      <w:r>
        <w:t xml:space="preserve">cases</w:t>
      </w:r>
      <w:r>
        <w:t xml:space="preserve"> </w:t>
      </w:r>
      <w:r>
        <w:t xml:space="preserve">where</w:t>
      </w:r>
      <w:r>
        <w:t xml:space="preserve"> </w:t>
      </w:r>
      <w:r>
        <w:t xml:space="preserve">there</w:t>
      </w:r>
      <w:r>
        <w:t xml:space="preserve"> </w:t>
      </w:r>
      <w:r>
        <w:t xml:space="preserve">is</w:t>
      </w:r>
      <w:r>
        <w:t xml:space="preserve"> </w:t>
      </w:r>
      <w:r>
        <w:t xml:space="preserve">no</w:t>
      </w:r>
      <w:r>
        <w:t xml:space="preserve"> </w:t>
      </w:r>
      <w:r>
        <w:t xml:space="preserve">injury</w:t>
      </w:r>
      <w:r>
        <w:t xml:space="preserve"> </w:t>
      </w:r>
      <w:r>
        <w:t xml:space="preserve">to</w:t>
      </w:r>
      <w:r>
        <w:t xml:space="preserve"> </w:t>
      </w:r>
      <w:r>
        <w:t xml:space="preserve">a</w:t>
      </w:r>
      <w:r>
        <w:t xml:space="preserve"> </w:t>
      </w:r>
      <w:r>
        <w:t xml:space="preserve">person</w:t>
      </w:r>
      <w:r>
        <w:t xml:space="preserve"> </w:t>
      </w:r>
      <w:r>
        <w:t xml:space="preserve">or</w:t>
      </w:r>
      <w:r>
        <w:t xml:space="preserve"> </w:t>
      </w:r>
      <w:r>
        <w:t xml:space="preserve">death</w:t>
      </w:r>
      <w:r>
        <w:t xml:space="preserve"> </w:t>
      </w:r>
      <w:r>
        <w:t xml:space="preserve">will</w:t>
      </w:r>
      <w:r>
        <w:t xml:space="preserve"> </w:t>
      </w:r>
      <w:r>
        <w:t xml:space="preserve">lead</w:t>
      </w:r>
      <w:r>
        <w:t xml:space="preserve"> </w:t>
      </w:r>
      <w:r>
        <w:t xml:space="preserve">to</w:t>
      </w:r>
      <w:r>
        <w:t xml:space="preserve"> </w:t>
      </w:r>
      <w:r>
        <w:t xml:space="preserve">absurd</w:t>
      </w:r>
      <w:r>
        <w:t xml:space="preserve"> </w:t>
      </w:r>
      <w:r>
        <w:t xml:space="preserve">results.</w:t>
      </w:r>
      <w:r>
        <w:t xml:space="preserve">   </w:t>
      </w:r>
      <w:r>
        <w:tab/>
      </w:r>
      <w:r>
        <w:t xml:space="preserve">17</w:t>
      </w:r>
    </w:p>
    <w:p>
      <w:pPr>
        <w:keepLines/>
        <w:tabs>
          <w:tab w:val="right" w:leader="dot" w:pos="9360"/>
        </w:tabs>
        <w:spacing w:before="192" w:after="0" w:line="276" w:lineRule="exact"/>
        <w:ind w:left="720" w:right="720" w:hanging="720"/>
      </w:pPr>
      <w:r>
        <w:t xml:space="preserve">CONCLUSION</w:t>
      </w:r>
      <w:r>
        <w:t xml:space="preserve">   </w:t>
      </w:r>
      <w:r>
        <w:tab/>
      </w:r>
      <w:r>
        <w:t xml:space="preserve">18</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96" w:line="276" w:lineRule="exact"/>
        <w:ind w:left="0" w:firstLine="0"/>
        <w:jc w:val="left"/>
      </w:pPr>
      <w:r>
        <w:rPr>
          <w:b/>
          <w:bCs/>
        </w:rPr>
        <w:t xml:space="preserve">CASES</w:t>
      </w:r>
    </w:p>
    <w:p>
      <w:pPr>
        <w:keepLines/>
        <w:tabs>
          <w:tab w:val="right" w:leader="dot" w:pos="9360"/>
        </w:tabs>
        <w:spacing w:before="144" w:after="0" w:line="276" w:lineRule="exact"/>
        <w:ind w:left="576" w:right="1120" w:hanging="576"/>
      </w:pPr>
      <w:r>
        <w:rPr>
          <w:i/>
          <w:iCs/>
        </w:rPr>
        <w:t xml:space="preserve">Barr</w:t>
      </w:r>
      <w:r>
        <w:rPr>
          <w:i/>
          <w:iCs/>
        </w:rPr>
        <w:t xml:space="preserve"> </w:t>
      </w:r>
      <w:r>
        <w:rPr>
          <w:i/>
          <w:iCs/>
        </w:rPr>
        <w:t xml:space="preserve">v.</w:t>
      </w:r>
      <w:r>
        <w:rPr>
          <w:i/>
          <w:iCs/>
        </w:rPr>
        <w:t xml:space="preserve"> </w:t>
      </w:r>
      <w:r>
        <w:rPr>
          <w:i/>
          <w:iCs/>
        </w:rPr>
        <w:t xml:space="preserve">NCB</w:t>
      </w:r>
      <w:r>
        <w:rPr>
          <w:i/>
          <w:iCs/>
        </w:rPr>
        <w:t xml:space="preserve"> </w:t>
      </w:r>
      <w:r>
        <w:rPr>
          <w:i/>
          <w:iCs/>
        </w:rPr>
        <w:t xml:space="preserve">Mgmt.</w:t>
      </w:r>
      <w:r>
        <w:rPr>
          <w:i/>
          <w:iCs/>
        </w:rPr>
        <w:t xml:space="preserve"> </w:t>
      </w:r>
      <w:r>
        <w:rPr>
          <w:i/>
          <w:iCs/>
        </w:rPr>
        <w:t xml:space="preserve">Servs.</w:t>
      </w:r>
      <w:r>
        <w:t xml:space="preserve">,</w:t>
      </w:r>
      <w:r>
        <w:t xml:space="preserve"> </w:t>
      </w:r>
      <w:r>
        <w:t xml:space="preserve">227</w:t>
      </w:r>
      <w:r>
        <w:t xml:space="preserve"> </w:t>
      </w:r>
      <w:r>
        <w:t xml:space="preserve">W.</w:t>
      </w:r>
      <w:r>
        <w:t xml:space="preserve"> </w:t>
      </w:r>
      <w:r>
        <w:t xml:space="preserve">Va.</w:t>
      </w:r>
      <w:r>
        <w:t xml:space="preserve"> </w:t>
      </w:r>
      <w:r>
        <w:t xml:space="preserve">507,</w:t>
      </w:r>
      <w:r>
        <w:t xml:space="preserve"> </w:t>
      </w:r>
      <w:r>
        <w:t xml:space="preserve">711</w:t>
      </w:r>
      <w:r>
        <w:t xml:space="preserve"> </w:t>
      </w:r>
      <w:r>
        <w:t xml:space="preserve">S.E.2d</w:t>
      </w:r>
      <w:r>
        <w:t xml:space="preserve"> </w:t>
      </w:r>
      <w:r>
        <w:t xml:space="preserve">577</w:t>
      </w:r>
      <w:r>
        <w:t xml:space="preserve"> </w:t>
      </w:r>
      <w:r>
        <w:t xml:space="preserve">(2011)</w:t>
      </w:r>
      <w:r>
        <w:t xml:space="preserve">   </w:t>
      </w:r>
      <w:r>
        <w:tab/>
      </w:r>
      <w:r>
        <w:t xml:space="preserve">17</w:t>
      </w:r>
    </w:p>
    <w:p>
      <w:pPr>
        <w:keepLines/>
        <w:tabs>
          <w:tab w:val="right" w:leader="dot" w:pos="9360"/>
        </w:tabs>
        <w:spacing w:before="144" w:after="0" w:line="276" w:lineRule="exact"/>
        <w:ind w:left="576" w:right="1120" w:hanging="576"/>
      </w:pPr>
      <w:r>
        <w:rPr>
          <w:i/>
          <w:iCs/>
        </w:rPr>
        <w:t xml:space="preserve">Blankenship</w:t>
      </w:r>
      <w:r>
        <w:rPr>
          <w:i/>
          <w:iCs/>
        </w:rPr>
        <w:t xml:space="preserve"> </w:t>
      </w:r>
      <w:r>
        <w:rPr>
          <w:i/>
          <w:iCs/>
        </w:rPr>
        <w:t xml:space="preserve">v.</w:t>
      </w:r>
      <w:r>
        <w:rPr>
          <w:i/>
          <w:iCs/>
        </w:rPr>
        <w:t xml:space="preserve"> </w:t>
      </w:r>
      <w:r>
        <w:rPr>
          <w:i/>
          <w:iCs/>
        </w:rPr>
        <w:t xml:space="preserve">Ethicon,</w:t>
      </w:r>
      <w:r>
        <w:rPr>
          <w:i/>
          <w:iCs/>
        </w:rPr>
        <w:t xml:space="preserve"> </w:t>
      </w:r>
      <w:r>
        <w:rPr>
          <w:i/>
          <w:iCs/>
        </w:rPr>
        <w:t xml:space="preserve">Inc.</w:t>
      </w:r>
      <w:r>
        <w:t xml:space="preserve">,</w:t>
      </w:r>
      <w:r>
        <w:t xml:space="preserve"> </w:t>
      </w:r>
      <w:r>
        <w:t xml:space="preserve">221</w:t>
      </w:r>
      <w:r>
        <w:t xml:space="preserve"> </w:t>
      </w:r>
      <w:r>
        <w:t xml:space="preserve">W.</w:t>
      </w:r>
      <w:r>
        <w:t xml:space="preserve"> </w:t>
      </w:r>
      <w:r>
        <w:t xml:space="preserve">Va.</w:t>
      </w:r>
      <w:r>
        <w:t xml:space="preserve"> </w:t>
      </w:r>
      <w:r>
        <w:t xml:space="preserve">700,</w:t>
      </w:r>
      <w:r>
        <w:t xml:space="preserve"> </w:t>
      </w:r>
      <w:r>
        <w:t xml:space="preserve">656</w:t>
      </w:r>
      <w:r>
        <w:t xml:space="preserve"> </w:t>
      </w:r>
      <w:r>
        <w:t xml:space="preserve">S.E.2d</w:t>
      </w:r>
      <w:r>
        <w:t xml:space="preserve"> </w:t>
      </w:r>
      <w:r>
        <w:t xml:space="preserve">451</w:t>
      </w:r>
      <w:r>
        <w:t xml:space="preserve"> </w:t>
      </w:r>
      <w:r>
        <w:t xml:space="preserve">(2007)</w:t>
      </w:r>
      <w:r>
        <w:t xml:space="preserve">   </w:t>
      </w:r>
      <w:r>
        <w:tab/>
      </w:r>
      <w:r>
        <w:t xml:space="preserve">4, 13</w:t>
      </w:r>
    </w:p>
    <w:p>
      <w:pPr>
        <w:keepLines/>
        <w:tabs>
          <w:tab w:val="right" w:leader="dot" w:pos="9360"/>
        </w:tabs>
        <w:spacing w:before="144" w:after="0" w:line="276" w:lineRule="exact"/>
        <w:ind w:left="576" w:right="1120" w:hanging="576"/>
      </w:pPr>
      <w:r>
        <w:rPr>
          <w:i/>
          <w:iCs/>
        </w:rPr>
        <w:t xml:space="preserve">Brooke</w:t>
      </w:r>
      <w:r>
        <w:rPr>
          <w:i/>
          <w:iCs/>
        </w:rPr>
        <w:t xml:space="preserve"> </w:t>
      </w:r>
      <w:r>
        <w:rPr>
          <w:i/>
          <w:iCs/>
        </w:rPr>
        <w:t xml:space="preserve">B.</w:t>
      </w:r>
      <w:r>
        <w:rPr>
          <w:i/>
          <w:iCs/>
        </w:rPr>
        <w:t xml:space="preserve"> </w:t>
      </w:r>
      <w:r>
        <w:rPr>
          <w:i/>
          <w:iCs/>
        </w:rPr>
        <w:t xml:space="preserve">v.</w:t>
      </w:r>
      <w:r>
        <w:rPr>
          <w:i/>
          <w:iCs/>
        </w:rPr>
        <w:t xml:space="preserve"> </w:t>
      </w:r>
      <w:r>
        <w:rPr>
          <w:i/>
          <w:iCs/>
        </w:rPr>
        <w:t xml:space="preserve">Ray</w:t>
      </w:r>
      <w:r>
        <w:t xml:space="preserve">,</w:t>
      </w:r>
      <w:r>
        <w:t xml:space="preserve"> </w:t>
      </w:r>
      <w:r>
        <w:t xml:space="preserve">230</w:t>
      </w:r>
      <w:r>
        <w:t xml:space="preserve"> </w:t>
      </w:r>
      <w:r>
        <w:t xml:space="preserve">W.</w:t>
      </w:r>
      <w:r>
        <w:t xml:space="preserve"> </w:t>
      </w:r>
      <w:r>
        <w:t xml:space="preserve">Va.</w:t>
      </w:r>
      <w:r>
        <w:t xml:space="preserve"> </w:t>
      </w:r>
      <w:r>
        <w:t xml:space="preserve">355,</w:t>
      </w:r>
      <w:r>
        <w:t xml:space="preserve"> </w:t>
      </w:r>
      <w:r>
        <w:t xml:space="preserve">738</w:t>
      </w:r>
      <w:r>
        <w:t xml:space="preserve"> </w:t>
      </w:r>
      <w:r>
        <w:t xml:space="preserve">S.E.2d</w:t>
      </w:r>
      <w:r>
        <w:t xml:space="preserve"> </w:t>
      </w:r>
      <w:r>
        <w:t xml:space="preserve">21</w:t>
      </w:r>
      <w:r>
        <w:t xml:space="preserve"> </w:t>
      </w:r>
      <w:r>
        <w:t xml:space="preserve">(2013)</w:t>
      </w:r>
      <w:r>
        <w:t xml:space="preserve">   </w:t>
      </w:r>
      <w:r>
        <w:tab/>
      </w:r>
      <w:r>
        <w:t xml:space="preserve">8</w:t>
      </w:r>
    </w:p>
    <w:p>
      <w:pPr>
        <w:keepLines/>
        <w:tabs>
          <w:tab w:val="right" w:leader="dot" w:pos="9360"/>
        </w:tabs>
        <w:spacing w:before="144" w:after="0" w:line="276" w:lineRule="exact"/>
        <w:ind w:left="576" w:right="1120" w:hanging="576"/>
      </w:pPr>
      <w:r>
        <w:rPr>
          <w:i/>
          <w:iCs/>
        </w:rPr>
        <w:t xml:space="preserve">Camden-Clark</w:t>
      </w:r>
      <w:r>
        <w:rPr>
          <w:i/>
          <w:iCs/>
        </w:rPr>
        <w:t xml:space="preserve"> </w:t>
      </w:r>
      <w:r>
        <w:rPr>
          <w:i/>
          <w:iCs/>
        </w:rPr>
        <w:t xml:space="preserve">Mem’l</w:t>
      </w:r>
      <w:r>
        <w:rPr>
          <w:i/>
          <w:iCs/>
        </w:rPr>
        <w:t xml:space="preserve"> </w:t>
      </w:r>
      <w:r>
        <w:rPr>
          <w:i/>
          <w:iCs/>
        </w:rPr>
        <w:t xml:space="preserve">Hosp.</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Tuan</w:t>
      </w:r>
      <w:r>
        <w:rPr>
          <w:i/>
          <w:iCs/>
        </w:rPr>
        <w:t xml:space="preserve"> </w:t>
      </w:r>
      <w:r>
        <w:rPr>
          <w:i/>
          <w:iCs/>
        </w:rPr>
        <w:t xml:space="preserve">Nguyen</w:t>
      </w:r>
      <w:r>
        <w:t xml:space="preserve">,</w:t>
      </w:r>
      <w:r>
        <w:t xml:space="preserve"> </w:t>
      </w:r>
      <w:r>
        <w:t xml:space="preserve">240</w:t>
      </w:r>
      <w:r>
        <w:t xml:space="preserve"> </w:t>
      </w:r>
      <w:r>
        <w:t xml:space="preserve">W.</w:t>
      </w:r>
      <w:r>
        <w:t xml:space="preserve"> </w:t>
      </w:r>
      <w:r>
        <w:t xml:space="preserve">Va.</w:t>
      </w:r>
      <w:r>
        <w:t xml:space="preserve"> </w:t>
      </w:r>
      <w:r>
        <w:t xml:space="preserve">76,</w:t>
      </w:r>
      <w:r>
        <w:t xml:space="preserve"> </w:t>
      </w:r>
      <w:r>
        <w:t xml:space="preserve">807</w:t>
      </w:r>
      <w:r>
        <w:t xml:space="preserve"> </w:t>
      </w:r>
      <w:r>
        <w:t xml:space="preserve">S.E.2d</w:t>
      </w:r>
      <w:r>
        <w:t xml:space="preserve"> </w:t>
      </w:r>
      <w:r>
        <w:t xml:space="preserve">747</w:t>
      </w:r>
      <w:r>
        <w:t xml:space="preserve"> </w:t>
      </w:r>
      <w:r>
        <w:t xml:space="preserve">(2017)</w:t>
      </w:r>
      <w:r>
        <w:t xml:space="preserve">   </w:t>
      </w:r>
      <w:r>
        <w:tab/>
      </w:r>
      <w:r>
        <w:t xml:space="preserve">18</w:t>
      </w:r>
    </w:p>
    <w:p>
      <w:pPr>
        <w:keepLines/>
        <w:tabs>
          <w:tab w:val="right" w:leader="dot" w:pos="9360"/>
        </w:tabs>
        <w:spacing w:before="144" w:after="0" w:line="276" w:lineRule="exact"/>
        <w:ind w:left="576" w:right="1120" w:hanging="576"/>
      </w:pPr>
      <w:r>
        <w:rPr>
          <w:i/>
          <w:iCs/>
        </w:rPr>
        <w:t xml:space="preserve">Cline</w:t>
      </w:r>
      <w:r>
        <w:rPr>
          <w:i/>
          <w:iCs/>
        </w:rPr>
        <w:t xml:space="preserve"> </w:t>
      </w:r>
      <w:r>
        <w:rPr>
          <w:i/>
          <w:iCs/>
        </w:rPr>
        <w:t xml:space="preserve">v.</w:t>
      </w:r>
      <w:r>
        <w:rPr>
          <w:i/>
          <w:iCs/>
        </w:rPr>
        <w:t xml:space="preserve"> </w:t>
      </w:r>
      <w:r>
        <w:rPr>
          <w:i/>
          <w:iCs/>
        </w:rPr>
        <w:t xml:space="preserve">Kresa-Reahl</w:t>
      </w:r>
      <w:r>
        <w:t xml:space="preserve">,</w:t>
      </w:r>
      <w:r>
        <w:t xml:space="preserve"> </w:t>
      </w:r>
      <w:r>
        <w:t xml:space="preserve">229</w:t>
      </w:r>
      <w:r>
        <w:t xml:space="preserve"> </w:t>
      </w:r>
      <w:r>
        <w:t xml:space="preserve">W.</w:t>
      </w:r>
      <w:r>
        <w:t xml:space="preserve"> </w:t>
      </w:r>
      <w:r>
        <w:t xml:space="preserve">Va.</w:t>
      </w:r>
      <w:r>
        <w:t xml:space="preserve"> </w:t>
      </w:r>
      <w:r>
        <w:t xml:space="preserve">203,</w:t>
      </w:r>
      <w:r>
        <w:t xml:space="preserve"> </w:t>
      </w:r>
      <w:r>
        <w:t xml:space="preserve">728</w:t>
      </w:r>
      <w:r>
        <w:t xml:space="preserve"> </w:t>
      </w:r>
      <w:r>
        <w:t xml:space="preserve">S.E.2d</w:t>
      </w:r>
      <w:r>
        <w:t xml:space="preserve"> </w:t>
      </w:r>
      <w:r>
        <w:t xml:space="preserve">87</w:t>
      </w:r>
      <w:r>
        <w:t xml:space="preserve"> </w:t>
      </w:r>
      <w:r>
        <w:t xml:space="preserve">(2012)</w:t>
      </w:r>
      <w:r>
        <w:t xml:space="preserve">   </w:t>
      </w:r>
      <w:r>
        <w:tab/>
      </w:r>
      <w:r>
        <w:t xml:space="preserve">14</w:t>
      </w:r>
    </w:p>
    <w:p>
      <w:pPr>
        <w:keepLines/>
        <w:tabs>
          <w:tab w:val="right" w:leader="dot" w:pos="9360"/>
        </w:tabs>
        <w:spacing w:before="144" w:after="0" w:line="276" w:lineRule="exact"/>
        <w:ind w:left="576" w:right="1120" w:hanging="576"/>
      </w:pPr>
      <w:r>
        <w:rPr>
          <w:i/>
          <w:iCs/>
        </w:rPr>
        <w:t xml:space="preserve">Courtney</w:t>
      </w:r>
      <w:r>
        <w:rPr>
          <w:i/>
          <w:iCs/>
        </w:rPr>
        <w:t xml:space="preserve"> </w:t>
      </w:r>
      <w:r>
        <w:rPr>
          <w:i/>
          <w:iCs/>
        </w:rPr>
        <w:t xml:space="preserve">v.</w:t>
      </w:r>
      <w:r>
        <w:rPr>
          <w:i/>
          <w:iCs/>
        </w:rPr>
        <w:t xml:space="preserve"> </w:t>
      </w:r>
      <w:r>
        <w:rPr>
          <w:i/>
          <w:iCs/>
        </w:rPr>
        <w:t xml:space="preserve">Courtney</w:t>
      </w:r>
      <w:r>
        <w:t xml:space="preserve">,</w:t>
      </w:r>
      <w:r>
        <w:t xml:space="preserve"> </w:t>
      </w:r>
      <w:r>
        <w:t xml:space="preserve">190</w:t>
      </w:r>
      <w:r>
        <w:t xml:space="preserve"> </w:t>
      </w:r>
      <w:r>
        <w:t xml:space="preserve">W.</w:t>
      </w:r>
      <w:r>
        <w:t xml:space="preserve"> </w:t>
      </w:r>
      <w:r>
        <w:t xml:space="preserve">Va.</w:t>
      </w:r>
      <w:r>
        <w:t xml:space="preserve"> </w:t>
      </w:r>
      <w:r>
        <w:t xml:space="preserve">126,</w:t>
      </w:r>
      <w:r>
        <w:t xml:space="preserve"> </w:t>
      </w:r>
      <w:r>
        <w:t xml:space="preserve">437</w:t>
      </w:r>
      <w:r>
        <w:t xml:space="preserve"> </w:t>
      </w:r>
      <w:r>
        <w:t xml:space="preserve">S.E.2d</w:t>
      </w:r>
      <w:r>
        <w:t xml:space="preserve"> </w:t>
      </w:r>
      <w:r>
        <w:t xml:space="preserve">436</w:t>
      </w:r>
      <w:r>
        <w:t xml:space="preserve"> </w:t>
      </w:r>
      <w:r>
        <w:t xml:space="preserve">(1993)</w:t>
      </w:r>
      <w:r>
        <w:t xml:space="preserve">   </w:t>
      </w:r>
      <w:r>
        <w:tab/>
      </w:r>
      <w:r>
        <w:t xml:space="preserve">13, 15</w:t>
      </w:r>
    </w:p>
    <w:p>
      <w:pPr>
        <w:keepLines/>
        <w:tabs>
          <w:tab w:val="right" w:leader="dot" w:pos="9360"/>
        </w:tabs>
        <w:spacing w:before="144" w:after="0" w:line="276" w:lineRule="exact"/>
        <w:ind w:left="576" w:right="1120" w:hanging="576"/>
      </w:pPr>
      <w:r>
        <w:rPr>
          <w:i/>
          <w:iCs/>
        </w:rPr>
        <w:t xml:space="preserve">Flannery</w:t>
      </w:r>
      <w:r>
        <w:rPr>
          <w:i/>
          <w:iCs/>
        </w:rPr>
        <w:t xml:space="preserve"> </w:t>
      </w:r>
      <w:r>
        <w:rPr>
          <w:i/>
          <w:iCs/>
        </w:rPr>
        <w:t xml:space="preserve">v.</w:t>
      </w:r>
      <w:r>
        <w:rPr>
          <w:i/>
          <w:iCs/>
        </w:rPr>
        <w:t xml:space="preserve"> </w:t>
      </w:r>
      <w:r>
        <w:rPr>
          <w:i/>
          <w:iCs/>
        </w:rPr>
        <w:t xml:space="preserve">U.S.</w:t>
      </w:r>
      <w:r>
        <w:t xml:space="preserve">,</w:t>
      </w:r>
      <w:r>
        <w:t xml:space="preserve"> </w:t>
      </w:r>
      <w:r>
        <w:t xml:space="preserve">171</w:t>
      </w:r>
      <w:r>
        <w:t xml:space="preserve"> </w:t>
      </w:r>
      <w:r>
        <w:t xml:space="preserve">W.</w:t>
      </w:r>
      <w:r>
        <w:t xml:space="preserve"> </w:t>
      </w:r>
      <w:r>
        <w:t xml:space="preserve">Va.</w:t>
      </w:r>
      <w:r>
        <w:t xml:space="preserve"> </w:t>
      </w:r>
      <w:r>
        <w:t xml:space="preserve">27,</w:t>
      </w:r>
      <w:r>
        <w:t xml:space="preserve"> </w:t>
      </w:r>
      <w:r>
        <w:t xml:space="preserve">297</w:t>
      </w:r>
      <w:r>
        <w:t xml:space="preserve"> </w:t>
      </w:r>
      <w:r>
        <w:t xml:space="preserve">S.E.2d</w:t>
      </w:r>
      <w:r>
        <w:t xml:space="preserve"> </w:t>
      </w:r>
      <w:r>
        <w:t xml:space="preserve">433</w:t>
      </w:r>
      <w:r>
        <w:t xml:space="preserve"> </w:t>
      </w:r>
      <w:r>
        <w:t xml:space="preserve">(1982)</w:t>
      </w:r>
      <w:r>
        <w:t xml:space="preserve">   </w:t>
      </w:r>
      <w:r>
        <w:tab/>
      </w:r>
      <w:r>
        <w:t xml:space="preserve">12, 15</w:t>
      </w:r>
    </w:p>
    <w:p>
      <w:pPr>
        <w:keepLines/>
        <w:tabs>
          <w:tab w:val="right" w:leader="dot" w:pos="9360"/>
        </w:tabs>
        <w:spacing w:before="144" w:after="0" w:line="276" w:lineRule="exact"/>
        <w:ind w:left="576" w:right="1120" w:hanging="576"/>
      </w:pPr>
      <w:r>
        <w:rPr>
          <w:i/>
          <w:iCs/>
        </w:rPr>
        <w:t xml:space="preserve">Gaither</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Hosp.,</w:t>
      </w:r>
      <w:r>
        <w:rPr>
          <w:i/>
          <w:iCs/>
        </w:rPr>
        <w:t xml:space="preserve"> </w:t>
      </w:r>
      <w:r>
        <w:rPr>
          <w:i/>
          <w:iCs/>
        </w:rPr>
        <w:t xml:space="preserve">Inc.</w:t>
      </w:r>
      <w:r>
        <w:t xml:space="preserve">,</w:t>
      </w:r>
      <w:r>
        <w:t xml:space="preserve"> </w:t>
      </w:r>
      <w:r>
        <w:t xml:space="preserve">199</w:t>
      </w:r>
      <w:r>
        <w:t xml:space="preserve"> </w:t>
      </w:r>
      <w:r>
        <w:t xml:space="preserve">W.</w:t>
      </w:r>
      <w:r>
        <w:t xml:space="preserve"> </w:t>
      </w:r>
      <w:r>
        <w:t xml:space="preserve">Va.</w:t>
      </w:r>
      <w:r>
        <w:t xml:space="preserve"> </w:t>
      </w:r>
      <w:r>
        <w:t xml:space="preserve">706,</w:t>
      </w:r>
      <w:r>
        <w:t xml:space="preserve"> </w:t>
      </w:r>
      <w:r>
        <w:t xml:space="preserve">487</w:t>
      </w:r>
      <w:r>
        <w:t xml:space="preserve"> </w:t>
      </w:r>
      <w:r>
        <w:t xml:space="preserve">S.E.2d</w:t>
      </w:r>
      <w:r>
        <w:t xml:space="preserve"> </w:t>
      </w:r>
      <w:r>
        <w:t xml:space="preserve">901</w:t>
      </w:r>
      <w:r>
        <w:t xml:space="preserve"> </w:t>
      </w:r>
      <w:r>
        <w:t xml:space="preserve">(1997)</w:t>
      </w:r>
      <w:r>
        <w:t xml:space="preserve">   </w:t>
      </w:r>
      <w:r>
        <w:tab/>
      </w:r>
      <w:r>
        <w:t xml:space="preserve">12</w:t>
      </w:r>
    </w:p>
    <w:p>
      <w:pPr>
        <w:keepLines/>
        <w:tabs>
          <w:tab w:val="right" w:leader="dot" w:pos="9360"/>
        </w:tabs>
        <w:spacing w:before="144" w:after="0" w:line="276" w:lineRule="exact"/>
        <w:ind w:left="576" w:right="1120" w:hanging="576"/>
      </w:pPr>
      <w:r>
        <w:rPr>
          <w:i/>
          <w:iCs/>
        </w:rPr>
        <w:t xml:space="preserve">Hamrick</w:t>
      </w:r>
      <w:r>
        <w:rPr>
          <w:i/>
          <w:iCs/>
        </w:rPr>
        <w:t xml:space="preserve"> </w:t>
      </w:r>
      <w:r>
        <w:rPr>
          <w:i/>
          <w:iCs/>
        </w:rPr>
        <w:t xml:space="preserve">v.</w:t>
      </w:r>
      <w:r>
        <w:rPr>
          <w:i/>
          <w:iCs/>
        </w:rPr>
        <w:t xml:space="preserve"> </w:t>
      </w:r>
      <w:r>
        <w:rPr>
          <w:i/>
          <w:iCs/>
        </w:rPr>
        <w:t xml:space="preserve">Charleston</w:t>
      </w:r>
      <w:r>
        <w:rPr>
          <w:i/>
          <w:iCs/>
        </w:rPr>
        <w:t xml:space="preserve"> </w:t>
      </w:r>
      <w:r>
        <w:rPr>
          <w:i/>
          <w:iCs/>
        </w:rPr>
        <w:t xml:space="preserve">Area</w:t>
      </w:r>
      <w:r>
        <w:rPr>
          <w:i/>
          <w:iCs/>
        </w:rPr>
        <w:t xml:space="preserve"> </w:t>
      </w:r>
      <w:r>
        <w:rPr>
          <w:i/>
          <w:iCs/>
        </w:rPr>
        <w:t xml:space="preserve">Med.</w:t>
      </w:r>
      <w:r>
        <w:rPr>
          <w:i/>
          <w:iCs/>
        </w:rPr>
        <w:t xml:space="preserve"> </w:t>
      </w:r>
      <w:r>
        <w:rPr>
          <w:i/>
          <w:iCs/>
        </w:rPr>
        <w:t xml:space="preserve">Ctr.,</w:t>
      </w:r>
      <w:r>
        <w:rPr>
          <w:i/>
          <w:iCs/>
        </w:rPr>
        <w:t xml:space="preserve"> </w:t>
      </w:r>
      <w:r>
        <w:rPr>
          <w:i/>
          <w:iCs/>
        </w:rPr>
        <w:t xml:space="preserve">Inc.</w:t>
      </w:r>
      <w:r>
        <w:t xml:space="preserve">,</w:t>
      </w:r>
      <w:r>
        <w:t xml:space="preserve"> </w:t>
      </w:r>
      <w:r>
        <w:t xml:space="preserve">220</w:t>
      </w:r>
      <w:r>
        <w:t xml:space="preserve"> </w:t>
      </w:r>
      <w:r>
        <w:t xml:space="preserve">W.</w:t>
      </w:r>
      <w:r>
        <w:t xml:space="preserve"> </w:t>
      </w:r>
      <w:r>
        <w:t xml:space="preserve">Va.</w:t>
      </w:r>
      <w:r>
        <w:t xml:space="preserve"> </w:t>
      </w:r>
      <w:r>
        <w:t xml:space="preserve">495,</w:t>
      </w:r>
      <w:r>
        <w:t xml:space="preserve"> </w:t>
      </w:r>
      <w:r>
        <w:t xml:space="preserve">648</w:t>
      </w:r>
      <w:r>
        <w:t xml:space="preserve"> </w:t>
      </w:r>
      <w:r>
        <w:t xml:space="preserve">S.E.2d</w:t>
      </w:r>
      <w:r>
        <w:t xml:space="preserve"> </w:t>
      </w:r>
      <w:r>
        <w:t xml:space="preserve">1</w:t>
      </w:r>
      <w:r>
        <w:t xml:space="preserve"> </w:t>
      </w:r>
      <w:r>
        <w:t xml:space="preserve">(2007)</w:t>
      </w:r>
      <w:r>
        <w:t xml:space="preserve">   </w:t>
      </w:r>
      <w:r>
        <w:tab/>
      </w:r>
      <w:r>
        <w:t xml:space="preserve">18</w:t>
      </w:r>
    </w:p>
    <w:p>
      <w:pPr>
        <w:keepLines/>
        <w:tabs>
          <w:tab w:val="right" w:leader="dot" w:pos="9360"/>
        </w:tabs>
        <w:spacing w:before="144" w:after="0" w:line="276" w:lineRule="exact"/>
        <w:ind w:left="576" w:right="1120" w:hanging="576"/>
      </w:pPr>
      <w:r>
        <w:rPr>
          <w:i/>
          <w:iCs/>
        </w:rPr>
        <w:t xml:space="preserve">Hicks</w:t>
      </w:r>
      <w:r>
        <w:rPr>
          <w:i/>
          <w:iCs/>
        </w:rPr>
        <w:t xml:space="preserve"> </w:t>
      </w:r>
      <w:r>
        <w:rPr>
          <w:i/>
          <w:iCs/>
        </w:rPr>
        <w:t xml:space="preserve">v.</w:t>
      </w:r>
      <w:r>
        <w:rPr>
          <w:i/>
          <w:iCs/>
        </w:rPr>
        <w:t xml:space="preserve"> </w:t>
      </w:r>
      <w:r>
        <w:rPr>
          <w:i/>
          <w:iCs/>
        </w:rPr>
        <w:t xml:space="preserve">Ghaphery</w:t>
      </w:r>
      <w:r>
        <w:t xml:space="preserve">,</w:t>
      </w:r>
      <w:r>
        <w:t xml:space="preserve"> </w:t>
      </w:r>
      <w:r>
        <w:t xml:space="preserve">212</w:t>
      </w:r>
      <w:r>
        <w:t xml:space="preserve"> </w:t>
      </w:r>
      <w:r>
        <w:t xml:space="preserve">W.</w:t>
      </w:r>
      <w:r>
        <w:t xml:space="preserve"> </w:t>
      </w:r>
      <w:r>
        <w:t xml:space="preserve">Va.</w:t>
      </w:r>
      <w:r>
        <w:t xml:space="preserve"> </w:t>
      </w:r>
      <w:r>
        <w:t xml:space="preserve">327,</w:t>
      </w:r>
      <w:r>
        <w:t xml:space="preserve"> </w:t>
      </w:r>
      <w:r>
        <w:t xml:space="preserve">571</w:t>
      </w:r>
      <w:r>
        <w:t xml:space="preserve"> </w:t>
      </w:r>
      <w:r>
        <w:t xml:space="preserve">S.E.2d</w:t>
      </w:r>
      <w:r>
        <w:t xml:space="preserve"> </w:t>
      </w:r>
      <w:r>
        <w:t xml:space="preserve">317</w:t>
      </w:r>
      <w:r>
        <w:t xml:space="preserve"> </w:t>
      </w:r>
      <w:r>
        <w:t xml:space="preserve">(2002)</w:t>
      </w:r>
      <w:r>
        <w:t xml:space="preserve">   </w:t>
      </w:r>
      <w:r>
        <w:tab/>
      </w:r>
      <w:r>
        <w:t xml:space="preserve">11, 12</w:t>
      </w:r>
    </w:p>
    <w:p>
      <w:pPr>
        <w:keepLines/>
        <w:tabs>
          <w:tab w:val="right" w:leader="dot" w:pos="9360"/>
        </w:tabs>
        <w:spacing w:before="144" w:after="0" w:line="276" w:lineRule="exact"/>
        <w:ind w:left="576" w:right="1120" w:hanging="576"/>
      </w:pPr>
      <w:r>
        <w:rPr>
          <w:i/>
          <w:iCs/>
        </w:rPr>
        <w:t xml:space="preserve">Justice</w:t>
      </w:r>
      <w:r>
        <w:rPr>
          <w:i/>
          <w:iCs/>
        </w:rPr>
        <w:t xml:space="preserve"> </w:t>
      </w:r>
      <w:r>
        <w:rPr>
          <w:i/>
          <w:iCs/>
        </w:rPr>
        <w:t xml:space="preserve">v.</w:t>
      </w:r>
      <w:r>
        <w:rPr>
          <w:i/>
          <w:iCs/>
        </w:rPr>
        <w:t xml:space="preserve"> </w:t>
      </w:r>
      <w:r>
        <w:rPr>
          <w:i/>
          <w:iCs/>
        </w:rPr>
        <w:t xml:space="preserve">W.</w:t>
      </w:r>
      <w:r>
        <w:rPr>
          <w:i/>
          <w:iCs/>
        </w:rPr>
        <w:t xml:space="preserve"> </w:t>
      </w:r>
      <w:r>
        <w:rPr>
          <w:i/>
          <w:iCs/>
        </w:rPr>
        <w:t xml:space="preserve">Va.</w:t>
      </w:r>
      <w:r>
        <w:rPr>
          <w:i/>
          <w:iCs/>
        </w:rPr>
        <w:t xml:space="preserve"> </w:t>
      </w:r>
      <w:r>
        <w:rPr>
          <w:i/>
          <w:iCs/>
        </w:rPr>
        <w:t xml:space="preserve">Office</w:t>
      </w:r>
      <w:r>
        <w:rPr>
          <w:i/>
          <w:iCs/>
        </w:rPr>
        <w:t xml:space="preserve"> </w:t>
      </w:r>
      <w:r>
        <w:rPr>
          <w:i/>
          <w:iCs/>
        </w:rPr>
        <w:t xml:space="preserve">of</w:t>
      </w:r>
      <w:r>
        <w:rPr>
          <w:i/>
          <w:iCs/>
        </w:rPr>
        <w:t xml:space="preserve"> </w:t>
      </w:r>
      <w:r>
        <w:rPr>
          <w:i/>
          <w:iCs/>
        </w:rPr>
        <w:t xml:space="preserve">Ins.</w:t>
      </w:r>
      <w:r>
        <w:rPr>
          <w:i/>
          <w:iCs/>
        </w:rPr>
        <w:t xml:space="preserve"> </w:t>
      </w:r>
      <w:r>
        <w:rPr>
          <w:i/>
          <w:iCs/>
        </w:rPr>
        <w:t xml:space="preserve">Comm’n</w:t>
      </w:r>
      <w:r>
        <w:t xml:space="preserve">,</w:t>
      </w:r>
      <w:r>
        <w:t xml:space="preserve"> </w:t>
      </w:r>
      <w:r>
        <w:t xml:space="preserve">230</w:t>
      </w:r>
      <w:r>
        <w:t xml:space="preserve"> </w:t>
      </w:r>
      <w:r>
        <w:t xml:space="preserve">W.</w:t>
      </w:r>
      <w:r>
        <w:t xml:space="preserve"> </w:t>
      </w:r>
      <w:r>
        <w:t xml:space="preserve">Va.</w:t>
      </w:r>
      <w:r>
        <w:t xml:space="preserve"> </w:t>
      </w:r>
      <w:r>
        <w:t xml:space="preserve">80,</w:t>
      </w:r>
      <w:r>
        <w:t xml:space="preserve"> </w:t>
      </w:r>
      <w:r>
        <w:t xml:space="preserve">736</w:t>
      </w:r>
      <w:r>
        <w:t xml:space="preserve"> </w:t>
      </w:r>
      <w:r>
        <w:t xml:space="preserve">S.E.2d</w:t>
      </w:r>
      <w:r>
        <w:t xml:space="preserve"> </w:t>
      </w:r>
      <w:r>
        <w:t xml:space="preserve">80</w:t>
      </w:r>
      <w:r>
        <w:t xml:space="preserve"> </w:t>
      </w:r>
      <w:r>
        <w:t xml:space="preserve">(2012)</w:t>
      </w:r>
      <w:r>
        <w:t xml:space="preserve">   </w:t>
      </w:r>
      <w:r>
        <w:tab/>
      </w:r>
      <w:r>
        <w:t xml:space="preserve">11</w:t>
      </w:r>
    </w:p>
    <w:p>
      <w:pPr>
        <w:keepLines/>
        <w:tabs>
          <w:tab w:val="right" w:leader="dot" w:pos="9360"/>
        </w:tabs>
        <w:spacing w:before="144" w:after="0" w:line="276" w:lineRule="exact"/>
        <w:ind w:left="576" w:right="1120" w:hanging="576"/>
      </w:pPr>
      <w:r>
        <w:rPr>
          <w:i/>
          <w:iCs/>
        </w:rPr>
        <w:t xml:space="preserve">Katrib</w:t>
      </w:r>
      <w:r>
        <w:rPr>
          <w:i/>
          <w:iCs/>
        </w:rPr>
        <w:t xml:space="preserve"> </w:t>
      </w:r>
      <w:r>
        <w:rPr>
          <w:i/>
          <w:iCs/>
        </w:rPr>
        <w:t xml:space="preserve">v.</w:t>
      </w:r>
      <w:r>
        <w:rPr>
          <w:i/>
          <w:iCs/>
        </w:rPr>
        <w:t xml:space="preserve"> </w:t>
      </w:r>
      <w:r>
        <w:rPr>
          <w:i/>
          <w:iCs/>
        </w:rPr>
        <w:t xml:space="preserve">Herbert</w:t>
      </w:r>
      <w:r>
        <w:rPr>
          <w:i/>
          <w:iCs/>
        </w:rPr>
        <w:t xml:space="preserve"> </w:t>
      </w:r>
      <w:r>
        <w:rPr>
          <w:i/>
          <w:iCs/>
        </w:rPr>
        <w:t xml:space="preserve">J.</w:t>
      </w:r>
      <w:r>
        <w:rPr>
          <w:i/>
          <w:iCs/>
        </w:rPr>
        <w:t xml:space="preserve"> </w:t>
      </w:r>
      <w:r>
        <w:rPr>
          <w:i/>
          <w:iCs/>
        </w:rPr>
        <w:t xml:space="preserve">Thomas</w:t>
      </w:r>
      <w:r>
        <w:rPr>
          <w:i/>
          <w:iCs/>
        </w:rPr>
        <w:t xml:space="preserve"> </w:t>
      </w:r>
      <w:r>
        <w:rPr>
          <w:i/>
          <w:iCs/>
        </w:rPr>
        <w:t xml:space="preserve">Mem’l</w:t>
      </w:r>
      <w:r>
        <w:rPr>
          <w:i/>
          <w:iCs/>
        </w:rPr>
        <w:t xml:space="preserve"> </w:t>
      </w:r>
      <w:r>
        <w:rPr>
          <w:i/>
          <w:iCs/>
        </w:rPr>
        <w:t xml:space="preserve">Hosp.</w:t>
      </w:r>
      <w:r>
        <w:rPr>
          <w:i/>
          <w:iCs/>
        </w:rPr>
        <w:t xml:space="preserve"> </w:t>
      </w:r>
      <w:r>
        <w:rPr>
          <w:i/>
          <w:iCs/>
        </w:rPr>
        <w:t xml:space="preserve">Ass’n</w:t>
      </w:r>
      <w:r>
        <w:t xml:space="preserve">,</w:t>
      </w:r>
      <w:r>
        <w:t xml:space="preserve"> </w:t>
      </w:r>
      <w:r>
        <w:t xml:space="preserve">247</w:t>
      </w:r>
      <w:r>
        <w:t xml:space="preserve"> </w:t>
      </w:r>
      <w:r>
        <w:t xml:space="preserve">W.</w:t>
      </w:r>
      <w:r>
        <w:t xml:space="preserve"> </w:t>
      </w:r>
      <w:r>
        <w:t xml:space="preserve">Va.</w:t>
      </w:r>
      <w:r>
        <w:t xml:space="preserve"> </w:t>
      </w:r>
      <w:r>
        <w:t xml:space="preserve">763,</w:t>
      </w:r>
      <w:r>
        <w:t xml:space="preserve"> </w:t>
      </w:r>
      <w:r>
        <w:t xml:space="preserve">885</w:t>
      </w:r>
      <w:r>
        <w:t xml:space="preserve"> </w:t>
      </w:r>
      <w:r>
        <w:t xml:space="preserve">S.E.2d</w:t>
      </w:r>
      <w:r>
        <w:t xml:space="preserve"> </w:t>
      </w:r>
      <w:r>
        <w:t xml:space="preserve">894</w:t>
      </w:r>
      <w:r>
        <w:t xml:space="preserve"> </w:t>
      </w:r>
      <w:r>
        <w:t xml:space="preserve">(2023)</w:t>
      </w:r>
      <w:r>
        <w:t xml:space="preserve">   </w:t>
      </w:r>
      <w:r>
        <w:tab/>
      </w:r>
      <w:r>
        <w:t xml:space="preserve">18</w:t>
      </w:r>
    </w:p>
    <w:p>
      <w:pPr>
        <w:keepLines/>
        <w:tabs>
          <w:tab w:val="right" w:leader="dot" w:pos="9360"/>
        </w:tabs>
        <w:spacing w:before="144" w:after="0" w:line="276" w:lineRule="exact"/>
        <w:ind w:left="576" w:right="1120" w:hanging="576"/>
      </w:pPr>
      <w:r>
        <w:rPr>
          <w:i/>
          <w:iCs/>
        </w:rPr>
        <w:t xml:space="preserve">Mack-Evans</w:t>
      </w:r>
      <w:r>
        <w:rPr>
          <w:i/>
          <w:iCs/>
        </w:rPr>
        <w:t xml:space="preserve"> </w:t>
      </w:r>
      <w:r>
        <w:rPr>
          <w:i/>
          <w:iCs/>
        </w:rPr>
        <w:t xml:space="preserve">v.</w:t>
      </w:r>
      <w:r>
        <w:rPr>
          <w:i/>
          <w:iCs/>
        </w:rPr>
        <w:t xml:space="preserve"> </w:t>
      </w:r>
      <w:r>
        <w:rPr>
          <w:i/>
          <w:iCs/>
        </w:rPr>
        <w:t xml:space="preserve">Hilltop</w:t>
      </w:r>
      <w:r>
        <w:rPr>
          <w:i/>
          <w:iCs/>
        </w:rPr>
        <w:t xml:space="preserve"> </w:t>
      </w:r>
      <w:r>
        <w:rPr>
          <w:i/>
          <w:iCs/>
        </w:rPr>
        <w:t xml:space="preserve">Healthcare</w:t>
      </w:r>
      <w:r>
        <w:rPr>
          <w:i/>
          <w:iCs/>
        </w:rPr>
        <w:t xml:space="preserve"> </w:t>
      </w:r>
      <w:r>
        <w:rPr>
          <w:i/>
          <w:iCs/>
        </w:rPr>
        <w:t xml:space="preserve">Ctr.</w:t>
      </w:r>
      <w:r>
        <w:t xml:space="preserve">,</w:t>
      </w:r>
      <w:r>
        <w:t xml:space="preserve"> </w:t>
      </w:r>
      <w:r>
        <w:t xml:space="preserve">226</w:t>
      </w:r>
      <w:r>
        <w:t xml:space="preserve"> </w:t>
      </w:r>
      <w:r>
        <w:t xml:space="preserve">W.</w:t>
      </w:r>
      <w:r>
        <w:t xml:space="preserve"> </w:t>
      </w:r>
      <w:r>
        <w:t xml:space="preserve">Va.</w:t>
      </w:r>
      <w:r>
        <w:t xml:space="preserve"> </w:t>
      </w:r>
      <w:r>
        <w:t xml:space="preserve">257,</w:t>
      </w:r>
      <w:r>
        <w:t xml:space="preserve"> </w:t>
      </w:r>
      <w:r>
        <w:t xml:space="preserve">700</w:t>
      </w:r>
      <w:r>
        <w:t xml:space="preserve"> </w:t>
      </w:r>
      <w:r>
        <w:t xml:space="preserve">S.E.2d</w:t>
      </w:r>
      <w:r>
        <w:t xml:space="preserve"> </w:t>
      </w:r>
      <w:r>
        <w:t xml:space="preserve">317</w:t>
      </w:r>
      <w:r>
        <w:t xml:space="preserve"> </w:t>
      </w:r>
      <w:r>
        <w:t xml:space="preserve">(2010)</w:t>
      </w:r>
      <w:r>
        <w:t xml:space="preserve">   </w:t>
      </w:r>
      <w:r>
        <w:tab/>
      </w:r>
      <w:r>
        <w:t xml:space="preserve">13</w:t>
      </w:r>
    </w:p>
    <w:p>
      <w:pPr>
        <w:keepLines/>
        <w:tabs>
          <w:tab w:val="right" w:leader="dot" w:pos="9360"/>
        </w:tabs>
        <w:spacing w:before="144" w:after="0" w:line="276" w:lineRule="exact"/>
        <w:ind w:left="576" w:right="1120" w:hanging="576"/>
      </w:pPr>
      <w:r>
        <w:rPr>
          <w:i/>
          <w:iCs/>
        </w:rPr>
        <w:t xml:space="preserve">Minnich</w:t>
      </w:r>
      <w:r>
        <w:rPr>
          <w:i/>
          <w:iCs/>
        </w:rPr>
        <w:t xml:space="preserve"> </w:t>
      </w:r>
      <w:r>
        <w:rPr>
          <w:i/>
          <w:iCs/>
        </w:rPr>
        <w:t xml:space="preserve">v.</w:t>
      </w:r>
      <w:r>
        <w:rPr>
          <w:i/>
          <w:iCs/>
        </w:rPr>
        <w:t xml:space="preserve"> </w:t>
      </w:r>
      <w:r>
        <w:rPr>
          <w:i/>
          <w:iCs/>
        </w:rPr>
        <w:t xml:space="preserve">MedExpress</w:t>
      </w:r>
      <w:r>
        <w:rPr>
          <w:i/>
          <w:iCs/>
        </w:rPr>
        <w:t xml:space="preserve"> </w:t>
      </w:r>
      <w:r>
        <w:rPr>
          <w:i/>
          <w:iCs/>
        </w:rPr>
        <w:t xml:space="preserve">Urgent</w:t>
      </w:r>
      <w:r>
        <w:rPr>
          <w:i/>
          <w:iCs/>
        </w:rPr>
        <w:t xml:space="preserve"> </w:t>
      </w:r>
      <w:r>
        <w:rPr>
          <w:i/>
          <w:iCs/>
        </w:rPr>
        <w:t xml:space="preserve">Care,</w:t>
      </w:r>
      <w:r>
        <w:rPr>
          <w:i/>
          <w:iCs/>
        </w:rPr>
        <w:t xml:space="preserve"> </w:t>
      </w:r>
      <w:r>
        <w:rPr>
          <w:i/>
          <w:iCs/>
        </w:rPr>
        <w:t xml:space="preserve">Inc.—West</w:t>
      </w:r>
      <w:r>
        <w:rPr>
          <w:i/>
          <w:iCs/>
        </w:rPr>
        <w:t xml:space="preserve"> </w:t>
      </w:r>
      <w:r>
        <w:rPr>
          <w:i/>
          <w:iCs/>
        </w:rPr>
        <w:t xml:space="preserve">Virginia</w:t>
      </w:r>
      <w:r>
        <w:t xml:space="preserve">,</w:t>
      </w:r>
      <w:r>
        <w:t xml:space="preserve"> </w:t>
      </w:r>
      <w:r>
        <w:t xml:space="preserve">238</w:t>
      </w:r>
      <w:r>
        <w:t xml:space="preserve"> </w:t>
      </w:r>
      <w:r>
        <w:t xml:space="preserve">W.</w:t>
      </w:r>
      <w:r>
        <w:t xml:space="preserve"> </w:t>
      </w:r>
      <w:r>
        <w:t xml:space="preserve">Va.</w:t>
      </w:r>
      <w:r>
        <w:t xml:space="preserve"> </w:t>
      </w:r>
      <w:r>
        <w:t xml:space="preserve">533,</w:t>
      </w:r>
      <w:r>
        <w:t xml:space="preserve"> </w:t>
      </w:r>
      <w:r>
        <w:t xml:space="preserve">796</w:t>
      </w:r>
      <w:r>
        <w:t xml:space="preserve"> </w:t>
      </w:r>
      <w:r>
        <w:t xml:space="preserve">S.E.2d</w:t>
      </w:r>
      <w:r>
        <w:t xml:space="preserve"> </w:t>
      </w:r>
      <w:r>
        <w:t xml:space="preserve">642</w:t>
      </w:r>
      <w:r>
        <w:t xml:space="preserve"> </w:t>
      </w:r>
      <w:r>
        <w:t xml:space="preserve">(2017)</w:t>
      </w:r>
      <w:r>
        <w:t xml:space="preserve">   </w:t>
      </w:r>
      <w:r>
        <w:tab/>
      </w:r>
      <w:r>
        <w:t xml:space="preserve">14</w:t>
      </w:r>
    </w:p>
    <w:p>
      <w:pPr>
        <w:keepLines/>
        <w:tabs>
          <w:tab w:val="right" w:leader="dot" w:pos="9360"/>
        </w:tabs>
        <w:spacing w:before="144" w:after="0" w:line="276" w:lineRule="exact"/>
        <w:ind w:left="576" w:right="1120" w:hanging="576"/>
      </w:pPr>
      <w:r>
        <w:rPr>
          <w:i/>
          <w:iCs/>
        </w:rPr>
        <w:t xml:space="preserve">Nees</w:t>
      </w:r>
      <w:r>
        <w:rPr>
          <w:i/>
          <w:iCs/>
        </w:rPr>
        <w:t xml:space="preserve"> </w:t>
      </w:r>
      <w:r>
        <w:rPr>
          <w:i/>
          <w:iCs/>
        </w:rPr>
        <w:t xml:space="preserve">v.</w:t>
      </w:r>
      <w:r>
        <w:rPr>
          <w:i/>
          <w:iCs/>
        </w:rPr>
        <w:t xml:space="preserve"> </w:t>
      </w:r>
      <w:r>
        <w:rPr>
          <w:i/>
          <w:iCs/>
        </w:rPr>
        <w:t xml:space="preserve">Julian</w:t>
      </w:r>
      <w:r>
        <w:rPr>
          <w:i/>
          <w:iCs/>
        </w:rPr>
        <w:t xml:space="preserve"> </w:t>
      </w:r>
      <w:r>
        <w:rPr>
          <w:i/>
          <w:iCs/>
        </w:rPr>
        <w:t xml:space="preserve">Goldman</w:t>
      </w:r>
      <w:r>
        <w:rPr>
          <w:i/>
          <w:iCs/>
        </w:rPr>
        <w:t xml:space="preserve"> </w:t>
      </w:r>
      <w:r>
        <w:rPr>
          <w:i/>
          <w:iCs/>
        </w:rPr>
        <w:t xml:space="preserve">Stores</w:t>
      </w:r>
      <w:r>
        <w:t xml:space="preserve">,</w:t>
      </w:r>
      <w:r>
        <w:t xml:space="preserve"> </w:t>
      </w:r>
      <w:r>
        <w:t xml:space="preserve">109</w:t>
      </w:r>
      <w:r>
        <w:t xml:space="preserve"> </w:t>
      </w:r>
      <w:r>
        <w:t xml:space="preserve">W.</w:t>
      </w:r>
      <w:r>
        <w:t xml:space="preserve"> </w:t>
      </w:r>
      <w:r>
        <w:t xml:space="preserve">Va.</w:t>
      </w:r>
      <w:r>
        <w:t xml:space="preserve"> </w:t>
      </w:r>
      <w:r>
        <w:t xml:space="preserve">329,</w:t>
      </w:r>
      <w:r>
        <w:t xml:space="preserve"> </w:t>
      </w:r>
      <w:r>
        <w:t xml:space="preserve">154</w:t>
      </w:r>
      <w:r>
        <w:t xml:space="preserve"> </w:t>
      </w:r>
      <w:r>
        <w:t xml:space="preserve">S.E.</w:t>
      </w:r>
      <w:r>
        <w:t xml:space="preserve"> </w:t>
      </w:r>
      <w:r>
        <w:t xml:space="preserve">769</w:t>
      </w:r>
      <w:r>
        <w:t xml:space="preserve"> </w:t>
      </w:r>
      <w:r>
        <w:t xml:space="preserve">(1930)</w:t>
      </w:r>
      <w:r>
        <w:t xml:space="preserve">   </w:t>
      </w:r>
      <w:r>
        <w:tab/>
      </w:r>
      <w:r>
        <w:t xml:space="preserve">13</w:t>
      </w:r>
    </w:p>
    <w:p>
      <w:pPr>
        <w:keepLines/>
        <w:tabs>
          <w:tab w:val="right" w:leader="dot" w:pos="9360"/>
        </w:tabs>
        <w:spacing w:before="144" w:after="0" w:line="276" w:lineRule="exact"/>
        <w:ind w:left="576" w:right="1120" w:hanging="576"/>
      </w:pPr>
      <w:r>
        <w:rPr>
          <w:i/>
          <w:iCs/>
        </w:rPr>
        <w:t xml:space="preserve">Raleigh</w:t>
      </w:r>
      <w:r>
        <w:rPr>
          <w:i/>
          <w:iCs/>
        </w:rPr>
        <w:t xml:space="preserve"> </w:t>
      </w:r>
      <w:r>
        <w:rPr>
          <w:i/>
          <w:iCs/>
        </w:rPr>
        <w:t xml:space="preserve">Gen.</w:t>
      </w:r>
      <w:r>
        <w:rPr>
          <w:i/>
          <w:iCs/>
        </w:rPr>
        <w:t xml:space="preserve"> </w:t>
      </w:r>
      <w:r>
        <w:rPr>
          <w:i/>
          <w:iCs/>
        </w:rPr>
        <w:t xml:space="preserve">Hosp.,</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Appalachian</w:t>
      </w:r>
      <w:r>
        <w:rPr>
          <w:i/>
          <w:iCs/>
        </w:rPr>
        <w:t xml:space="preserve"> </w:t>
      </w:r>
      <w:r>
        <w:rPr>
          <w:i/>
          <w:iCs/>
        </w:rPr>
        <w:t xml:space="preserve">Reg’l</w:t>
      </w:r>
      <w:r>
        <w:rPr>
          <w:i/>
          <w:iCs/>
        </w:rPr>
        <w:t xml:space="preserve"> </w:t>
      </w:r>
      <w:r>
        <w:rPr>
          <w:i/>
          <w:iCs/>
        </w:rPr>
        <w:t xml:space="preserve">Healthcare,</w:t>
      </w:r>
      <w:r>
        <w:rPr>
          <w:i/>
          <w:iCs/>
        </w:rPr>
        <w:t xml:space="preserve"> </w:t>
      </w:r>
      <w:r>
        <w:rPr>
          <w:i/>
          <w:iCs/>
        </w:rPr>
        <w:t xml:space="preserve">Inc.</w:t>
      </w:r>
      <w:r>
        <w:t xml:space="preserve">,</w:t>
      </w:r>
      <w:r>
        <w:t xml:space="preserve"> </w:t>
      </w:r>
      <w:r>
        <w:t xml:space="preserve">2024</w:t>
      </w:r>
      <w:r>
        <w:t xml:space="preserve"> </w:t>
      </w:r>
      <w:r>
        <w:t xml:space="preserve">W.</w:t>
      </w:r>
      <w:r>
        <w:t xml:space="preserve"> </w:t>
      </w:r>
      <w:r>
        <w:t xml:space="preserve">Va.</w:t>
      </w:r>
      <w:r>
        <w:t xml:space="preserve"> </w:t>
      </w:r>
      <w:r>
        <w:t xml:space="preserve">App.</w:t>
      </w:r>
      <w:r>
        <w:t xml:space="preserve"> </w:t>
      </w:r>
      <w:r>
        <w:t xml:space="preserve">LEXIS</w:t>
      </w:r>
      <w:r>
        <w:t xml:space="preserve"> </w:t>
      </w:r>
      <w:r>
        <w:t xml:space="preserve">14</w:t>
      </w:r>
      <w:r>
        <w:t xml:space="preserve"> </w:t>
      </w:r>
      <w:r>
        <w:t xml:space="preserve">(ICA)</w:t>
      </w:r>
      <w:r>
        <w:t xml:space="preserve">   </w:t>
      </w:r>
      <w:r>
        <w:tab/>
      </w:r>
      <w:r>
        <w:t xml:space="preserve">18</w:t>
      </w:r>
    </w:p>
    <w:p>
      <w:pPr>
        <w:keepLines/>
        <w:tabs>
          <w:tab w:val="right" w:leader="dot" w:pos="9360"/>
        </w:tabs>
        <w:spacing w:before="144" w:after="0" w:line="276" w:lineRule="exact"/>
        <w:ind w:left="576" w:right="1120" w:hanging="576"/>
      </w:pPr>
      <w:r>
        <w:rPr>
          <w:i/>
          <w:iCs/>
        </w:rPr>
        <w:t xml:space="preserve">Sexton</w:t>
      </w:r>
      <w:r>
        <w:rPr>
          <w:i/>
          <w:iCs/>
        </w:rPr>
        <w:t xml:space="preserve"> </w:t>
      </w:r>
      <w:r>
        <w:rPr>
          <w:i/>
          <w:iCs/>
        </w:rPr>
        <w:t xml:space="preserve">v.</w:t>
      </w:r>
      <w:r>
        <w:rPr>
          <w:i/>
          <w:iCs/>
        </w:rPr>
        <w:t xml:space="preserve"> </w:t>
      </w:r>
      <w:r>
        <w:rPr>
          <w:i/>
          <w:iCs/>
        </w:rPr>
        <w:t xml:space="preserve">Grieco</w:t>
      </w:r>
      <w:r>
        <w:t xml:space="preserve">,</w:t>
      </w:r>
      <w:r>
        <w:t xml:space="preserve"> </w:t>
      </w:r>
      <w:r>
        <w:t xml:space="preserve">216</w:t>
      </w:r>
      <w:r>
        <w:t xml:space="preserve"> </w:t>
      </w:r>
      <w:r>
        <w:t xml:space="preserve">W.</w:t>
      </w:r>
      <w:r>
        <w:t xml:space="preserve"> </w:t>
      </w:r>
      <w:r>
        <w:t xml:space="preserve">Va.</w:t>
      </w:r>
      <w:r>
        <w:t xml:space="preserve"> </w:t>
      </w:r>
      <w:r>
        <w:t xml:space="preserve">714,</w:t>
      </w:r>
      <w:r>
        <w:t xml:space="preserve"> </w:t>
      </w:r>
      <w:r>
        <w:t xml:space="preserve">613</w:t>
      </w:r>
      <w:r>
        <w:t xml:space="preserve"> </w:t>
      </w:r>
      <w:r>
        <w:t xml:space="preserve">S.E.2d</w:t>
      </w:r>
      <w:r>
        <w:t xml:space="preserve"> </w:t>
      </w:r>
      <w:r>
        <w:t xml:space="preserve">81</w:t>
      </w:r>
      <w:r>
        <w:t xml:space="preserve"> </w:t>
      </w:r>
      <w:r>
        <w:t xml:space="preserve">(2005)</w:t>
      </w:r>
      <w:r>
        <w:t xml:space="preserve">   </w:t>
      </w:r>
      <w:r>
        <w:tab/>
      </w:r>
      <w:r>
        <w:t xml:space="preserve">13</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Charleston</w:t>
      </w:r>
      <w:r>
        <w:rPr>
          <w:i/>
          <w:iCs/>
        </w:rPr>
        <w:t xml:space="preserve"> </w:t>
      </w:r>
      <w:r>
        <w:rPr>
          <w:i/>
          <w:iCs/>
        </w:rPr>
        <w:t xml:space="preserve">Area</w:t>
      </w:r>
      <w:r>
        <w:rPr>
          <w:i/>
          <w:iCs/>
        </w:rPr>
        <w:t xml:space="preserve"> </w:t>
      </w:r>
      <w:r>
        <w:rPr>
          <w:i/>
          <w:iCs/>
        </w:rPr>
        <w:t xml:space="preserve">Med.</w:t>
      </w:r>
      <w:r>
        <w:rPr>
          <w:i/>
          <w:iCs/>
        </w:rPr>
        <w:t xml:space="preserve"> </w:t>
      </w:r>
      <w:r>
        <w:rPr>
          <w:i/>
          <w:iCs/>
        </w:rPr>
        <w:t xml:space="preserve">Ctr.,</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Thompson</w:t>
      </w:r>
      <w:r>
        <w:t xml:space="preserve">,</w:t>
      </w:r>
      <w:r>
        <w:t xml:space="preserve"> </w:t>
      </w:r>
      <w:r>
        <w:t xml:space="preserve">248</w:t>
      </w:r>
      <w:r>
        <w:t xml:space="preserve"> </w:t>
      </w:r>
      <w:r>
        <w:t xml:space="preserve">W.</w:t>
      </w:r>
      <w:r>
        <w:t xml:space="preserve"> </w:t>
      </w:r>
      <w:r>
        <w:t xml:space="preserve">Va.</w:t>
      </w:r>
      <w:r>
        <w:t xml:space="preserve"> </w:t>
      </w:r>
      <w:r>
        <w:t xml:space="preserve">352,</w:t>
      </w:r>
      <w:r>
        <w:t xml:space="preserve"> </w:t>
      </w:r>
      <w:r>
        <w:t xml:space="preserve">888</w:t>
      </w:r>
      <w:r>
        <w:t xml:space="preserve"> </w:t>
      </w:r>
      <w:r>
        <w:t xml:space="preserve">S.E.2d</w:t>
      </w:r>
      <w:r>
        <w:t xml:space="preserve"> </w:t>
      </w:r>
      <w:r>
        <w:t xml:space="preserve">852</w:t>
      </w:r>
      <w:r>
        <w:t xml:space="preserve"> </w:t>
      </w:r>
      <w:r>
        <w:t xml:space="preserve">(2023)</w:t>
      </w:r>
      <w:r>
        <w:t xml:space="preserve">   </w:t>
      </w:r>
      <w:r>
        <w:tab/>
      </w:r>
      <w:r>
        <w:t xml:space="preserve">14, 15, 16</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ERx,</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Cramer</w:t>
      </w:r>
      <w:r>
        <w:t xml:space="preserve">,</w:t>
      </w:r>
      <w:r>
        <w:t xml:space="preserve"> </w:t>
      </w:r>
      <w:r>
        <w:t xml:space="preserve">247</w:t>
      </w:r>
      <w:r>
        <w:t xml:space="preserve"> </w:t>
      </w:r>
      <w:r>
        <w:t xml:space="preserve">W.</w:t>
      </w:r>
      <w:r>
        <w:t xml:space="preserve"> </w:t>
      </w:r>
      <w:r>
        <w:t xml:space="preserve">Va.</w:t>
      </w:r>
      <w:r>
        <w:t xml:space="preserve"> </w:t>
      </w:r>
      <w:r>
        <w:t xml:space="preserve">739,</w:t>
      </w:r>
      <w:r>
        <w:t xml:space="preserve"> </w:t>
      </w:r>
      <w:r>
        <w:t xml:space="preserve">885</w:t>
      </w:r>
      <w:r>
        <w:t xml:space="preserve"> </w:t>
      </w:r>
      <w:r>
        <w:t xml:space="preserve">S.E.2d</w:t>
      </w:r>
      <w:r>
        <w:t xml:space="preserve"> </w:t>
      </w:r>
      <w:r>
        <w:t xml:space="preserve">870</w:t>
      </w:r>
      <w:r>
        <w:t xml:space="preserve"> </w:t>
      </w:r>
      <w:r>
        <w:t xml:space="preserve">(2023)</w:t>
      </w:r>
      <w:r>
        <w:t xml:space="preserve">   </w:t>
      </w:r>
      <w:r>
        <w:tab/>
      </w:r>
      <w:r>
        <w:t xml:space="preserve">18</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Morgantown</w:t>
      </w:r>
      <w:r>
        <w:rPr>
          <w:i/>
          <w:iCs/>
        </w:rPr>
        <w:t xml:space="preserve"> </w:t>
      </w:r>
      <w:r>
        <w:rPr>
          <w:i/>
          <w:iCs/>
        </w:rPr>
        <w:t xml:space="preserve">Operating</w:t>
      </w:r>
      <w:r>
        <w:rPr>
          <w:i/>
          <w:iCs/>
        </w:rPr>
        <w:t xml:space="preserve"> </w:t>
      </w:r>
      <w:r>
        <w:rPr>
          <w:i/>
          <w:iCs/>
        </w:rPr>
        <w:t xml:space="preserve">Co.,</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Gaujot</w:t>
      </w:r>
      <w:r>
        <w:t xml:space="preserve">,</w:t>
      </w:r>
      <w:r>
        <w:t xml:space="preserve"> </w:t>
      </w:r>
      <w:r>
        <w:t xml:space="preserve">245</w:t>
      </w:r>
      <w:r>
        <w:t xml:space="preserve"> </w:t>
      </w:r>
      <w:r>
        <w:t xml:space="preserve">W.</w:t>
      </w:r>
      <w:r>
        <w:t xml:space="preserve"> </w:t>
      </w:r>
      <w:r>
        <w:t xml:space="preserve">Va.</w:t>
      </w:r>
      <w:r>
        <w:t xml:space="preserve"> </w:t>
      </w:r>
      <w:r>
        <w:t xml:space="preserve">415,</w:t>
      </w:r>
      <w:r>
        <w:t xml:space="preserve"> </w:t>
      </w:r>
      <w:r>
        <w:t xml:space="preserve">859</w:t>
      </w:r>
      <w:r>
        <w:t xml:space="preserve"> </w:t>
      </w:r>
      <w:r>
        <w:t xml:space="preserve">S.E.2d</w:t>
      </w:r>
      <w:r>
        <w:t xml:space="preserve"> </w:t>
      </w:r>
      <w:r>
        <w:t xml:space="preserve">358</w:t>
      </w:r>
      <w:r>
        <w:t xml:space="preserve"> </w:t>
      </w:r>
      <w:r>
        <w:t xml:space="preserve">(2021)</w:t>
      </w:r>
      <w:r>
        <w:t xml:space="preserve">   </w:t>
      </w:r>
      <w:r>
        <w:tab/>
      </w:r>
      <w:r>
        <w:t xml:space="preserve">12, 17</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W.</w:t>
      </w:r>
      <w:r>
        <w:rPr>
          <w:i/>
          <w:iCs/>
        </w:rPr>
        <w:t xml:space="preserve"> </w:t>
      </w:r>
      <w:r>
        <w:rPr>
          <w:i/>
          <w:iCs/>
        </w:rPr>
        <w:t xml:space="preserve">Va.</w:t>
      </w:r>
      <w:r>
        <w:rPr>
          <w:i/>
          <w:iCs/>
        </w:rPr>
        <w:t xml:space="preserve"> </w:t>
      </w:r>
      <w:r>
        <w:rPr>
          <w:i/>
          <w:iCs/>
        </w:rPr>
        <w:t xml:space="preserve">Div.</w:t>
      </w:r>
      <w:r>
        <w:rPr>
          <w:i/>
          <w:iCs/>
        </w:rPr>
        <w:t xml:space="preserve"> </w:t>
      </w:r>
      <w:r>
        <w:rPr>
          <w:i/>
          <w:iCs/>
        </w:rPr>
        <w:t xml:space="preserve">of</w:t>
      </w:r>
      <w:r>
        <w:rPr>
          <w:i/>
          <w:iCs/>
        </w:rPr>
        <w:t xml:space="preserve"> </w:t>
      </w:r>
      <w:r>
        <w:rPr>
          <w:i/>
          <w:iCs/>
        </w:rPr>
        <w:t xml:space="preserve">Corr.</w:t>
      </w:r>
      <w:r>
        <w:rPr>
          <w:i/>
          <w:iCs/>
        </w:rPr>
        <w:t xml:space="preserve"> </w:t>
      </w:r>
      <w:r>
        <w:rPr>
          <w:i/>
          <w:iCs/>
        </w:rPr>
        <w:t xml:space="preserve">&amp;</w:t>
      </w:r>
      <w:r>
        <w:rPr>
          <w:i/>
          <w:iCs/>
        </w:rPr>
        <w:t xml:space="preserve"> </w:t>
      </w:r>
      <w:r>
        <w:rPr>
          <w:i/>
          <w:iCs/>
        </w:rPr>
        <w:t xml:space="preserve">Rehab.</w:t>
      </w:r>
      <w:r>
        <w:rPr>
          <w:i/>
          <w:iCs/>
        </w:rPr>
        <w:t xml:space="preserve"> </w:t>
      </w:r>
      <w:r>
        <w:rPr>
          <w:i/>
          <w:iCs/>
        </w:rPr>
        <w:t xml:space="preserve">v.</w:t>
      </w:r>
      <w:r>
        <w:rPr>
          <w:i/>
          <w:iCs/>
        </w:rPr>
        <w:t xml:space="preserve"> </w:t>
      </w:r>
      <w:r>
        <w:rPr>
          <w:i/>
          <w:iCs/>
        </w:rPr>
        <w:t xml:space="preserve">Ferguson</w:t>
      </w:r>
      <w:r>
        <w:t xml:space="preserve">,</w:t>
      </w:r>
      <w:r>
        <w:t xml:space="preserve"> </w:t>
      </w:r>
      <w:r>
        <w:t xml:space="preserve">889</w:t>
      </w:r>
      <w:r>
        <w:t xml:space="preserve"> </w:t>
      </w:r>
      <w:r>
        <w:t xml:space="preserve">S.E.2d</w:t>
      </w:r>
      <w:r>
        <w:t xml:space="preserve"> </w:t>
      </w:r>
      <w:r>
        <w:t xml:space="preserve">44</w:t>
      </w:r>
      <w:r>
        <w:t xml:space="preserve"> </w:t>
      </w:r>
      <w:r>
        <w:t xml:space="preserve">(W.</w:t>
      </w:r>
      <w:r>
        <w:t xml:space="preserve"> </w:t>
      </w:r>
      <w:r>
        <w:t xml:space="preserve">Va.</w:t>
      </w:r>
      <w:r>
        <w:t xml:space="preserve"> </w:t>
      </w:r>
      <w:r>
        <w:t xml:space="preserve">2023)</w:t>
      </w:r>
      <w:r>
        <w:t xml:space="preserve">   </w:t>
      </w:r>
      <w:r>
        <w:tab/>
      </w:r>
      <w:r>
        <w:t xml:space="preserve">7</w:t>
      </w:r>
    </w:p>
    <w:p>
      <w:pPr>
        <w:keepLines/>
        <w:tabs>
          <w:tab w:val="right" w:leader="dot" w:pos="9360"/>
        </w:tabs>
        <w:spacing w:before="144" w:after="0" w:line="276" w:lineRule="exact"/>
        <w:ind w:left="576" w:right="13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West</w:t>
      </w:r>
      <w:r>
        <w:rPr>
          <w:i/>
          <w:iCs/>
        </w:rPr>
        <w:t xml:space="preserve"> </w:t>
      </w:r>
      <w:r>
        <w:rPr>
          <w:i/>
          <w:iCs/>
        </w:rPr>
        <w:t xml:space="preserve">Virginia</w:t>
      </w:r>
      <w:r>
        <w:rPr>
          <w:i/>
          <w:iCs/>
        </w:rPr>
        <w:t xml:space="preserve"> </w:t>
      </w:r>
      <w:r>
        <w:rPr>
          <w:i/>
          <w:iCs/>
        </w:rPr>
        <w:t xml:space="preserve">University</w:t>
      </w:r>
      <w:r>
        <w:rPr>
          <w:i/>
          <w:iCs/>
        </w:rPr>
        <w:t xml:space="preserve"> </w:t>
      </w:r>
      <w:r>
        <w:rPr>
          <w:i/>
          <w:iCs/>
        </w:rPr>
        <w:t xml:space="preserve">Hospitals,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Scott</w:t>
      </w:r>
      <w:r>
        <w:t xml:space="preserve">,</w:t>
      </w:r>
      <w:r>
        <w:t xml:space="preserve"> </w:t>
      </w:r>
      <w:r>
        <w:t xml:space="preserve">246</w:t>
      </w:r>
      <w:r>
        <w:t xml:space="preserve"> </w:t>
      </w:r>
      <w:r>
        <w:t xml:space="preserve">W.</w:t>
      </w:r>
      <w:r>
        <w:t xml:space="preserve"> </w:t>
      </w:r>
      <w:r>
        <w:t xml:space="preserve">Va.</w:t>
      </w:r>
      <w:r>
        <w:t xml:space="preserve"> </w:t>
      </w:r>
      <w:r>
        <w:t xml:space="preserve">184,</w:t>
      </w:r>
      <w:r>
        <w:t xml:space="preserve"> </w:t>
      </w:r>
      <w:r>
        <w:t xml:space="preserve">866</w:t>
      </w:r>
      <w:r>
        <w:t xml:space="preserve"> </w:t>
      </w:r>
      <w:r>
        <w:t xml:space="preserve">S.E.2d</w:t>
      </w:r>
      <w:r>
        <w:t xml:space="preserve"> </w:t>
      </w:r>
      <w:r>
        <w:t xml:space="preserve">350</w:t>
      </w:r>
      <w:r>
        <w:t xml:space="preserve"> </w:t>
      </w:r>
      <w:r>
        <w:t xml:space="preserve">(2021)</w:t>
      </w:r>
      <w:r>
        <w:t xml:space="preserve">   </w:t>
      </w:r>
      <w:r>
        <w:tab/>
      </w:r>
      <w:r>
        <w:t xml:space="preserve">13, 14, 15, 16</w:t>
      </w:r>
    </w:p>
    <w:p>
      <w:pPr>
        <w:keepLines/>
        <w:tabs>
          <w:tab w:val="right" w:leader="dot" w:pos="9360"/>
        </w:tabs>
        <w:spacing w:before="144" w:after="0" w:line="276" w:lineRule="exact"/>
        <w:ind w:left="576" w:right="1120" w:hanging="576"/>
      </w:pPr>
      <w:r>
        <w:rPr>
          <w:i/>
          <w:iCs/>
        </w:rPr>
        <w:t xml:space="preserve">Stonewall</w:t>
      </w:r>
      <w:r>
        <w:rPr>
          <w:i/>
          <w:iCs/>
        </w:rPr>
        <w:t xml:space="preserve"> </w:t>
      </w:r>
      <w:r>
        <w:rPr>
          <w:i/>
          <w:iCs/>
        </w:rPr>
        <w:t xml:space="preserve">Jackson</w:t>
      </w:r>
      <w:r>
        <w:rPr>
          <w:i/>
          <w:iCs/>
        </w:rPr>
        <w:t xml:space="preserve"> </w:t>
      </w:r>
      <w:r>
        <w:rPr>
          <w:i/>
          <w:iCs/>
        </w:rPr>
        <w:t xml:space="preserve">Mem.</w:t>
      </w:r>
      <w:r>
        <w:rPr>
          <w:i/>
          <w:iCs/>
        </w:rPr>
        <w:t xml:space="preserve"> </w:t>
      </w:r>
      <w:r>
        <w:rPr>
          <w:i/>
          <w:iCs/>
        </w:rPr>
        <w:t xml:space="preserve">Hosp.</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St.</w:t>
      </w:r>
      <w:r>
        <w:rPr>
          <w:i/>
          <w:iCs/>
        </w:rPr>
        <w:t xml:space="preserve"> </w:t>
      </w:r>
      <w:r>
        <w:rPr>
          <w:i/>
          <w:iCs/>
        </w:rPr>
        <w:t xml:space="preserve">Joseph’s</w:t>
      </w:r>
      <w:r>
        <w:rPr>
          <w:i/>
          <w:iCs/>
        </w:rPr>
        <w:t xml:space="preserve"> </w:t>
      </w:r>
      <w:r>
        <w:rPr>
          <w:i/>
          <w:iCs/>
        </w:rPr>
        <w:t xml:space="preserve">Hosp.</w:t>
      </w:r>
      <w:r>
        <w:rPr>
          <w:i/>
          <w:iCs/>
        </w:rPr>
        <w:t xml:space="preserve"> </w:t>
      </w:r>
      <w:r>
        <w:rPr>
          <w:i/>
          <w:iCs/>
        </w:rPr>
        <w:t xml:space="preserve">of</w:t>
      </w:r>
      <w:r>
        <w:rPr>
          <w:i/>
          <w:iCs/>
        </w:rPr>
        <w:t xml:space="preserve"> </w:t>
      </w:r>
      <w:r>
        <w:rPr>
          <w:i/>
          <w:iCs/>
        </w:rPr>
        <w:t xml:space="preserve">Buckhannon,</w:t>
      </w:r>
      <w:r>
        <w:rPr>
          <w:i/>
          <w:iCs/>
        </w:rPr>
        <w:t xml:space="preserve"> </w:t>
      </w:r>
      <w:r>
        <w:rPr>
          <w:i/>
          <w:iCs/>
        </w:rPr>
        <w:t xml:space="preserve">Inc.</w:t>
      </w:r>
      <w:r>
        <w:t xml:space="preserve">,</w:t>
      </w:r>
      <w:r>
        <w:t xml:space="preserve"> </w:t>
      </w:r>
      <w:r>
        <w:t xml:space="preserve">2023</w:t>
      </w:r>
      <w:r>
        <w:t xml:space="preserve"> </w:t>
      </w:r>
      <w:r>
        <w:t xml:space="preserve">W.</w:t>
      </w:r>
      <w:r>
        <w:t xml:space="preserve"> </w:t>
      </w:r>
      <w:r>
        <w:t xml:space="preserve">Va.</w:t>
      </w:r>
      <w:r>
        <w:t xml:space="preserve"> </w:t>
      </w:r>
      <w:r>
        <w:t xml:space="preserve">App.</w:t>
      </w:r>
      <w:r>
        <w:t xml:space="preserve"> </w:t>
      </w:r>
      <w:r>
        <w:t xml:space="preserve">LEXIS</w:t>
      </w:r>
      <w:r>
        <w:t xml:space="preserve"> </w:t>
      </w:r>
      <w:r>
        <w:t xml:space="preserve">202,</w:t>
      </w:r>
      <w:r>
        <w:t xml:space="preserve"> </w:t>
      </w:r>
      <w:r>
        <w:t xml:space="preserve">2023</w:t>
      </w:r>
      <w:r>
        <w:t xml:space="preserve"> </w:t>
      </w:r>
      <w:r>
        <w:t xml:space="preserve">WL</w:t>
      </w:r>
      <w:r>
        <w:t xml:space="preserve"> </w:t>
      </w:r>
      <w:r>
        <w:t xml:space="preserve">4197305</w:t>
      </w:r>
      <w:r>
        <w:t xml:space="preserve"> </w:t>
      </w:r>
      <w:r>
        <w:t xml:space="preserve">(ICA)</w:t>
      </w:r>
      <w:r>
        <w:t xml:space="preserve">   </w:t>
      </w:r>
      <w:r>
        <w:tab/>
      </w:r>
      <w:r>
        <w:t xml:space="preserve">18</w:t>
      </w:r>
    </w:p>
    <w:p>
      <w:pPr>
        <w:keepLines/>
        <w:tabs>
          <w:tab w:val="right" w:leader="dot" w:pos="9360"/>
        </w:tabs>
        <w:spacing w:before="144" w:after="0" w:line="276" w:lineRule="exact"/>
        <w:ind w:left="576" w:right="1120" w:hanging="576"/>
      </w:pPr>
      <w:r>
        <w:rPr>
          <w:i/>
          <w:iCs/>
        </w:rPr>
        <w:t xml:space="preserve">Tanner</w:t>
      </w:r>
      <w:r>
        <w:rPr>
          <w:i/>
          <w:iCs/>
        </w:rPr>
        <w:t xml:space="preserve"> </w:t>
      </w:r>
      <w:r>
        <w:rPr>
          <w:i/>
          <w:iCs/>
        </w:rPr>
        <w:t xml:space="preserve">v.</w:t>
      </w:r>
      <w:r>
        <w:rPr>
          <w:i/>
          <w:iCs/>
        </w:rPr>
        <w:t xml:space="preserve"> </w:t>
      </w:r>
      <w:r>
        <w:rPr>
          <w:i/>
          <w:iCs/>
        </w:rPr>
        <w:t xml:space="preserve">Rite</w:t>
      </w:r>
      <w:r>
        <w:rPr>
          <w:i/>
          <w:iCs/>
        </w:rPr>
        <w:t xml:space="preserve"> </w:t>
      </w:r>
      <w:r>
        <w:rPr>
          <w:i/>
          <w:iCs/>
        </w:rPr>
        <w:t xml:space="preserve">Aid</w:t>
      </w:r>
      <w:r>
        <w:rPr>
          <w:i/>
          <w:iCs/>
        </w:rPr>
        <w:t xml:space="preserve"> </w:t>
      </w:r>
      <w:r>
        <w:rPr>
          <w:i/>
          <w:iCs/>
        </w:rPr>
        <w:t xml:space="preserve">of</w:t>
      </w:r>
      <w:r>
        <w:rPr>
          <w:i/>
          <w:iCs/>
        </w:rPr>
        <w:t xml:space="preserve"> </w:t>
      </w:r>
      <w:r>
        <w:rPr>
          <w:i/>
          <w:iCs/>
        </w:rPr>
        <w:t xml:space="preserve">W.</w:t>
      </w:r>
      <w:r>
        <w:rPr>
          <w:i/>
          <w:iCs/>
        </w:rPr>
        <w:t xml:space="preserve"> </w:t>
      </w:r>
      <w:r>
        <w:rPr>
          <w:i/>
          <w:iCs/>
        </w:rPr>
        <w:t xml:space="preserve">Va.,</w:t>
      </w:r>
      <w:r>
        <w:rPr>
          <w:i/>
          <w:iCs/>
        </w:rPr>
        <w:t xml:space="preserve"> </w:t>
      </w:r>
      <w:r>
        <w:rPr>
          <w:i/>
          <w:iCs/>
        </w:rPr>
        <w:t xml:space="preserve">Inc.</w:t>
      </w:r>
      <w:r>
        <w:t xml:space="preserve">,</w:t>
      </w:r>
      <w:r>
        <w:t xml:space="preserve"> </w:t>
      </w:r>
      <w:r>
        <w:t xml:space="preserve">194</w:t>
      </w:r>
      <w:r>
        <w:t xml:space="preserve"> </w:t>
      </w:r>
      <w:r>
        <w:t xml:space="preserve">W.</w:t>
      </w:r>
      <w:r>
        <w:t xml:space="preserve"> </w:t>
      </w:r>
      <w:r>
        <w:t xml:space="preserve">Va.</w:t>
      </w:r>
      <w:r>
        <w:t xml:space="preserve"> </w:t>
      </w:r>
      <w:r>
        <w:t xml:space="preserve">643,</w:t>
      </w:r>
      <w:r>
        <w:t xml:space="preserve"> </w:t>
      </w:r>
      <w:r>
        <w:t xml:space="preserve">461</w:t>
      </w:r>
      <w:r>
        <w:t xml:space="preserve"> </w:t>
      </w:r>
      <w:r>
        <w:t xml:space="preserve">S.E.2d</w:t>
      </w:r>
      <w:r>
        <w:t xml:space="preserve"> </w:t>
      </w:r>
      <w:r>
        <w:t xml:space="preserve">149</w:t>
      </w:r>
      <w:r>
        <w:t xml:space="preserve"> </w:t>
      </w:r>
      <w:r>
        <w:t xml:space="preserve">(1995)</w:t>
      </w:r>
      <w:r>
        <w:t xml:space="preserve">   </w:t>
      </w:r>
      <w:r>
        <w:tab/>
      </w:r>
      <w:r>
        <w:t xml:space="preserve">15</w:t>
      </w:r>
    </w:p>
    <w:p>
      <w:pPr>
        <w:keepLines/>
        <w:tabs>
          <w:tab w:val="right" w:leader="dot" w:pos="9360"/>
        </w:tabs>
        <w:spacing w:before="144" w:after="0" w:line="276" w:lineRule="exact"/>
        <w:ind w:left="576" w:right="1120" w:hanging="576"/>
      </w:pPr>
      <w:r>
        <w:rPr>
          <w:i/>
          <w:iCs/>
        </w:rPr>
        <w:t xml:space="preserve">Travis</w:t>
      </w:r>
      <w:r>
        <w:rPr>
          <w:i/>
          <w:iCs/>
        </w:rPr>
        <w:t xml:space="preserve"> </w:t>
      </w:r>
      <w:r>
        <w:rPr>
          <w:i/>
          <w:iCs/>
        </w:rPr>
        <w:t xml:space="preserve">v.</w:t>
      </w:r>
      <w:r>
        <w:rPr>
          <w:i/>
          <w:iCs/>
        </w:rPr>
        <w:t xml:space="preserve"> </w:t>
      </w:r>
      <w:r>
        <w:rPr>
          <w:i/>
          <w:iCs/>
        </w:rPr>
        <w:t xml:space="preserve">Alcon</w:t>
      </w:r>
      <w:r>
        <w:rPr>
          <w:i/>
          <w:iCs/>
        </w:rPr>
        <w:t xml:space="preserve"> </w:t>
      </w:r>
      <w:r>
        <w:rPr>
          <w:i/>
          <w:iCs/>
        </w:rPr>
        <w:t xml:space="preserve">Labs.</w:t>
      </w:r>
      <w:r>
        <w:t xml:space="preserve">,</w:t>
      </w:r>
      <w:r>
        <w:t xml:space="preserve"> </w:t>
      </w:r>
      <w:r>
        <w:t xml:space="preserve">202</w:t>
      </w:r>
      <w:r>
        <w:t xml:space="preserve"> </w:t>
      </w:r>
      <w:r>
        <w:t xml:space="preserve">W.</w:t>
      </w:r>
      <w:r>
        <w:t xml:space="preserve"> </w:t>
      </w:r>
      <w:r>
        <w:t xml:space="preserve">Va.</w:t>
      </w:r>
      <w:r>
        <w:t xml:space="preserve"> </w:t>
      </w:r>
      <w:r>
        <w:t xml:space="preserve">369,</w:t>
      </w:r>
      <w:r>
        <w:t xml:space="preserve"> </w:t>
      </w:r>
      <w:r>
        <w:t xml:space="preserve">504</w:t>
      </w:r>
      <w:r>
        <w:t xml:space="preserve"> </w:t>
      </w:r>
      <w:r>
        <w:t xml:space="preserve">S.E.2d</w:t>
      </w:r>
      <w:r>
        <w:t xml:space="preserve"> </w:t>
      </w:r>
      <w:r>
        <w:t xml:space="preserve">419</w:t>
      </w:r>
      <w:r>
        <w:t xml:space="preserve"> </w:t>
      </w:r>
      <w:r>
        <w:t xml:space="preserve">(1998)</w:t>
      </w:r>
      <w:r>
        <w:t xml:space="preserve">   </w:t>
      </w:r>
      <w:r>
        <w:tab/>
      </w:r>
      <w:r>
        <w:t xml:space="preserve">15</w:t>
      </w:r>
    </w:p>
    <w:p>
      <w:pPr>
        <w:keepLines/>
        <w:tabs>
          <w:tab w:val="right" w:leader="dot" w:pos="9360"/>
        </w:tabs>
        <w:spacing w:before="144" w:after="0" w:line="276" w:lineRule="exact"/>
        <w:ind w:left="576" w:right="1120" w:hanging="576"/>
      </w:pPr>
      <w:r>
        <w:rPr>
          <w:i/>
          <w:iCs/>
        </w:rPr>
        <w:t xml:space="preserve">Trivett</w:t>
      </w:r>
      <w:r>
        <w:rPr>
          <w:i/>
          <w:iCs/>
        </w:rPr>
        <w:t xml:space="preserve"> </w:t>
      </w:r>
      <w:r>
        <w:rPr>
          <w:i/>
          <w:iCs/>
        </w:rPr>
        <w:t xml:space="preserve">v.</w:t>
      </w:r>
      <w:r>
        <w:rPr>
          <w:i/>
          <w:iCs/>
        </w:rPr>
        <w:t xml:space="preserve"> </w:t>
      </w:r>
      <w:r>
        <w:rPr>
          <w:i/>
          <w:iCs/>
        </w:rPr>
        <w:t xml:space="preserve">Summers</w:t>
      </w:r>
      <w:r>
        <w:rPr>
          <w:i/>
          <w:iCs/>
        </w:rPr>
        <w:t xml:space="preserve"> </w:t>
      </w:r>
      <w:r>
        <w:rPr>
          <w:i/>
          <w:iCs/>
        </w:rPr>
        <w:t xml:space="preserve">County</w:t>
      </w:r>
      <w:r>
        <w:rPr>
          <w:i/>
          <w:iCs/>
        </w:rPr>
        <w:t xml:space="preserve"> </w:t>
      </w:r>
      <w:r>
        <w:rPr>
          <w:i/>
          <w:iCs/>
        </w:rPr>
        <w:t xml:space="preserve">Commission</w:t>
      </w:r>
      <w:r>
        <w:t xml:space="preserve">,</w:t>
      </w:r>
      <w:r>
        <w:t xml:space="preserve"> </w:t>
      </w:r>
      <w:r>
        <w:t xml:space="preserve">249</w:t>
      </w:r>
      <w:r>
        <w:t xml:space="preserve"> </w:t>
      </w:r>
      <w:r>
        <w:t xml:space="preserve">W.</w:t>
      </w:r>
      <w:r>
        <w:t xml:space="preserve"> </w:t>
      </w:r>
      <w:r>
        <w:t xml:space="preserve">Va.</w:t>
      </w:r>
      <w:r>
        <w:t xml:space="preserve"> </w:t>
      </w:r>
      <w:r>
        <w:t xml:space="preserve">231,</w:t>
      </w:r>
      <w:r>
        <w:t xml:space="preserve"> </w:t>
      </w:r>
      <w:r>
        <w:t xml:space="preserve">895</w:t>
      </w:r>
      <w:r>
        <w:t xml:space="preserve"> </w:t>
      </w:r>
      <w:r>
        <w:t xml:space="preserve">S.E.2d</w:t>
      </w:r>
      <w:r>
        <w:t xml:space="preserve"> </w:t>
      </w:r>
      <w:r>
        <w:t xml:space="preserve">86</w:t>
      </w:r>
      <w:r>
        <w:t xml:space="preserve"> </w:t>
      </w:r>
      <w:r>
        <w:t xml:space="preserve">(2023)</w:t>
      </w:r>
      <w:r>
        <w:t xml:space="preserve">   </w:t>
      </w:r>
      <w:r>
        <w:tab/>
      </w:r>
      <w:r>
        <w:t xml:space="preserve">13, 14</w:t>
      </w:r>
    </w:p>
    <w:p>
      <w:pPr>
        <w:keepLines/>
        <w:tabs>
          <w:tab w:val="right" w:leader="dot" w:pos="9360"/>
        </w:tabs>
        <w:spacing w:before="144" w:after="0" w:line="276" w:lineRule="exact"/>
        <w:ind w:left="576" w:right="1120" w:hanging="576"/>
      </w:pPr>
      <w:r>
        <w:rPr>
          <w:i/>
          <w:iCs/>
        </w:rPr>
        <w:t xml:space="preserve">Zsigray</w:t>
      </w:r>
      <w:r>
        <w:rPr>
          <w:i/>
          <w:iCs/>
        </w:rPr>
        <w:t xml:space="preserve"> </w:t>
      </w:r>
      <w:r>
        <w:rPr>
          <w:i/>
          <w:iCs/>
        </w:rPr>
        <w:t xml:space="preserve">v.</w:t>
      </w:r>
      <w:r>
        <w:rPr>
          <w:i/>
          <w:iCs/>
        </w:rPr>
        <w:t xml:space="preserve"> </w:t>
      </w:r>
      <w:r>
        <w:rPr>
          <w:i/>
          <w:iCs/>
        </w:rPr>
        <w:t xml:space="preserve">Langman</w:t>
      </w:r>
      <w:r>
        <w:t xml:space="preserve">,</w:t>
      </w:r>
      <w:r>
        <w:t xml:space="preserve"> </w:t>
      </w:r>
      <w:r>
        <w:t xml:space="preserve">243</w:t>
      </w:r>
      <w:r>
        <w:t xml:space="preserve"> </w:t>
      </w:r>
      <w:r>
        <w:t xml:space="preserve">W.</w:t>
      </w:r>
      <w:r>
        <w:t xml:space="preserve"> </w:t>
      </w:r>
      <w:r>
        <w:t xml:space="preserve">Va.</w:t>
      </w:r>
      <w:r>
        <w:t xml:space="preserve"> </w:t>
      </w:r>
      <w:r>
        <w:t xml:space="preserve">163,</w:t>
      </w:r>
      <w:r>
        <w:t xml:space="preserve"> </w:t>
      </w:r>
      <w:r>
        <w:t xml:space="preserve">842</w:t>
      </w:r>
      <w:r>
        <w:t xml:space="preserve"> </w:t>
      </w:r>
      <w:r>
        <w:t xml:space="preserve">S.E.2d</w:t>
      </w:r>
      <w:r>
        <w:t xml:space="preserve"> </w:t>
      </w:r>
      <w:r>
        <w:t xml:space="preserve">716</w:t>
      </w:r>
      <w:r>
        <w:t xml:space="preserve"> </w:t>
      </w:r>
      <w:r>
        <w:t xml:space="preserve">(2020)</w:t>
      </w:r>
      <w:r>
        <w:t xml:space="preserve">   </w:t>
      </w:r>
      <w:r>
        <w:tab/>
      </w:r>
      <w:r>
        <w:t xml:space="preserve">15</w:t>
      </w:r>
    </w:p>
    <w:p>
      <w:pPr>
        <w:keepNext/>
        <w:keepLines/>
        <w:spacing w:before="288" w:after="96" w:line="276" w:lineRule="exact"/>
        <w:ind w:left="0" w:firstLine="0"/>
        <w:jc w:val="left"/>
      </w:pPr>
      <w:r>
        <w:rPr>
          <w:b/>
          <w:bCs/>
        </w:rPr>
        <w:t xml:space="preserve">STATUTES</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55-⁠7B-⁠1</w:t>
      </w:r>
      <w:r>
        <w:t xml:space="preserve">   </w:t>
      </w:r>
      <w:r>
        <w:tab/>
      </w:r>
      <w:r>
        <w:t xml:space="preserve">1, 13</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55-⁠7B-⁠2</w:t>
      </w:r>
      <w:r>
        <w:t xml:space="preserve">   </w:t>
      </w:r>
      <w:r>
        <w:tab/>
      </w:r>
      <w:r>
        <w:rPr>
          <w:i/>
          <w:iCs/>
        </w:rPr>
        <w:t xml:space="preserve">passim</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55-⁠7B-⁠3</w:t>
      </w:r>
      <w:r>
        <w:t xml:space="preserve">   </w:t>
      </w:r>
      <w:r>
        <w:tab/>
      </w:r>
      <w:r>
        <w:t xml:space="preserve">10</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55-⁠7B-⁠4</w:t>
      </w:r>
      <w:r>
        <w:t xml:space="preserve">   </w:t>
      </w:r>
      <w:r>
        <w:tab/>
      </w:r>
      <w:r>
        <w:t xml:space="preserve">7, 9, 12</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55-⁠7B-⁠6</w:t>
      </w:r>
      <w:r>
        <w:t xml:space="preserve">   </w:t>
      </w:r>
      <w:r>
        <w:tab/>
      </w:r>
      <w:r>
        <w:t xml:space="preserve">10</w:t>
      </w:r>
    </w:p>
    <w:p>
      <w:pPr>
        <w:keepLines/>
        <w:tabs>
          <w:tab w:val="right" w:leader="dot" w:pos="9360"/>
        </w:tabs>
        <w:spacing w:before="144" w:after="0" w:line="276" w:lineRule="exact"/>
        <w:ind w:left="576" w:right="1120" w:hanging="576"/>
      </w:pPr>
      <w:r>
        <w:t xml:space="preserve">W.</w:t>
      </w:r>
      <w:r>
        <w:t xml:space="preserve"> </w:t>
      </w:r>
      <w:r>
        <w:t xml:space="preserve">Va.</w:t>
      </w:r>
      <w:r>
        <w:t xml:space="preserve"> </w:t>
      </w:r>
      <w:r>
        <w:t xml:space="preserve">Code</w:t>
      </w:r>
      <w:r>
        <w:t xml:space="preserve"> </w:t>
      </w:r>
      <w:r>
        <w:t xml:space="preserve">§</w:t>
      </w:r>
      <w:r>
        <w:t xml:space="preserve"> </w:t>
      </w:r>
      <w:r>
        <w:t xml:space="preserve">55-⁠7B-⁠7</w:t>
      </w:r>
      <w:r>
        <w:t xml:space="preserve">   </w:t>
      </w:r>
      <w:r>
        <w:tab/>
      </w:r>
      <w:r>
        <w:t xml:space="preserve">10, 11</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INTRODUCTION</w:t>
      </w:r>
    </w:p>
    <w:p>
      <w:pPr>
        <w:pStyle w:val="BodyText"/>
      </w:pPr>
      <w:r>
        <w:t xml:space="preserve">This case is simple. Petitioner Elaine Neidig and thousands of other West Virginia consumers purchased worthless mammograms from Respondent Valley Health System (“Valley”). When Ms. Neidig was informed by Valley (at the demand of its government regulator) that her purchase of the service was worthless, she requested a refund. Valley refused. Ms. Neidig then brought this lawsuit seeking to recover her pure economic loss for having paid for a service that Valley later told her was worthless.</w:t>
      </w:r>
    </w:p>
    <w:p>
      <w:pPr>
        <w:pStyle w:val="BodyTextNote"/>
      </w:pPr>
      <w:r>
        <w:t xml:space="preserve">Valley argues that it doesn’t have to refund Ms. Neidig’s payments because, according to it, she suffered a “medical injury” and, therefore, this case involves a claim for “medical professional liability” governed by the Medical Professional Liability Act (“MPLA”).</w:t>
      </w:r>
      <w:r>
        <w:rPr>
          <w:rStyle w:val="FootnoteReference"/>
        </w:rPr>
        <w:footnoteReference w:id="9"/>
      </w:r>
      <w:r>
        <w:t xml:space="preserve"> </w:t>
      </w:r>
      <w:r>
        <w:t xml:space="preserve">Not so.</w:t>
      </w:r>
    </w:p>
    <w:p>
      <w:pPr>
        <w:pStyle w:val="BodyTextNote"/>
      </w:pPr>
      <w:r>
        <w:t xml:space="preserve">This case is no more one of medical professional liability than a run of the mine billing dispute would be. The MPLA is directed at personal injury claims – not pure economic losses. To trigger a medical professional liability claim under the MPLA, the claim must involve the “death or injury of a person.”</w:t>
      </w:r>
      <w:r>
        <w:rPr>
          <w:rStyle w:val="FootnoteReference"/>
        </w:rPr>
        <w:footnoteReference w:id="10"/>
      </w:r>
      <w:r>
        <w:t xml:space="preserve"> </w:t>
      </w:r>
      <w:r>
        <w:t xml:space="preserve">And, the plain meaning of the phrase “death or injury of a person” is a personal injury. Ms. Neidig’s claims are for economic loss. They do not involve a death or injury to her person. It’s that simple.</w:t>
      </w:r>
    </w:p>
    <w:p>
      <w:pPr>
        <w:keepNext/>
        <w:keepLines/>
        <w:spacing w:before="288" w:after="240" w:line="276" w:lineRule="exact"/>
        <w:ind w:left="0" w:firstLine="0"/>
        <w:jc w:val="center"/>
      </w:pPr>
      <w:r>
        <w:rPr>
          <w:b/>
          <w:bCs/>
        </w:rPr>
        <w:t xml:space="preserve">ASSIGNMENTS</w:t>
      </w:r>
      <w:r>
        <w:rPr>
          <w:b/>
          <w:bCs/>
        </w:rPr>
        <w:t xml:space="preserve"> </w:t>
      </w:r>
      <w:r>
        <w:rPr>
          <w:b/>
          <w:bCs/>
        </w:rPr>
        <w:t xml:space="preserve">OF</w:t>
      </w:r>
      <w:r>
        <w:rPr>
          <w:b/>
          <w:bCs/>
        </w:rPr>
        <w:t xml:space="preserve"> </w:t>
      </w:r>
      <w:r>
        <w:rPr>
          <w:b/>
          <w:bCs/>
        </w:rPr>
        <w:t xml:space="preserve">ERROR</w:t>
      </w:r>
    </w:p>
    <w:p>
      <w:pPr>
        <w:pStyle w:val="BodyText"/>
      </w:pPr>
      <w:r>
        <w:t xml:space="preserve">This case is before this Court on a certified question from the U.S. Court of Appeals for the Fourth Circuit. In its order, the Court set forth the following Certified Question:</w:t>
      </w:r>
    </w:p>
    <w:p>
      <w:pPr>
        <w:pStyle w:val="XdQuoteOnly"/>
      </w:pPr>
      <w:r>
        <w:t xml:space="preserve">Whether a plaintiff’s claims can fall under the West Virginia Medical Professional Liability Act if the plaintiff disclaims any form of physical or emotional injury.</w:t>
      </w:r>
      <w:r>
        <w:rPr>
          <w:rStyle w:val="FootnoteReference"/>
        </w:rPr>
        <w:footnoteReference w:id="11"/>
      </w:r>
    </w:p>
    <w:p>
      <w:pPr>
        <w:pStyle w:val="BodyTextNote"/>
      </w:pPr>
      <w:r>
        <w:t xml:space="preserve">While Fourth Circuit did not provide an answer its Certified Question,</w:t>
      </w:r>
      <w:r>
        <w:rPr>
          <w:rStyle w:val="FootnoteReference"/>
        </w:rPr>
        <w:footnoteReference w:id="12"/>
      </w:r>
      <w:r>
        <w:t xml:space="preserve"> </w:t>
      </w:r>
      <w:r>
        <w:t xml:space="preserve">the United States District Court for the Northern District of West Virginia effectively answered the Certified Question in the affirmative, and Petitioner assigns its conclusion and every subsidiary question fairly comprised therein as error.</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Note"/>
      </w:pPr>
      <w:r>
        <w:t xml:space="preserve">Ms. Neidig is a natural person and resident of West Virginia.</w:t>
      </w:r>
      <w:r>
        <w:rPr>
          <w:rStyle w:val="FootnoteReference"/>
        </w:rPr>
        <w:footnoteReference w:id="13"/>
      </w:r>
      <w:r>
        <w:t xml:space="preserve"> </w:t>
      </w:r>
      <w:r>
        <w:t xml:space="preserve">Valley operates facilities and advertises in West Virginia.</w:t>
      </w:r>
      <w:r>
        <w:rPr>
          <w:rStyle w:val="FootnoteReference"/>
        </w:rPr>
        <w:footnoteReference w:id="14"/>
      </w:r>
      <w:r>
        <w:t xml:space="preserve"> </w:t>
      </w:r>
      <w:r>
        <w:t xml:space="preserve">Ms. Neidig was exposed to Valley’s advertisements in West Virginia by phone and mail, and thereafter chose to purchase mammogram services from Valley.</w:t>
      </w:r>
      <w:r>
        <w:rPr>
          <w:rStyle w:val="FootnoteReference"/>
        </w:rPr>
        <w:footnoteReference w:id="15"/>
      </w:r>
      <w:r>
        <w:t xml:space="preserve"> </w:t>
      </w:r>
      <w:r>
        <w:t xml:space="preserve">Specifically, Ms. Neidig paid Valley for three mammograms during the years 2016, 2017, and 2019.</w:t>
      </w:r>
      <w:r>
        <w:rPr>
          <w:rStyle w:val="FootnoteReference"/>
        </w:rPr>
        <w:footnoteReference w:id="16"/>
      </w:r>
      <w:r>
        <w:t xml:space="preserve"> </w:t>
      </w:r>
      <w:r>
        <w:t xml:space="preserve">The average cost of those three mammograms as billed was $542.00.</w:t>
      </w:r>
      <w:r>
        <w:rPr>
          <w:rStyle w:val="FootnoteReference"/>
        </w:rPr>
        <w:footnoteReference w:id="17"/>
      </w:r>
    </w:p>
    <w:p>
      <w:pPr>
        <w:pStyle w:val="BodyTextNote"/>
      </w:pPr>
      <w:r>
        <w:t xml:space="preserve">Following an investigation, in July 2019 the Food and Drug Administration determined that Valley’s staff were performing mammograms improperly, resulting in “serious image-quality deficiencies that constituted ‘a serious risk to human health.’”</w:t>
      </w:r>
      <w:r>
        <w:rPr>
          <w:rStyle w:val="FootnoteReference"/>
        </w:rPr>
        <w:footnoteReference w:id="18"/>
      </w:r>
      <w:r>
        <w:t xml:space="preserve"> </w:t>
      </w:r>
      <w:r>
        <w:t xml:space="preserve">Valley’s accreditation to perform these services was canceled.</w:t>
      </w:r>
      <w:r>
        <w:rPr>
          <w:rStyle w:val="FootnoteReference"/>
        </w:rPr>
        <w:footnoteReference w:id="19"/>
      </w:r>
      <w:r>
        <w:t xml:space="preserve"> </w:t>
      </w:r>
      <w:r>
        <w:t xml:space="preserve">In a letter dated December 16, 2019, Valley informed Ms. Neidig of the FDA’s finding noting “a serious concern about the quality of the mammography that our facility performed between June 20, 2017, and August 31, 2019.”</w:t>
      </w:r>
      <w:r>
        <w:rPr>
          <w:rStyle w:val="FootnoteReference"/>
        </w:rPr>
        <w:footnoteReference w:id="20"/>
      </w:r>
      <w:r>
        <w:t xml:space="preserve"> </w:t>
      </w:r>
      <w:r>
        <w:t xml:space="preserve">Such severe deficiency clashed with Valley’s representations about the quality of the healthcare services it offered.</w:t>
      </w:r>
      <w:r>
        <w:rPr>
          <w:rStyle w:val="FootnoteReference"/>
        </w:rPr>
        <w:footnoteReference w:id="21"/>
      </w:r>
    </w:p>
    <w:p>
      <w:pPr>
        <w:pStyle w:val="BodyTextNote"/>
      </w:pPr>
      <w:r>
        <w:t xml:space="preserve">Ms. Neidig requested a refund.</w:t>
      </w:r>
      <w:r>
        <w:rPr>
          <w:rStyle w:val="FootnoteReference"/>
        </w:rPr>
        <w:footnoteReference w:id="22"/>
      </w:r>
      <w:r>
        <w:t xml:space="preserve"> </w:t>
      </w:r>
      <w:r>
        <w:t xml:space="preserve">Valley refused, denying liability.</w:t>
      </w:r>
      <w:r>
        <w:rPr>
          <w:rStyle w:val="FootnoteReference"/>
        </w:rPr>
        <w:footnoteReference w:id="23"/>
      </w:r>
      <w:r>
        <w:t xml:space="preserve"> </w:t>
      </w:r>
      <w:r>
        <w:t xml:space="preserve">Because Valley did not reimburse Ms. Neidig for what turned out to be effectively worthless mammograms, she sustained an economic loss in the form of overpayment for those deficient mammograms.</w:t>
      </w:r>
      <w:r>
        <w:rPr>
          <w:rStyle w:val="FootnoteReference"/>
        </w:rPr>
        <w:footnoteReference w:id="24"/>
      </w:r>
    </w:p>
    <w:p>
      <w:pPr>
        <w:pStyle w:val="BodyTextNote"/>
      </w:pPr>
      <w:r>
        <w:t xml:space="preserve">Ms. Neidig filed her Class Action Complaint (“Complaint”) on August 3, 2022, in the Circuit Court of Jefferson County, West Virginia.</w:t>
      </w:r>
      <w:r>
        <w:rPr>
          <w:rStyle w:val="FootnoteReference"/>
        </w:rPr>
        <w:footnoteReference w:id="25"/>
      </w:r>
      <w:r>
        <w:t xml:space="preserve"> </w:t>
      </w:r>
      <w:r>
        <w:t xml:space="preserve">The Complaint named Valley as the sole defendant and asserted claims for violations of the West Virginia Consumer Credit and Protection Act (“WVCCPA”),</w:t>
      </w:r>
      <w:r>
        <w:rPr>
          <w:rStyle w:val="FootnoteReference"/>
        </w:rPr>
        <w:footnoteReference w:id="26"/>
      </w:r>
      <w:r>
        <w:t xml:space="preserve"> </w:t>
      </w:r>
      <w:r>
        <w:t xml:space="preserve">unjust enrichment,</w:t>
      </w:r>
      <w:r>
        <w:rPr>
          <w:rStyle w:val="FootnoteReference"/>
        </w:rPr>
        <w:footnoteReference w:id="27"/>
      </w:r>
      <w:r>
        <w:t xml:space="preserve"> </w:t>
      </w:r>
      <w:r>
        <w:t xml:space="preserve">and breach of contract</w:t>
      </w:r>
      <w:r>
        <w:rPr>
          <w:rStyle w:val="FootnoteReference"/>
        </w:rPr>
        <w:footnoteReference w:id="28"/>
      </w:r>
      <w:r>
        <w:t xml:space="preserve"> </w:t>
      </w:r>
      <w:r>
        <w:t xml:space="preserve">on behalf of a putative class.</w:t>
      </w:r>
      <w:r>
        <w:rPr>
          <w:rStyle w:val="FootnoteReference"/>
        </w:rPr>
        <w:footnoteReference w:id="29"/>
      </w:r>
    </w:p>
    <w:p>
      <w:pPr>
        <w:pStyle w:val="BodyTextNote"/>
      </w:pPr>
      <w:r>
        <w:t xml:space="preserve">On September 20, 2022, Valley removed this case to the U.S. District Court for the Northern District of West Virginia, under the Class Action Fairness Act.</w:t>
      </w:r>
      <w:r>
        <w:rPr>
          <w:rStyle w:val="FootnoteReference"/>
        </w:rPr>
        <w:footnoteReference w:id="30"/>
      </w:r>
      <w:r>
        <w:t xml:space="preserve"> </w:t>
      </w:r>
      <w:r>
        <w:t xml:space="preserve">A week later, Valley moved for the dismissal of the Complaint in its entirety.</w:t>
      </w:r>
      <w:r>
        <w:rPr>
          <w:rStyle w:val="FootnoteReference"/>
        </w:rPr>
        <w:footnoteReference w:id="31"/>
      </w:r>
      <w:r>
        <w:t xml:space="preserve"> </w:t>
      </w:r>
      <w:r>
        <w:t xml:space="preserve">Valley moved to dismiss under both Fed. R. Civ. P. 12(b)⁠(1) and (b)⁠(6), arguing, with regard to the former, that the federal district court lacked subject-matter jurisdiction because Ms. Neidig allegedly had not complied with pre-suit notice requirements under the MPLA.</w:t>
      </w:r>
      <w:r>
        <w:rPr>
          <w:rStyle w:val="FootnoteReference"/>
        </w:rPr>
        <w:footnoteReference w:id="32"/>
      </w:r>
      <w:r>
        <w:t xml:space="preserve"> </w:t>
      </w:r>
      <w:r>
        <w:t xml:space="preserve">As to Rule 12(b)⁠(6), Valley argued that Ms. Neidig’s claims were actually subject to the MPLA, including its two-year statute of limitations, so as to be time-barred.</w:t>
      </w:r>
      <w:r>
        <w:rPr>
          <w:rStyle w:val="FootnoteReference"/>
        </w:rPr>
        <w:footnoteReference w:id="33"/>
      </w:r>
      <w:r>
        <w:t xml:space="preserve"> </w:t>
      </w:r>
      <w:r>
        <w:t xml:space="preserve">Valley averred that this was so “for two primary reasons”: (1) because of the 2015 augmentation of the MPLA’s definition of “medical professional liability,” the statute embraced her claims generally; and (2) because</w:t>
      </w:r>
      <w:r>
        <w:t xml:space="preserve"> </w:t>
      </w:r>
      <w:r>
        <w:rPr>
          <w:i/>
          <w:iCs/>
        </w:rPr>
        <w:t xml:space="preserve">Blankenship</w:t>
      </w:r>
      <w:r>
        <w:rPr>
          <w:i/>
          <w:iCs/>
        </w:rPr>
        <w:t xml:space="preserve"> </w:t>
      </w:r>
      <w:r>
        <w:rPr>
          <w:i/>
          <w:iCs/>
        </w:rPr>
        <w:t xml:space="preserve">v. Ethicon, Inc.</w:t>
      </w:r>
      <w:r>
        <w:t xml:space="preserve"> </w:t>
      </w:r>
      <w:r>
        <w:t xml:space="preserve">was “analogous,” the court should just rely on that decision.</w:t>
      </w:r>
      <w:r>
        <w:rPr>
          <w:rStyle w:val="FootnoteReference"/>
        </w:rPr>
        <w:footnoteReference w:id="34"/>
      </w:r>
      <w:r>
        <w:t xml:space="preserve"> </w:t>
      </w:r>
      <w:r>
        <w:t xml:space="preserve">Valley’s dismissal motion did not mention the word “anchor.”</w:t>
      </w:r>
      <w:r>
        <w:rPr>
          <w:rStyle w:val="FootnoteReference"/>
        </w:rPr>
        <w:footnoteReference w:id="35"/>
      </w:r>
      <w:r>
        <w:t xml:space="preserve"> </w:t>
      </w:r>
      <w:r>
        <w:t xml:space="preserve">It did not mention the word “personal,” as in “personal injury,” either.</w:t>
      </w:r>
      <w:r>
        <w:rPr>
          <w:rStyle w:val="FootnoteReference"/>
        </w:rPr>
        <w:footnoteReference w:id="36"/>
      </w:r>
      <w:r>
        <w:t xml:space="preserve"> </w:t>
      </w:r>
      <w:r>
        <w:t xml:space="preserve">It did not address why W. Va. Code § 55-⁠7B-⁠2</w:t>
      </w:r>
      <w:r>
        <w:t xml:space="preserve">(i) includes the modifying phrase “of a person” or mention that the MPLA amended the common law of personal injury.</w:t>
      </w:r>
      <w:r>
        <w:rPr>
          <w:rStyle w:val="FootnoteReference"/>
        </w:rPr>
        <w:footnoteReference w:id="37"/>
      </w:r>
    </w:p>
    <w:p>
      <w:pPr>
        <w:pStyle w:val="BodyTextNote"/>
      </w:pPr>
      <w:r>
        <w:t xml:space="preserve">On October 31, 2022, the district court granted Valley’s dismissal motion on just the Rule 12(b)⁠(6) ground, reasoning that “there can be no doubt that a mammogram falls under the West Virginia Legislature’s definition for health care.”</w:t>
      </w:r>
      <w:r>
        <w:rPr>
          <w:rStyle w:val="FootnoteReference"/>
        </w:rPr>
        <w:footnoteReference w:id="38"/>
      </w:r>
      <w:r>
        <w:t xml:space="preserve"> </w:t>
      </w:r>
      <w:r>
        <w:t xml:space="preserve">Then, the trial court simply stated, “All of Ms. Neidig’s claims are based upon the substandard mammograms she received from Valley.”</w:t>
      </w:r>
      <w:r>
        <w:rPr>
          <w:rStyle w:val="FootnoteReference"/>
        </w:rPr>
        <w:footnoteReference w:id="39"/>
      </w:r>
      <w:r>
        <w:t xml:space="preserve"> </w:t>
      </w:r>
      <w:r>
        <w:t xml:space="preserve">Those two steps of reasoning—“health care” and contemporaneous/​related claims generally—was all that court needed to conclude that “Ms. Neidig [was] unable to escape the MPLA’s broad reach.”</w:t>
      </w:r>
      <w:r>
        <w:rPr>
          <w:rStyle w:val="FootnoteReference"/>
        </w:rPr>
        <w:footnoteReference w:id="40"/>
      </w:r>
      <w:r>
        <w:t xml:space="preserve"> </w:t>
      </w:r>
      <w:r>
        <w:t xml:space="preserve">Tracking Valley’s motion, the trial court’s dismissal order did not contain the word “anchor” or the phrase “personal injury” at all.</w:t>
      </w:r>
      <w:r>
        <w:rPr>
          <w:rStyle w:val="FootnoteReference"/>
        </w:rPr>
        <w:footnoteReference w:id="41"/>
      </w:r>
    </w:p>
    <w:p>
      <w:pPr>
        <w:pStyle w:val="BodyTextNote"/>
      </w:pPr>
      <w:r>
        <w:t xml:space="preserve">On November 28, 2022, Ms. Neidig noticed her appeal to the U.S. Court of Appeals for the Fourth Circuit.</w:t>
      </w:r>
      <w:r>
        <w:rPr>
          <w:rStyle w:val="FootnoteReference"/>
        </w:rPr>
        <w:footnoteReference w:id="42"/>
      </w:r>
      <w:r>
        <w:t xml:space="preserve"> </w:t>
      </w:r>
      <w:r>
        <w:t xml:space="preserve">In her appellate brief, filed on January 23, 2023, Ms. Neidig framed the issue on appeal:</w:t>
      </w:r>
    </w:p>
    <w:p>
      <w:pPr>
        <w:pStyle w:val="XdQuoteOnly"/>
      </w:pPr>
      <w:r>
        <w:t xml:space="preserve">Whether the four-year limitations period of West Virginia’s Consumer Credit &amp; Protection Act (“WVCCPA”), W. Va. Code § 46A-⁠6-⁠101</w:t>
      </w:r>
      <w:r>
        <w:t xml:space="preserve"> </w:t>
      </w:r>
      <w:r>
        <w:rPr>
          <w:i/>
          <w:iCs/>
        </w:rPr>
        <w:t xml:space="preserve">et seq.</w:t>
      </w:r>
      <w:r>
        <w:t xml:space="preserve"> </w:t>
      </w:r>
      <w:r>
        <w:t xml:space="preserve">governs a case against a medical provider where the damages sought are purely statutory and economic and there is no claim of bodily injury or death.</w:t>
      </w:r>
      <w:r>
        <w:rPr>
          <w:rStyle w:val="FootnoteReference"/>
        </w:rPr>
        <w:footnoteReference w:id="43"/>
      </w:r>
    </w:p>
    <w:p>
      <w:pPr>
        <w:pStyle w:val="BodyTextNote"/>
      </w:pPr>
      <w:r>
        <w:t xml:space="preserve">In her brief, Ms. Neidig argued that, because she did not allege “death or injury to her person,” the MPLA does not apply to her case.</w:t>
      </w:r>
      <w:r>
        <w:rPr>
          <w:rStyle w:val="FootnoteReference"/>
        </w:rPr>
        <w:footnoteReference w:id="44"/>
      </w:r>
      <w:r>
        <w:t xml:space="preserve"> </w:t>
      </w:r>
      <w:r>
        <w:t xml:space="preserve">Following oral argument, the U.S. Court of Appeals for the Fourth Circuit entered the order presenting to this Court the Certified Question, as stated above.</w:t>
      </w:r>
      <w:r>
        <w:rPr>
          <w:rStyle w:val="FootnoteReference"/>
        </w:rPr>
        <w:footnoteReference w:id="45"/>
      </w:r>
    </w:p>
    <w:p>
      <w:pPr>
        <w:keepNext/>
        <w:keepLines/>
        <w:spacing w:before="288" w:after="24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Note"/>
      </w:pPr>
      <w:r>
        <w:t xml:space="preserve">This is a consumer case seeking only economic losses. Ms. Neidig sued because she did not get what she paid for. She did not bring a medical malpractice action. Her claims stem from misrepresentations that lead to only economic loss without any allegations of personal injury or death. The district court’s holding improperly expanded the MPLA’s reach to include “health care”-related actions devoid of allegations of personal injury.</w:t>
      </w:r>
      <w:r>
        <w:rPr>
          <w:rStyle w:val="FootnoteReference"/>
        </w:rPr>
        <w:footnoteReference w:id="46"/>
      </w:r>
      <w:r>
        <w:t xml:space="preserve"> </w:t>
      </w:r>
      <w:r>
        <w:t xml:space="preserve">In so doing, the trial court allowed the MPLA to invade the rightful domain of the WVCCPA, impliedly providing entities covered by the MPLA carte blanche to escape liability for consumer-protection claims seeking purely economic damages.</w:t>
      </w:r>
    </w:p>
    <w:p>
      <w:pPr>
        <w:pStyle w:val="BodyText"/>
      </w:pPr>
      <w:r>
        <w:t xml:space="preserve">The MPLA applies only in cases of “medical professional liability” which statutorily requires a claim involving “death or injury of a person” to trigger the MPLA. As an “injury of a person” requires a physical or at least an emotional injury, Ms. Neidig’s claims of pure economic loss are outside the MPLA. While the MPLA can be triggered by claims that are contemporaneous to or related to an “anchor claim” under this Court’s precedents, the anchor claim must still arise from a death or injury to a person. This Court has never held to the contrary and should not do so here.</w:t>
      </w:r>
    </w:p>
    <w:p>
      <w:pPr>
        <w:keepNext/>
        <w:keepLines/>
        <w:spacing w:before="288" w:after="240" w:line="276" w:lineRule="exact"/>
        <w:ind w:left="0" w:firstLine="0"/>
        <w:jc w:val="center"/>
      </w:pPr>
      <w:r>
        <w:rPr>
          <w:b/>
          <w:bCs/>
        </w:rPr>
        <w:t xml:space="preserve">STATEMENT</w:t>
      </w:r>
      <w:r>
        <w:rPr>
          <w:b/>
          <w:bCs/>
        </w:rPr>
        <w:t xml:space="preserve"> </w:t>
      </w:r>
      <w:r>
        <w:rPr>
          <w:b/>
          <w:bCs/>
        </w:rPr>
        <w:t xml:space="preserve">REGARDING</w:t>
      </w:r>
      <w:r>
        <w:rPr>
          <w:b/>
          <w:bCs/>
        </w:rPr>
        <w:t xml:space="preserve"> </w:t>
      </w:r>
      <w:r>
        <w:rPr>
          <w:b/>
          <w:bCs/>
        </w:rPr>
        <w:t xml:space="preserve">ORAL</w:t>
      </w:r>
      <w:r>
        <w:rPr>
          <w:b/>
          <w:bCs/>
        </w:rPr>
        <w:t xml:space="preserve"> </w:t>
      </w:r>
      <w:r>
        <w:rPr>
          <w:b/>
          <w:bCs/>
        </w:rPr>
        <w:t xml:space="preserve">ARGUMENT</w:t>
      </w:r>
      <w:r>
        <w:rPr>
          <w:b/>
          <w:bCs/>
        </w:rPr>
        <w:t xml:space="preserve"> </w:t>
      </w:r>
      <w:r>
        <w:rPr>
          <w:b/>
          <w:bCs/>
        </w:rPr>
        <w:t xml:space="preserve">AND</w:t>
      </w:r>
      <w:r>
        <w:rPr>
          <w:b/>
          <w:bCs/>
        </w:rPr>
        <w:t xml:space="preserve"> </w:t>
      </w:r>
      <w:r>
        <w:rPr>
          <w:b/>
          <w:bCs/>
        </w:rPr>
        <w:t xml:space="preserve">DECISION</w:t>
      </w:r>
    </w:p>
    <w:p>
      <w:pPr>
        <w:pStyle w:val="BodyText"/>
      </w:pPr>
      <w:r>
        <w:t xml:space="preserve">Oral argument pursuant to W. Va. R. App. P. 20(a) is necessary as this appeal presents issues of first impression in a case involving issues of fundamental public importance.</w:t>
      </w:r>
    </w:p>
    <w:p>
      <w:pPr>
        <w:keepNext/>
        <w:keepLines/>
        <w:spacing w:before="288" w:after="240" w:line="276" w:lineRule="exact"/>
        <w:ind w:left="0" w:firstLine="0"/>
        <w:jc w:val="center"/>
      </w:pPr>
      <w:r>
        <w:rPr>
          <w:b/>
          <w:bCs/>
        </w:rPr>
        <w:t xml:space="preserve">ARGUMENT</w:t>
      </w:r>
    </w:p>
    <w:p>
      <w:pPr>
        <w:keepNext/>
        <w:keepLines/>
        <w:spacing w:before="288" w:after="240" w:line="276" w:lineRule="exact"/>
        <w:ind w:left="0" w:firstLine="0"/>
        <w:jc w:val="center"/>
      </w:pPr>
      <w:r>
        <w:rPr>
          <w:b/>
          <w:bCs/>
        </w:rPr>
        <w:t xml:space="preserve">I.</w:t>
      </w:r>
      <w:r>
        <w:rPr>
          <w:b/>
          <w:bCs/>
        </w:rPr>
        <w:t xml:space="preserve"> </w:t>
      </w:r>
      <w:r>
        <w:rPr>
          <w:b/>
          <w:bCs/>
        </w:rPr>
        <w:t xml:space="preserve">The</w:t>
      </w:r>
      <w:r>
        <w:rPr>
          <w:b/>
          <w:bCs/>
        </w:rPr>
        <w:t xml:space="preserve"> </w:t>
      </w:r>
      <w:r>
        <w:rPr>
          <w:b/>
          <w:bCs/>
        </w:rPr>
        <w:t xml:space="preserve">MPLA</w:t>
      </w:r>
      <w:r>
        <w:rPr>
          <w:b/>
          <w:bCs/>
        </w:rPr>
        <w:t xml:space="preserve"> </w:t>
      </w:r>
      <w:r>
        <w:rPr>
          <w:b/>
          <w:bCs/>
        </w:rPr>
        <w:t xml:space="preserve">Requires</w:t>
      </w:r>
      <w:r>
        <w:rPr>
          <w:b/>
          <w:bCs/>
        </w:rPr>
        <w:t xml:space="preserve"> </w:t>
      </w:r>
      <w:r>
        <w:rPr>
          <w:b/>
          <w:bCs/>
        </w:rPr>
        <w:t xml:space="preserve">a</w:t>
      </w:r>
      <w:r>
        <w:rPr>
          <w:b/>
          <w:bCs/>
        </w:rPr>
        <w:t xml:space="preserve"> </w:t>
      </w:r>
      <w:r>
        <w:rPr>
          <w:b/>
          <w:bCs/>
        </w:rPr>
        <w:t xml:space="preserve">Personal</w:t>
      </w:r>
      <w:r>
        <w:rPr>
          <w:b/>
          <w:bCs/>
        </w:rPr>
        <w:t xml:space="preserve"> </w:t>
      </w:r>
      <w:r>
        <w:rPr>
          <w:b/>
          <w:bCs/>
        </w:rPr>
        <w:t xml:space="preserve">Injury</w:t>
      </w:r>
      <w:r>
        <w:rPr>
          <w:b/>
          <w:bCs/>
        </w:rPr>
        <w:t xml:space="preserve"> </w:t>
      </w:r>
      <w:r>
        <w:rPr>
          <w:b/>
          <w:bCs/>
        </w:rPr>
        <w:t xml:space="preserve">or</w:t>
      </w:r>
      <w:r>
        <w:rPr>
          <w:b/>
          <w:bCs/>
        </w:rPr>
        <w:t xml:space="preserve"> </w:t>
      </w:r>
      <w:r>
        <w:rPr>
          <w:b/>
          <w:bCs/>
        </w:rPr>
        <w:t xml:space="preserve">Death.</w:t>
      </w:r>
    </w:p>
    <w:p>
      <w:pPr>
        <w:pStyle w:val="BodyTextNote"/>
      </w:pPr>
      <w:r>
        <w:t xml:space="preserve">Given that everything Valley—or any healthcare provider—sells, prices, advertises, represents, etc. will ostensibly somehow relate to “health care,” and that every civil suit will allege some kind of “injury,” a practical effect of the district court’s flawed interpretation of the MPLA is to functionally exempt healthcare providers from WVCCPA liability.</w:t>
      </w:r>
      <w:r>
        <w:rPr>
          <w:rStyle w:val="FootnoteReference"/>
        </w:rPr>
        <w:footnoteReference w:id="47"/>
      </w:r>
      <w:r>
        <w:t xml:space="preserve"> </w:t>
      </w:r>
      <w:r>
        <w:t xml:space="preserve">The district court erred by ignoring the phrase the “death or injury of a person”</w:t>
      </w:r>
      <w:r>
        <w:rPr>
          <w:rStyle w:val="FootnoteReference"/>
        </w:rPr>
        <w:footnoteReference w:id="48"/>
      </w:r>
      <w:r>
        <w:t xml:space="preserve"> </w:t>
      </w:r>
      <w:r>
        <w:t xml:space="preserve">demanded by W. Va. Code §§ 55-⁠7B-⁠2</w:t>
      </w:r>
      <w:r>
        <w:t xml:space="preserve">(i) and 55-⁠7B-⁠4</w:t>
      </w:r>
      <w:r>
        <w:t xml:space="preserve">(a)-(b) and the meaning of “medical injury,” especially as used in W. Va. Code § 55-⁠7B-⁠4</w:t>
      </w:r>
      <w:r>
        <w:t xml:space="preserve">(a)-⁠(b). In doing so, the district court lost sight of the fact that the MPLA is and always has been a personal injury statute that amended the common law of personal injury which has no application to the pure economic losses for which the WVCCPA controls.</w:t>
      </w:r>
    </w:p>
    <w:p>
      <w:pPr>
        <w:pStyle w:val="BodyText"/>
      </w:pPr>
      <w:r>
        <w:t xml:space="preserve">As explained fully below, the MPLA requires a personal injury or death to a patient to be applicable. Because Ms. Neidig has not alleged a personal injury and is very much alive, the MPLA does not apply to her case against Valley.</w:t>
      </w:r>
    </w:p>
    <w:p>
      <w:pPr>
        <w:keepNext/>
        <w:keepLines/>
        <w:spacing w:before="288" w:after="192" w:line="276"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plain</w:t>
      </w:r>
      <w:r>
        <w:rPr>
          <w:b/>
          <w:bCs/>
        </w:rPr>
        <w:t xml:space="preserve"> </w:t>
      </w:r>
      <w:r>
        <w:rPr>
          <w:b/>
          <w:bCs/>
        </w:rPr>
        <w:t xml:space="preserve">statutory</w:t>
      </w:r>
      <w:r>
        <w:rPr>
          <w:b/>
          <w:bCs/>
        </w:rPr>
        <w:t xml:space="preserve"> </w:t>
      </w:r>
      <w:r>
        <w:rPr>
          <w:b/>
          <w:bCs/>
        </w:rPr>
        <w:t xml:space="preserve">language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MPLA</w:t>
      </w:r>
      <w:r>
        <w:rPr>
          <w:b/>
          <w:bCs/>
        </w:rPr>
        <w:t xml:space="preserve"> </w:t>
      </w:r>
      <w:r>
        <w:rPr>
          <w:b/>
          <w:bCs/>
        </w:rPr>
        <w:t xml:space="preserve">limits</w:t>
      </w:r>
      <w:r>
        <w:rPr>
          <w:b/>
          <w:bCs/>
        </w:rPr>
        <w:t xml:space="preserve"> </w:t>
      </w:r>
      <w:r>
        <w:rPr>
          <w:b/>
          <w:bCs/>
        </w:rPr>
        <w:t xml:space="preserve">its</w:t>
      </w:r>
      <w:r>
        <w:rPr>
          <w:b/>
          <w:bCs/>
        </w:rPr>
        <w:t xml:space="preserve"> </w:t>
      </w:r>
      <w:r>
        <w:rPr>
          <w:b/>
          <w:bCs/>
        </w:rPr>
        <w:t xml:space="preserve">applicability</w:t>
      </w:r>
      <w:r>
        <w:rPr>
          <w:b/>
          <w:bCs/>
        </w:rPr>
        <w:t xml:space="preserve"> </w:t>
      </w:r>
      <w:r>
        <w:rPr>
          <w:b/>
          <w:bCs/>
        </w:rPr>
        <w:t xml:space="preserve">to</w:t>
      </w:r>
      <w:r>
        <w:rPr>
          <w:b/>
          <w:bCs/>
        </w:rPr>
        <w:t xml:space="preserve"> </w:t>
      </w:r>
      <w:r>
        <w:rPr>
          <w:b/>
          <w:bCs/>
        </w:rPr>
        <w:t xml:space="preserve">claims</w:t>
      </w:r>
      <w:r>
        <w:rPr>
          <w:b/>
          <w:bCs/>
        </w:rPr>
        <w:t xml:space="preserve"> </w:t>
      </w:r>
      <w:r>
        <w:rPr>
          <w:b/>
          <w:bCs/>
        </w:rPr>
        <w:t xml:space="preserve">involving</w:t>
      </w:r>
      <w:r>
        <w:rPr>
          <w:b/>
          <w:bCs/>
        </w:rPr>
        <w:t xml:space="preserve"> </w:t>
      </w:r>
      <w:r>
        <w:rPr>
          <w:b/>
          <w:bCs/>
        </w:rPr>
        <w:t xml:space="preserve">physical</w:t>
      </w:r>
      <w:r>
        <w:rPr>
          <w:b/>
          <w:bCs/>
        </w:rPr>
        <w:t xml:space="preserve"> </w:t>
      </w:r>
      <w:r>
        <w:rPr>
          <w:b/>
          <w:bCs/>
        </w:rPr>
        <w:t xml:space="preserve">or</w:t>
      </w:r>
      <w:r>
        <w:rPr>
          <w:b/>
          <w:bCs/>
        </w:rPr>
        <w:t xml:space="preserve"> </w:t>
      </w:r>
      <w:r>
        <w:rPr>
          <w:b/>
          <w:bCs/>
        </w:rPr>
        <w:t xml:space="preserve">emotional</w:t>
      </w:r>
      <w:r>
        <w:rPr>
          <w:b/>
          <w:bCs/>
        </w:rPr>
        <w:t xml:space="preserve"> </w:t>
      </w:r>
      <w:r>
        <w:rPr>
          <w:b/>
          <w:bCs/>
        </w:rPr>
        <w:t xml:space="preserve">injury.</w:t>
      </w:r>
    </w:p>
    <w:p>
      <w:pPr>
        <w:pStyle w:val="BodyTextNote"/>
      </w:pPr>
      <w:r>
        <w:t xml:space="preserve">As the Fourth Circuit recognized, the MPLA applies only when a plaintiff sues for “‘medical professional liability’ as those terms are defined under the Act.”</w:t>
      </w:r>
      <w:r>
        <w:rPr>
          <w:rStyle w:val="FootnoteReference"/>
        </w:rPr>
        <w:footnoteReference w:id="49"/>
      </w:r>
      <w:r>
        <w:t xml:space="preserve"> </w:t>
      </w:r>
      <w:r>
        <w:t xml:space="preserve">The MPLA defines “[m]edical professional liability” as</w:t>
      </w:r>
    </w:p>
    <w:p>
      <w:pPr>
        <w:pStyle w:val="XdQuoteOnly"/>
      </w:pPr>
      <w:r>
        <w:t xml:space="preserve">any liability for damages resulting from the death or injury of a person for any tort or breach of contract based on health care services rendered, or which should have been rendered, by a health care provider or health care facility to a patient. It also means other claims that may be contemporaneous to or related to the alleged tort or breach of contract or otherwise provided, all in the context of rendering health care services.</w:t>
      </w:r>
      <w:r>
        <w:rPr>
          <w:rStyle w:val="FootnoteReference"/>
        </w:rPr>
        <w:footnoteReference w:id="50"/>
      </w:r>
    </w:p>
    <w:p>
      <w:pPr>
        <w:pStyle w:val="BodyTextNote"/>
      </w:pPr>
      <w:r>
        <w:t xml:space="preserve">Ms. Neidig’s claims do not meet the definition of medical professional liability claims as they are not claims for “damages resulting from the death or injury of a person” because she claims no physical or emotional injury.</w:t>
      </w:r>
      <w:r>
        <w:rPr>
          <w:rStyle w:val="FootnoteReference"/>
        </w:rPr>
        <w:footnoteReference w:id="51"/>
      </w:r>
    </w:p>
    <w:p>
      <w:pPr>
        <w:keepNext/>
        <w:keepLines/>
        <w:spacing w:before="240" w:after="144" w:line="276" w:lineRule="exact"/>
        <w:ind w:left="720" w:hanging="720"/>
        <w:jc w:val="left"/>
      </w:pPr>
      <w:r>
        <w:rPr>
          <w:b/>
          <w:bCs/>
          <w:i/>
          <w:iCs/>
        </w:rPr>
        <w:t xml:space="preserve">1.</w:t>
      </w:r>
      <w:r>
        <w:rPr>
          <w:b/>
          <w:bCs/>
          <w:i/>
          <w:iCs/>
        </w:rPr>
        <w:t xml:space="preserve"> </w:t>
      </w:r>
      <w:r>
        <w:rPr>
          <w:b/>
          <w:bCs/>
          <w:i/>
          <w:iCs/>
        </w:rPr>
        <w:t xml:space="preserve">The</w:t>
      </w:r>
      <w:r>
        <w:rPr>
          <w:b/>
          <w:bCs/>
          <w:i/>
          <w:iCs/>
        </w:rPr>
        <w:t xml:space="preserve"> </w:t>
      </w:r>
      <w:r>
        <w:rPr>
          <w:b/>
          <w:bCs/>
          <w:i/>
          <w:iCs/>
        </w:rPr>
        <w:t xml:space="preserve">plain</w:t>
      </w:r>
      <w:r>
        <w:rPr>
          <w:b/>
          <w:bCs/>
          <w:i/>
          <w:iCs/>
        </w:rPr>
        <w:t xml:space="preserve"> </w:t>
      </w:r>
      <w:r>
        <w:rPr>
          <w:b/>
          <w:bCs/>
          <w:i/>
          <w:iCs/>
        </w:rPr>
        <w:t xml:space="preserve">meaning</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phrase</w:t>
      </w:r>
      <w:r>
        <w:rPr>
          <w:b/>
          <w:bCs/>
          <w:i/>
          <w:iCs/>
        </w:rPr>
        <w:t xml:space="preserve"> </w:t>
      </w:r>
      <w:r>
        <w:rPr>
          <w:b/>
          <w:bCs/>
          <w:i/>
          <w:iCs/>
        </w:rPr>
        <w:t xml:space="preserve">“death</w:t>
      </w:r>
      <w:r>
        <w:rPr>
          <w:b/>
          <w:bCs/>
          <w:i/>
          <w:iCs/>
        </w:rPr>
        <w:t xml:space="preserve"> </w:t>
      </w:r>
      <w:r>
        <w:rPr>
          <w:b/>
          <w:bCs/>
          <w:i/>
          <w:iCs/>
        </w:rPr>
        <w:t xml:space="preserve">or</w:t>
      </w:r>
      <w:r>
        <w:rPr>
          <w:b/>
          <w:bCs/>
          <w:i/>
          <w:iCs/>
        </w:rPr>
        <w:t xml:space="preserve"> </w:t>
      </w:r>
      <w:r>
        <w:rPr>
          <w:b/>
          <w:bCs/>
          <w:i/>
          <w:iCs/>
        </w:rPr>
        <w:t xml:space="preserve">injury</w:t>
      </w:r>
      <w:r>
        <w:rPr>
          <w:b/>
          <w:bCs/>
          <w:i/>
          <w:iCs/>
        </w:rPr>
        <w:t xml:space="preserve"> </w:t>
      </w:r>
      <w:r>
        <w:rPr>
          <w:b/>
          <w:bCs/>
          <w:i/>
          <w:iCs/>
        </w:rPr>
        <w:t xml:space="preserve">of</w:t>
      </w:r>
      <w:r>
        <w:rPr>
          <w:b/>
          <w:bCs/>
          <w:i/>
          <w:iCs/>
        </w:rPr>
        <w:t xml:space="preserve"> </w:t>
      </w:r>
      <w:r>
        <w:rPr>
          <w:b/>
          <w:bCs/>
          <w:i/>
          <w:iCs/>
        </w:rPr>
        <w:t xml:space="preserve">a</w:t>
      </w:r>
      <w:r>
        <w:rPr>
          <w:b/>
          <w:bCs/>
          <w:i/>
          <w:iCs/>
        </w:rPr>
        <w:t xml:space="preserve"> </w:t>
      </w:r>
      <w:r>
        <w:rPr>
          <w:b/>
          <w:bCs/>
          <w:i/>
          <w:iCs/>
        </w:rPr>
        <w:t xml:space="preserve">person”</w:t>
      </w:r>
      <w:r>
        <w:rPr>
          <w:b/>
          <w:bCs/>
          <w:i/>
          <w:iCs/>
        </w:rPr>
        <w:t xml:space="preserve"> </w:t>
      </w:r>
      <w:r>
        <w:rPr>
          <w:b/>
          <w:bCs/>
          <w:i/>
          <w:iCs/>
        </w:rPr>
        <w:t xml:space="preserve">is</w:t>
      </w:r>
      <w:r>
        <w:rPr>
          <w:b/>
          <w:bCs/>
          <w:i/>
          <w:iCs/>
        </w:rPr>
        <w:t xml:space="preserve"> </w:t>
      </w:r>
      <w:r>
        <w:rPr>
          <w:b/>
          <w:bCs/>
          <w:i/>
          <w:iCs/>
        </w:rPr>
        <w:t xml:space="preserve">a</w:t>
      </w:r>
      <w:r>
        <w:rPr>
          <w:b/>
          <w:bCs/>
          <w:i/>
          <w:iCs/>
        </w:rPr>
        <w:t xml:space="preserve"> </w:t>
      </w:r>
      <w:r>
        <w:rPr>
          <w:b/>
          <w:bCs/>
          <w:i/>
          <w:iCs/>
        </w:rPr>
        <w:t xml:space="preserve">personal</w:t>
      </w:r>
      <w:r>
        <w:rPr>
          <w:b/>
          <w:bCs/>
          <w:i/>
          <w:iCs/>
        </w:rPr>
        <w:t xml:space="preserve"> </w:t>
      </w:r>
      <w:r>
        <w:rPr>
          <w:b/>
          <w:bCs/>
          <w:i/>
          <w:iCs/>
        </w:rPr>
        <w:t xml:space="preserve">injury.</w:t>
      </w:r>
    </w:p>
    <w:p>
      <w:pPr>
        <w:pStyle w:val="BodyTextNote"/>
      </w:pPr>
      <w:r>
        <w:t xml:space="preserve">In the Fourth Circuit, Valley argued that the MPLA does not demand a personal injury.</w:t>
      </w:r>
      <w:r>
        <w:rPr>
          <w:rStyle w:val="FootnoteReference"/>
        </w:rPr>
        <w:footnoteReference w:id="52"/>
      </w:r>
      <w:r>
        <w:t xml:space="preserve"> </w:t>
      </w:r>
      <w:r>
        <w:t xml:space="preserve">Citing</w:t>
      </w:r>
      <w:r>
        <w:t xml:space="preserve"> </w:t>
      </w:r>
      <w:r>
        <w:rPr>
          <w:i/>
          <w:iCs/>
        </w:rPr>
        <w:t xml:space="preserve">Black’s Law Dictionary</w:t>
      </w:r>
      <w:r>
        <w:t xml:space="preserve">, Valley argued that, because the Legislature used the phrase “personal injury” in another statute, it “knows the difference” and thereby intended for West Virginia’s primary medical professional liability statute to, inexplicably, pertain to harms that have nothing to do with medical injury, even though that adjective is used throughout the statute.</w:t>
      </w:r>
      <w:r>
        <w:rPr>
          <w:rStyle w:val="FootnoteReference"/>
        </w:rPr>
        <w:footnoteReference w:id="53"/>
      </w:r>
      <w:r>
        <w:t xml:space="preserve"> </w:t>
      </w:r>
      <w:r>
        <w:t xml:space="preserve">Of course, Valley has no explanation why the Legislature did specify that “medical professional liability” concerns “death or injury of a person”</w:t>
      </w:r>
      <w:r>
        <w:rPr>
          <w:rStyle w:val="FootnoteReference"/>
        </w:rPr>
        <w:footnoteReference w:id="54"/>
      </w:r>
      <w:r>
        <w:t xml:space="preserve"> </w:t>
      </w:r>
      <w:r>
        <w:t xml:space="preserve">and what that means if it does not refer to, again, personal injury.</w:t>
      </w:r>
    </w:p>
    <w:p>
      <w:pPr>
        <w:pStyle w:val="BodyText"/>
      </w:pPr>
      <w:r>
        <w:t xml:space="preserve">The Legislature did not define medical professional liability as merely “death or injury” negating Valley’s argument that the West Virginia Legislature intended “injury” to be something broader than personal injury.</w:t>
      </w:r>
    </w:p>
    <w:p>
      <w:pPr>
        <w:pStyle w:val="BodyTextNote"/>
      </w:pPr>
      <w:r>
        <w:t xml:space="preserve">Valley’s reading of the statute improperly reads the phrase “of a person” out of the statute.</w:t>
      </w:r>
      <w:r>
        <w:rPr>
          <w:rStyle w:val="FootnoteReference"/>
        </w:rPr>
        <w:footnoteReference w:id="55"/>
      </w:r>
      <w:r>
        <w:t xml:space="preserve"> </w:t>
      </w:r>
      <w:r>
        <w:t xml:space="preserve">Indeed, as the Fourth Circuit noted: “[t]he definition of ‘[m]edical professional liability’ at issue here… places ‘injury’ alongside ‘death,’ again most naturally encompassing physical injury arising from medical malpractice.”</w:t>
      </w:r>
      <w:r>
        <w:rPr>
          <w:rStyle w:val="FootnoteReference"/>
        </w:rPr>
        <w:footnoteReference w:id="56"/>
      </w:r>
      <w:r>
        <w:t xml:space="preserve"> </w:t>
      </w:r>
      <w:r>
        <w:t xml:space="preserve">Thus, the plain meaning of the phrase “death or injury of a person” is a personal injury.</w:t>
      </w:r>
    </w:p>
    <w:p>
      <w:pPr>
        <w:pStyle w:val="BodyTextNote"/>
      </w:pPr>
      <w:r>
        <w:t xml:space="preserve">Elsewhere, the Legislature has used the terms personal injury and injury of a person interchangeably in the same statutes.</w:t>
      </w:r>
      <w:r>
        <w:rPr>
          <w:rStyle w:val="FootnoteReference"/>
        </w:rPr>
        <w:footnoteReference w:id="57"/>
      </w:r>
      <w:r>
        <w:t xml:space="preserve"> </w:t>
      </w:r>
      <w:r>
        <w:t xml:space="preserve">And, where the Legislature intends to include economic injuries in addition to injuries to a person, it does so explicitly.</w:t>
      </w:r>
      <w:r>
        <w:rPr>
          <w:rStyle w:val="FootnoteReference"/>
        </w:rPr>
        <w:footnoteReference w:id="58"/>
      </w:r>
    </w:p>
    <w:p>
      <w:pPr>
        <w:keepNext/>
        <w:keepLines/>
        <w:spacing w:before="240" w:after="144" w:line="276" w:lineRule="exact"/>
        <w:ind w:left="720" w:hanging="720"/>
        <w:jc w:val="left"/>
      </w:pPr>
      <w:r>
        <w:rPr>
          <w:b/>
          <w:bCs/>
          <w:i/>
          <w:iCs/>
        </w:rPr>
        <w:t xml:space="preserve">2.</w:t>
      </w:r>
      <w:r>
        <w:rPr>
          <w:b/>
          <w:bCs/>
          <w:i/>
          <w:iCs/>
        </w:rPr>
        <w:t xml:space="preserve"> </w:t>
      </w:r>
      <w:r>
        <w:rPr>
          <w:b/>
          <w:bCs/>
          <w:i/>
          <w:iCs/>
        </w:rPr>
        <w:t xml:space="preserve">Other</w:t>
      </w:r>
      <w:r>
        <w:rPr>
          <w:b/>
          <w:bCs/>
          <w:i/>
          <w:iCs/>
        </w:rPr>
        <w:t xml:space="preserve"> </w:t>
      </w:r>
      <w:r>
        <w:rPr>
          <w:b/>
          <w:bCs/>
          <w:i/>
          <w:iCs/>
        </w:rPr>
        <w:t xml:space="preserve">provisions</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MPLA</w:t>
      </w:r>
      <w:r>
        <w:rPr>
          <w:b/>
          <w:bCs/>
          <w:i/>
          <w:iCs/>
        </w:rPr>
        <w:t xml:space="preserve"> </w:t>
      </w:r>
      <w:r>
        <w:rPr>
          <w:b/>
          <w:bCs/>
          <w:i/>
          <w:iCs/>
        </w:rPr>
        <w:t xml:space="preserve">confirm</w:t>
      </w:r>
      <w:r>
        <w:rPr>
          <w:b/>
          <w:bCs/>
          <w:i/>
          <w:iCs/>
        </w:rPr>
        <w:t xml:space="preserve"> </w:t>
      </w:r>
      <w:r>
        <w:rPr>
          <w:b/>
          <w:bCs/>
          <w:i/>
          <w:iCs/>
        </w:rPr>
        <w:t xml:space="preserve">that</w:t>
      </w:r>
      <w:r>
        <w:rPr>
          <w:b/>
          <w:bCs/>
          <w:i/>
          <w:iCs/>
        </w:rPr>
        <w:t xml:space="preserve"> </w:t>
      </w:r>
      <w:r>
        <w:rPr>
          <w:b/>
          <w:bCs/>
          <w:i/>
          <w:iCs/>
        </w:rPr>
        <w:t xml:space="preserve">it</w:t>
      </w:r>
      <w:r>
        <w:rPr>
          <w:b/>
          <w:bCs/>
          <w:i/>
          <w:iCs/>
        </w:rPr>
        <w:t xml:space="preserve"> </w:t>
      </w:r>
      <w:r>
        <w:rPr>
          <w:b/>
          <w:bCs/>
          <w:i/>
          <w:iCs/>
        </w:rPr>
        <w:t xml:space="preserve">only</w:t>
      </w:r>
      <w:r>
        <w:rPr>
          <w:b/>
          <w:bCs/>
          <w:i/>
          <w:iCs/>
        </w:rPr>
        <w:t xml:space="preserve"> </w:t>
      </w:r>
      <w:r>
        <w:rPr>
          <w:b/>
          <w:bCs/>
          <w:i/>
          <w:iCs/>
        </w:rPr>
        <w:t xml:space="preserve">applies</w:t>
      </w:r>
      <w:r>
        <w:rPr>
          <w:b/>
          <w:bCs/>
          <w:i/>
          <w:iCs/>
        </w:rPr>
        <w:t xml:space="preserve"> </w:t>
      </w:r>
      <w:r>
        <w:rPr>
          <w:b/>
          <w:bCs/>
          <w:i/>
          <w:iCs/>
        </w:rPr>
        <w:t xml:space="preserve">in</w:t>
      </w:r>
      <w:r>
        <w:rPr>
          <w:b/>
          <w:bCs/>
          <w:i/>
          <w:iCs/>
        </w:rPr>
        <w:t xml:space="preserve"> </w:t>
      </w:r>
      <w:r>
        <w:rPr>
          <w:b/>
          <w:bCs/>
          <w:i/>
          <w:iCs/>
        </w:rPr>
        <w:t xml:space="preserve">the</w:t>
      </w:r>
      <w:r>
        <w:rPr>
          <w:b/>
          <w:bCs/>
          <w:i/>
          <w:iCs/>
        </w:rPr>
        <w:t xml:space="preserve"> </w:t>
      </w:r>
      <w:r>
        <w:rPr>
          <w:b/>
          <w:bCs/>
          <w:i/>
          <w:iCs/>
        </w:rPr>
        <w:t xml:space="preserve">case</w:t>
      </w:r>
      <w:r>
        <w:rPr>
          <w:b/>
          <w:bCs/>
          <w:i/>
          <w:iCs/>
        </w:rPr>
        <w:t xml:space="preserve"> </w:t>
      </w:r>
      <w:r>
        <w:rPr>
          <w:b/>
          <w:bCs/>
          <w:i/>
          <w:iCs/>
        </w:rPr>
        <w:t xml:space="preserve">of</w:t>
      </w:r>
      <w:r>
        <w:rPr>
          <w:b/>
          <w:bCs/>
          <w:i/>
          <w:iCs/>
        </w:rPr>
        <w:t xml:space="preserve"> </w:t>
      </w:r>
      <w:r>
        <w:rPr>
          <w:b/>
          <w:bCs/>
          <w:i/>
          <w:iCs/>
        </w:rPr>
        <w:t xml:space="preserve">death</w:t>
      </w:r>
      <w:r>
        <w:rPr>
          <w:b/>
          <w:bCs/>
          <w:i/>
          <w:iCs/>
        </w:rPr>
        <w:t xml:space="preserve"> </w:t>
      </w:r>
      <w:r>
        <w:rPr>
          <w:b/>
          <w:bCs/>
          <w:i/>
          <w:iCs/>
        </w:rPr>
        <w:t xml:space="preserve">or</w:t>
      </w:r>
      <w:r>
        <w:rPr>
          <w:b/>
          <w:bCs/>
          <w:i/>
          <w:iCs/>
        </w:rPr>
        <w:t xml:space="preserve"> </w:t>
      </w:r>
      <w:r>
        <w:rPr>
          <w:b/>
          <w:bCs/>
          <w:i/>
          <w:iCs/>
        </w:rPr>
        <w:t xml:space="preserve">personal</w:t>
      </w:r>
      <w:r>
        <w:rPr>
          <w:b/>
          <w:bCs/>
          <w:i/>
          <w:iCs/>
        </w:rPr>
        <w:t xml:space="preserve"> </w:t>
      </w:r>
      <w:r>
        <w:rPr>
          <w:b/>
          <w:bCs/>
          <w:i/>
          <w:iCs/>
        </w:rPr>
        <w:t xml:space="preserve">injury.</w:t>
      </w:r>
    </w:p>
    <w:p>
      <w:pPr>
        <w:pStyle w:val="BodyTextNote"/>
      </w:pPr>
      <w:r>
        <w:t xml:space="preserve">Other MPLA provisions confirm that death or a physical/​emotional injury is required to trigger the MPLA. The MPLA defines “[i]njury” as “injury or death to a patient arising or resulting from the rendering of or failure to render health care.” W. Va. Code § 55-⁠7B-⁠2</w:t>
      </w:r>
      <w:r>
        <w:t xml:space="preserve">(h). And, as the Fourth Circuit noted, “[t]his definition, in the medical context, most naturally points to a physical injury, particularly because [the MPLA] provides a single definition defining ‘Injury’ and ‘Medical injury’ together.”</w:t>
      </w:r>
      <w:r>
        <w:rPr>
          <w:rStyle w:val="FootnoteReference"/>
        </w:rPr>
        <w:footnoteReference w:id="59"/>
      </w:r>
      <w:r>
        <w:t xml:space="preserve"> </w:t>
      </w:r>
      <w:r>
        <w:t xml:space="preserve">Relatedly, Valley completely ignores the MPLA’s use of “medical injury” throughout the statute, including in the right-of-action provision that would apply to Ms. Neidig.</w:t>
      </w:r>
      <w:r>
        <w:rPr>
          <w:rStyle w:val="FootnoteReference"/>
        </w:rPr>
        <w:footnoteReference w:id="60"/>
      </w:r>
    </w:p>
    <w:p>
      <w:pPr>
        <w:pStyle w:val="BodyTextNote"/>
      </w:pPr>
      <w:r>
        <w:t xml:space="preserve">Moreover, if the MPLA applies in cases involving only economic injuries, this would lead to absurd results in the application of its other provisions. For example, an MPLA claim requires that the plaintiff establish that “the health care provider failed to exercise that degree of care, skill and learning required or expected of a reasonable, prudent health care provider in the profession or class to which the health care provider belongs acting in the same or similar circumstances.”</w:t>
      </w:r>
      <w:r>
        <w:rPr>
          <w:rStyle w:val="FootnoteReference"/>
        </w:rPr>
        <w:footnoteReference w:id="61"/>
      </w:r>
      <w:r>
        <w:t xml:space="preserve"> </w:t>
      </w:r>
      <w:r>
        <w:t xml:space="preserve">While this standard makes sense in the context of a professional negligence claim, application to economic loss cases would be strained at best.</w:t>
      </w:r>
    </w:p>
    <w:p>
      <w:pPr>
        <w:pStyle w:val="BodyTextNote"/>
      </w:pPr>
      <w:r>
        <w:t xml:space="preserve">The results become even more absurd when one tries to apply the MPLA’s provisions regarding prerequisites for suit to cases of economic injury only. In cases where expert testimony is necessary, the putative MPLA plaintiff is required to file a screening certificate of merit that is “executed under oath by a health care provider who… [d]evoted, at the time of medical injury, 60 percent of his or her professional time annually to the active clinical practice in his or her medical field or specialty, or to teaching in his or her medical field or specialty in an accredited university.”</w:t>
      </w:r>
      <w:r>
        <w:rPr>
          <w:rStyle w:val="FootnoteReference"/>
        </w:rPr>
        <w:footnoteReference w:id="62"/>
      </w:r>
      <w:r>
        <w:t xml:space="preserve"> </w:t>
      </w:r>
      <w:r>
        <w:t xml:space="preserve">The expert health care provider providing the screening certificate of merit must also meet two of the expert witness requirements – that the medical expert “maintains a current license to practice medicine with the appropriate licensing authority of any state of the United States” and that “the expert witness is engaged or qualified in a medical field in which the practitioner has experience and/​or training in diagnosing or treating injuries or conditions similar to those of the patient.”</w:t>
      </w:r>
      <w:r>
        <w:rPr>
          <w:rStyle w:val="FootnoteReference"/>
        </w:rPr>
        <w:footnoteReference w:id="63"/>
      </w:r>
      <w:r>
        <w:t xml:space="preserve"> </w:t>
      </w:r>
      <w:r>
        <w:t xml:space="preserve">For expert trial testimony in a MPLA action, in addition to the licensing and practice requirements also applicable to the screening certificate of merit,</w:t>
      </w:r>
      <w:r>
        <w:rPr>
          <w:rStyle w:val="FootnoteReference"/>
        </w:rPr>
        <w:footnoteReference w:id="64"/>
      </w:r>
      <w:r>
        <w:t xml:space="preserve"> </w:t>
      </w:r>
      <w:r>
        <w:t xml:space="preserve">the expert must meet several additional provisions including: that the expert’s “opinion can be testified to with reasonable medical probability”</w:t>
      </w:r>
      <w:r>
        <w:rPr>
          <w:rStyle w:val="FootnoteReference"/>
        </w:rPr>
        <w:footnoteReference w:id="65"/>
      </w:r>
      <w:r>
        <w:t xml:space="preserve"> </w:t>
      </w:r>
      <w:r>
        <w:t xml:space="preserve">and that “(4) the expert witness’s opinion is grounded on scientifically valid peer-reviewed studies if available.”</w:t>
      </w:r>
      <w:r>
        <w:rPr>
          <w:rStyle w:val="FootnoteReference"/>
        </w:rPr>
        <w:footnoteReference w:id="66"/>
      </w:r>
    </w:p>
    <w:p>
      <w:pPr>
        <w:pStyle w:val="BodyTextNote"/>
      </w:pPr>
      <w:r>
        <w:t xml:space="preserve">These provisions make little sense in the context of cases involving only economic losses. Courts will struggle on how to apply them and reach absurd results that will be appealed. The existence of these absurd results is strong evidence that the MPLA was intended to only apply to injuries to a person that manifest physically.</w:t>
      </w:r>
      <w:r>
        <w:rPr>
          <w:rStyle w:val="FootnoteReference"/>
        </w:rPr>
        <w:footnoteReference w:id="67"/>
      </w:r>
    </w:p>
    <w:p>
      <w:pPr>
        <w:pStyle w:val="BodyText"/>
      </w:pPr>
      <w:r>
        <w:t xml:space="preserve">*****</w:t>
      </w:r>
    </w:p>
    <w:p>
      <w:pPr>
        <w:pStyle w:val="BodyTextNote"/>
      </w:pPr>
      <w:r>
        <w:t xml:space="preserve">Because of its failure to properly place the MPLA in the context of personal injury or wrongful death claims, Valley misconstrues the statute, resulting in a version of the MPLA where all one needs to trigger coverage is an “injury” of any kind that is somehow derived from “health care.”</w:t>
      </w:r>
      <w:r>
        <w:rPr>
          <w:rStyle w:val="FootnoteReference"/>
        </w:rPr>
        <w:footnoteReference w:id="68"/>
      </w:r>
      <w:r>
        <w:t xml:space="preserve"> </w:t>
      </w:r>
      <w:r>
        <w:t xml:space="preserve">This is not what the Legislature provided for in the MPLA, nor what it intended.</w:t>
      </w:r>
    </w:p>
    <w:p>
      <w:pPr>
        <w:keepNext/>
        <w:keepLines/>
        <w:spacing w:before="288" w:after="192" w:line="276" w:lineRule="exact"/>
        <w:ind w:left="720" w:hanging="720"/>
        <w:jc w:val="left"/>
      </w:pPr>
      <w:r>
        <w:rPr>
          <w:b/>
          <w:bCs/>
        </w:rPr>
        <w:t xml:space="preserve">B.</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long</w:t>
      </w:r>
      <w:r>
        <w:rPr>
          <w:b/>
          <w:bCs/>
        </w:rPr>
        <w:t xml:space="preserve"> </w:t>
      </w:r>
      <w:r>
        <w:rPr>
          <w:b/>
          <w:bCs/>
        </w:rPr>
        <w:t xml:space="preserve">recognized</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MPLA</w:t>
      </w:r>
      <w:r>
        <w:rPr>
          <w:b/>
          <w:bCs/>
        </w:rPr>
        <w:t xml:space="preserve"> </w:t>
      </w:r>
      <w:r>
        <w:rPr>
          <w:b/>
          <w:bCs/>
        </w:rPr>
        <w:t xml:space="preserve">amended</w:t>
      </w:r>
      <w:r>
        <w:rPr>
          <w:b/>
          <w:bCs/>
        </w:rPr>
        <w:t xml:space="preserve"> </w:t>
      </w:r>
      <w:r>
        <w:rPr>
          <w:b/>
          <w:bCs/>
        </w:rPr>
        <w:t xml:space="preserve">the</w:t>
      </w:r>
      <w:r>
        <w:rPr>
          <w:b/>
          <w:bCs/>
        </w:rPr>
        <w:t xml:space="preserve"> </w:t>
      </w:r>
      <w:r>
        <w:rPr>
          <w:b/>
          <w:bCs/>
        </w:rPr>
        <w:t xml:space="preserve">common</w:t>
      </w:r>
      <w:r>
        <w:rPr>
          <w:b/>
          <w:bCs/>
        </w:rPr>
        <w:t xml:space="preserve"> </w:t>
      </w:r>
      <w:r>
        <w:rPr>
          <w:b/>
          <w:bCs/>
        </w:rPr>
        <w:t xml:space="preserve">law</w:t>
      </w:r>
      <w:r>
        <w:rPr>
          <w:b/>
          <w:bCs/>
        </w:rPr>
        <w:t xml:space="preserve"> </w:t>
      </w:r>
      <w:r>
        <w:rPr>
          <w:b/>
          <w:bCs/>
        </w:rPr>
        <w:t xml:space="preserve">with</w:t>
      </w:r>
      <w:r>
        <w:rPr>
          <w:b/>
          <w:bCs/>
        </w:rPr>
        <w:t xml:space="preserve"> </w:t>
      </w:r>
      <w:r>
        <w:rPr>
          <w:b/>
          <w:bCs/>
        </w:rPr>
        <w:t xml:space="preserve">respect</w:t>
      </w:r>
      <w:r>
        <w:rPr>
          <w:b/>
          <w:bCs/>
        </w:rPr>
        <w:t xml:space="preserve"> </w:t>
      </w:r>
      <w:r>
        <w:rPr>
          <w:b/>
          <w:bCs/>
        </w:rPr>
        <w:t xml:space="preserve">to</w:t>
      </w:r>
      <w:r>
        <w:rPr>
          <w:b/>
          <w:bCs/>
        </w:rPr>
        <w:t xml:space="preserve"> </w:t>
      </w:r>
      <w:r>
        <w:rPr>
          <w:b/>
          <w:bCs/>
        </w:rPr>
        <w:t xml:space="preserve">claims</w:t>
      </w:r>
      <w:r>
        <w:rPr>
          <w:b/>
          <w:bCs/>
        </w:rPr>
        <w:t xml:space="preserve"> </w:t>
      </w:r>
      <w:r>
        <w:rPr>
          <w:b/>
          <w:bCs/>
        </w:rPr>
        <w:t xml:space="preserve">predicated</w:t>
      </w:r>
      <w:r>
        <w:rPr>
          <w:b/>
          <w:bCs/>
        </w:rPr>
        <w:t xml:space="preserve"> </w:t>
      </w:r>
      <w:r>
        <w:rPr>
          <w:b/>
          <w:bCs/>
        </w:rPr>
        <w:t xml:space="preserve">upon</w:t>
      </w:r>
      <w:r>
        <w:rPr>
          <w:b/>
          <w:bCs/>
        </w:rPr>
        <w:t xml:space="preserve"> </w:t>
      </w:r>
      <w:r>
        <w:rPr>
          <w:b/>
          <w:bCs/>
        </w:rPr>
        <w:t xml:space="preserve">personal</w:t>
      </w:r>
      <w:r>
        <w:rPr>
          <w:b/>
          <w:bCs/>
        </w:rPr>
        <w:t xml:space="preserve"> </w:t>
      </w:r>
      <w:r>
        <w:rPr>
          <w:b/>
          <w:bCs/>
        </w:rPr>
        <w:t xml:space="preserve">injury</w:t>
      </w:r>
      <w:r>
        <w:rPr>
          <w:b/>
          <w:bCs/>
        </w:rPr>
        <w:t xml:space="preserve"> </w:t>
      </w:r>
      <w:r>
        <w:rPr>
          <w:b/>
          <w:bCs/>
        </w:rPr>
        <w:t xml:space="preserve">or</w:t>
      </w:r>
      <w:r>
        <w:rPr>
          <w:b/>
          <w:bCs/>
        </w:rPr>
        <w:t xml:space="preserve"> </w:t>
      </w:r>
      <w:r>
        <w:rPr>
          <w:b/>
          <w:bCs/>
        </w:rPr>
        <w:t xml:space="preserve">death.</w:t>
      </w:r>
    </w:p>
    <w:p>
      <w:pPr>
        <w:pStyle w:val="BodyTextNote"/>
      </w:pPr>
      <w:r>
        <w:t xml:space="preserve">Repeatedly, this Court has acknowledged instances where the MPLA abrogates common law tort claims; however, those cases explicitly involved personal injury or wrongful death claims. “Thus, through the MPLA, the Legislature enacted a number of changes in the common law surrounding personal injury and wrongful death actions as applied to medical malpractice cases.”</w:t>
      </w:r>
      <w:r>
        <w:rPr>
          <w:rStyle w:val="FootnoteReference"/>
        </w:rPr>
        <w:footnoteReference w:id="69"/>
      </w:r>
      <w:r>
        <w:t xml:space="preserve"> </w:t>
      </w:r>
      <w:r>
        <w:t xml:space="preserve">In previously considering the MPLA’s statute of limitations, it held, “that once a patient is aware, or should reasonably have become aware, that medical treatment by a particular party has caused a personal injury, the statute begins.”</w:t>
      </w:r>
      <w:r>
        <w:rPr>
          <w:rStyle w:val="FootnoteReference"/>
        </w:rPr>
        <w:footnoteReference w:id="70"/>
      </w:r>
      <w:r>
        <w:t xml:space="preserve"> </w:t>
      </w:r>
      <w:r>
        <w:t xml:space="preserve">Far more recently, the Court affirmed and built upon that analysis: “the Legislature intended the Wrongful Death Act statute of limitations to apply to causes of action for death sounding in medical negligence, and the MPLA to apply to causes of action for personal injury sounding in medical negligence.”</w:t>
      </w:r>
      <w:r>
        <w:rPr>
          <w:rStyle w:val="FootnoteReference"/>
        </w:rPr>
        <w:footnoteReference w:id="71"/>
      </w:r>
      <w:r>
        <w:t xml:space="preserve"> </w:t>
      </w:r>
      <w:r>
        <w:t xml:space="preserve">Here, there is no personal injury alleged and no negligence claim of any kind asserted.</w:t>
      </w:r>
      <w:r>
        <w:rPr>
          <w:rStyle w:val="FootnoteReference"/>
        </w:rPr>
        <w:footnoteReference w:id="72"/>
      </w:r>
      <w:r>
        <w:t xml:space="preserve"> </w:t>
      </w:r>
      <w:r>
        <w:t xml:space="preserve">As such, this action is not embraced by the MPLA’s definition of “medical professional liability” because there is no “death or injury of a person.”</w:t>
      </w:r>
      <w:r>
        <w:rPr>
          <w:rStyle w:val="FootnoteReference"/>
        </w:rPr>
        <w:footnoteReference w:id="73"/>
      </w:r>
      <w:r>
        <w:t xml:space="preserve"> </w:t>
      </w:r>
      <w:r>
        <w:t xml:space="preserve">Just as, Ms. Neidig would have no cause of action under W. Va. Code § 55-⁠7B-⁠4</w:t>
      </w:r>
      <w:r>
        <w:t xml:space="preserve">(a) because she has not suffered a “medical injury.”</w:t>
      </w:r>
    </w:p>
    <w:p>
      <w:pPr>
        <w:pStyle w:val="BodyTextNote"/>
      </w:pPr>
      <w:r>
        <w:t xml:space="preserve">This Court, too, knows the difference between “personal injury” and common-language “injury” and has consistently used the phrase “personal injury”—both before and after 2015—to refer to the type of injuries comprised by MPLA claims.</w:t>
      </w:r>
      <w:r>
        <w:rPr>
          <w:rStyle w:val="FootnoteReference"/>
        </w:rPr>
        <w:footnoteReference w:id="74"/>
      </w:r>
      <w:r>
        <w:t xml:space="preserve"> </w:t>
      </w:r>
      <w:r>
        <w:t xml:space="preserve">And this Court, in responding to certified questions from the U.S. Court of Appeals for the Fourth Circuit, defined “personal injuries” in relation to “the rather obvious fact that injuries to the person both physical and mental can occur in an almost infinite variety of patterns.”</w:t>
      </w:r>
      <w:r>
        <w:rPr>
          <w:rStyle w:val="FootnoteReference"/>
        </w:rPr>
        <w:footnoteReference w:id="75"/>
      </w:r>
    </w:p>
    <w:p>
      <w:pPr>
        <w:pStyle w:val="BodyTextNote"/>
      </w:pPr>
      <w:r>
        <w:t xml:space="preserve">The MPLA governs cases of personal injury or wrongful death; a case devoid of personal injury or death falls nowhere on the “spectrum.”</w:t>
      </w:r>
      <w:r>
        <w:rPr>
          <w:rStyle w:val="FootnoteReference"/>
        </w:rPr>
        <w:footnoteReference w:id="76"/>
      </w:r>
    </w:p>
    <w:p>
      <w:pPr>
        <w:pStyle w:val="BodyTextNote"/>
      </w:pPr>
      <w:r>
        <w:t xml:space="preserve">Relatedly, it is inescapable that, in reviewing MPLA cases that have been before this Court, one will consistently find at the heart of the action a serious personal injury or death—e.g.: the death of an infant;</w:t>
      </w:r>
      <w:r>
        <w:rPr>
          <w:rStyle w:val="FootnoteReference"/>
        </w:rPr>
        <w:footnoteReference w:id="77"/>
      </w:r>
      <w:r>
        <w:t xml:space="preserve"> </w:t>
      </w:r>
      <w:r>
        <w:t xml:space="preserve">the permanent impairment of a newborn from intravenous air bubbles;</w:t>
      </w:r>
      <w:r>
        <w:rPr>
          <w:rStyle w:val="FootnoteReference"/>
        </w:rPr>
        <w:footnoteReference w:id="78"/>
      </w:r>
      <w:r>
        <w:t xml:space="preserve"> </w:t>
      </w:r>
      <w:r>
        <w:t xml:space="preserve">contaminated sutures that had been implanted in the plaintiffs’ bodies;</w:t>
      </w:r>
      <w:r>
        <w:rPr>
          <w:rStyle w:val="FootnoteReference"/>
        </w:rPr>
        <w:footnoteReference w:id="79"/>
      </w:r>
      <w:r>
        <w:t xml:space="preserve"> </w:t>
      </w:r>
      <w:r>
        <w:t xml:space="preserve">or a serious left-shoulder injury suffered by a baby when she was being extracted from the womb.</w:t>
      </w:r>
      <w:r>
        <w:rPr>
          <w:rStyle w:val="FootnoteReference"/>
        </w:rPr>
        <w:footnoteReference w:id="80"/>
      </w:r>
      <w:r>
        <w:t xml:space="preserve"> </w:t>
      </w:r>
      <w:r>
        <w:t xml:space="preserve">The nature of those cases—medical malpractice resulting in personal injury—accords with the Legislature’s declaration of purpose for the MPLA. That declaration includes mention of “the possibility of injury or death from negligent conduct”; “injury or death as a result of professional negligence”; “traumatic injury health care services”; “the trauma care system”; and “compensation for injury and death.”</w:t>
      </w:r>
      <w:r>
        <w:rPr>
          <w:rStyle w:val="FootnoteReference"/>
        </w:rPr>
        <w:footnoteReference w:id="81"/>
      </w:r>
    </w:p>
    <w:p>
      <w:pPr>
        <w:pStyle w:val="BodyTextNote"/>
      </w:pPr>
      <w:r>
        <w:t xml:space="preserve">This interpretation also accords with this Court’s jurisprudence regarding personal injury whereby that term means bodily injury, which may include severe emotional distress of the type required for intentional infliction claims.</w:t>
      </w:r>
      <w:r>
        <w:rPr>
          <w:rStyle w:val="FootnoteReference"/>
        </w:rPr>
        <w:footnoteReference w:id="82"/>
      </w:r>
      <w:r>
        <w:t xml:space="preserve"> </w:t>
      </w:r>
      <w:r>
        <w:t xml:space="preserve">In incorporating severe emotional distress into the concept of “personal injury,” this Court was careful to compare the modifier “personal” with “physical,” noting “this type of severe emotional distress will exhibit mental and emotional damages readily recognizable by qualified experts.”</w:t>
      </w:r>
      <w:r>
        <w:rPr>
          <w:rStyle w:val="FootnoteReference"/>
        </w:rPr>
        <w:footnoteReference w:id="83"/>
      </w:r>
    </w:p>
    <w:p>
      <w:pPr>
        <w:pStyle w:val="BodyTextNote"/>
      </w:pPr>
      <w:r>
        <w:t xml:space="preserve">No such injury has been alleged here—not even close.</w:t>
      </w:r>
      <w:r>
        <w:rPr>
          <w:rStyle w:val="FootnoteReference"/>
        </w:rPr>
        <w:footnoteReference w:id="84"/>
      </w:r>
      <w:r>
        <w:t xml:space="preserve"> </w:t>
      </w:r>
      <w:r>
        <w:t xml:space="preserve">Indeed, it is not a coincidence that this case, involving alleged overpayments for deficient mammograms, appears to stick out like a sore thumb among the types of cases—e.g., a stillbirth;</w:t>
      </w:r>
      <w:r>
        <w:rPr>
          <w:rStyle w:val="FootnoteReference"/>
        </w:rPr>
        <w:footnoteReference w:id="85"/>
      </w:r>
      <w:r>
        <w:t xml:space="preserve"> </w:t>
      </w:r>
      <w:r>
        <w:t xml:space="preserve">a newborn suffering permanent neurological impairment from intravenous air bubbles;</w:t>
      </w:r>
      <w:r>
        <w:rPr>
          <w:rStyle w:val="FootnoteReference"/>
        </w:rPr>
        <w:footnoteReference w:id="86"/>
      </w:r>
      <w:r>
        <w:t xml:space="preserve"> </w:t>
      </w:r>
      <w:r>
        <w:t xml:space="preserve">EMT services for a dying infant;</w:t>
      </w:r>
      <w:r>
        <w:rPr>
          <w:rStyle w:val="FootnoteReference"/>
        </w:rPr>
        <w:footnoteReference w:id="87"/>
      </w:r>
      <w:r>
        <w:t xml:space="preserve"> </w:t>
      </w:r>
      <w:r>
        <w:t xml:space="preserve">death after falling off an examination table after a hip surgery;</w:t>
      </w:r>
      <w:r>
        <w:rPr>
          <w:rStyle w:val="FootnoteReference"/>
        </w:rPr>
        <w:footnoteReference w:id="88"/>
      </w:r>
      <w:r>
        <w:t xml:space="preserve"> </w:t>
      </w:r>
      <w:r>
        <w:t xml:space="preserve">and death from a stroke</w:t>
      </w:r>
      <w:r>
        <w:rPr>
          <w:rStyle w:val="FootnoteReference"/>
        </w:rPr>
        <w:footnoteReference w:id="89"/>
      </w:r>
      <w:r>
        <w:t xml:space="preserve">—properly embraced by the MPLA. The reason for this absurdity is plain: the MPLA does not embrace Ms. Neidig’s claims because she has not alleged a personal injury of any kind. Rather, because Ms. Neidig claims only economic loss related to misrepresentations and related charges, her case falls squarely within the WVCCPA’s purview.</w:t>
      </w:r>
    </w:p>
    <w:p>
      <w:pPr>
        <w:keepNext/>
        <w:keepLines/>
        <w:spacing w:before="288" w:after="192" w:line="276" w:lineRule="exact"/>
        <w:ind w:left="720" w:hanging="720"/>
        <w:jc w:val="left"/>
      </w:pPr>
      <w:r>
        <w:rPr>
          <w:b/>
          <w:bCs/>
        </w:rPr>
        <w:t xml:space="preserve">C.</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no</w:t>
      </w:r>
      <w:r>
        <w:rPr>
          <w:b/>
          <w:bCs/>
        </w:rPr>
        <w:t xml:space="preserve"> </w:t>
      </w:r>
      <w:r>
        <w:rPr>
          <w:b/>
          <w:bCs/>
        </w:rPr>
        <w:t xml:space="preserve">MPLA</w:t>
      </w:r>
      <w:r>
        <w:rPr>
          <w:b/>
          <w:bCs/>
        </w:rPr>
        <w:t xml:space="preserve"> </w:t>
      </w:r>
      <w:r>
        <w:rPr>
          <w:b/>
          <w:bCs/>
        </w:rPr>
        <w:t xml:space="preserve">“anchor</w:t>
      </w:r>
      <w:r>
        <w:rPr>
          <w:b/>
          <w:bCs/>
        </w:rPr>
        <w:t xml:space="preserve"> </w:t>
      </w:r>
      <w:r>
        <w:rPr>
          <w:b/>
          <w:bCs/>
        </w:rPr>
        <w:t xml:space="preserve">claim”</w:t>
      </w:r>
      <w:r>
        <w:rPr>
          <w:b/>
          <w:bCs/>
        </w:rPr>
        <w:t xml:space="preserve"> </w:t>
      </w:r>
      <w:r>
        <w:rPr>
          <w:b/>
          <w:bCs/>
        </w:rPr>
        <w:t xml:space="preserve">when</w:t>
      </w:r>
      <w:r>
        <w:rPr>
          <w:b/>
          <w:bCs/>
        </w:rPr>
        <w:t xml:space="preserve"> </w:t>
      </w:r>
      <w:r>
        <w:rPr>
          <w:b/>
          <w:bCs/>
        </w:rPr>
        <w:t xml:space="preserve">the</w:t>
      </w:r>
      <w:r>
        <w:rPr>
          <w:b/>
          <w:bCs/>
        </w:rPr>
        <w:t xml:space="preserve"> </w:t>
      </w:r>
      <w:r>
        <w:rPr>
          <w:b/>
          <w:bCs/>
        </w:rPr>
        <w:t xml:space="preserve">supposed</w:t>
      </w:r>
      <w:r>
        <w:rPr>
          <w:b/>
          <w:bCs/>
        </w:rPr>
        <w:t xml:space="preserve"> </w:t>
      </w:r>
      <w:r>
        <w:rPr>
          <w:b/>
          <w:bCs/>
        </w:rPr>
        <w:t xml:space="preserve">“anchor</w:t>
      </w:r>
      <w:r>
        <w:rPr>
          <w:b/>
          <w:bCs/>
        </w:rPr>
        <w:t xml:space="preserve"> </w:t>
      </w:r>
      <w:r>
        <w:rPr>
          <w:b/>
          <w:bCs/>
        </w:rPr>
        <w:t xml:space="preserve">claim”</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involve</w:t>
      </w:r>
      <w:r>
        <w:rPr>
          <w:b/>
          <w:bCs/>
        </w:rPr>
        <w:t xml:space="preserve"> </w:t>
      </w:r>
      <w:r>
        <w:rPr>
          <w:b/>
          <w:bCs/>
        </w:rPr>
        <w:t xml:space="preserve">an</w:t>
      </w:r>
      <w:r>
        <w:rPr>
          <w:b/>
          <w:bCs/>
        </w:rPr>
        <w:t xml:space="preserve"> </w:t>
      </w:r>
      <w:r>
        <w:rPr>
          <w:b/>
          <w:bCs/>
        </w:rPr>
        <w:t xml:space="preserve">allegation</w:t>
      </w:r>
      <w:r>
        <w:rPr>
          <w:b/>
          <w:bCs/>
        </w:rPr>
        <w:t xml:space="preserve"> </w:t>
      </w:r>
      <w:r>
        <w:rPr>
          <w:b/>
          <w:bCs/>
        </w:rPr>
        <w:t xml:space="preserve">of</w:t>
      </w:r>
      <w:r>
        <w:rPr>
          <w:b/>
          <w:bCs/>
        </w:rPr>
        <w:t xml:space="preserve"> </w:t>
      </w:r>
      <w:r>
        <w:rPr>
          <w:b/>
          <w:bCs/>
        </w:rPr>
        <w:t xml:space="preserve">death</w:t>
      </w:r>
      <w:r>
        <w:rPr>
          <w:b/>
          <w:bCs/>
        </w:rPr>
        <w:t xml:space="preserve"> </w:t>
      </w:r>
      <w:r>
        <w:rPr>
          <w:b/>
          <w:bCs/>
        </w:rPr>
        <w:t xml:space="preserve">or</w:t>
      </w:r>
      <w:r>
        <w:rPr>
          <w:b/>
          <w:bCs/>
        </w:rPr>
        <w:t xml:space="preserve"> </w:t>
      </w:r>
      <w:r>
        <w:rPr>
          <w:b/>
          <w:bCs/>
        </w:rPr>
        <w:t xml:space="preserve">a</w:t>
      </w:r>
      <w:r>
        <w:rPr>
          <w:b/>
          <w:bCs/>
        </w:rPr>
        <w:t xml:space="preserve"> </w:t>
      </w:r>
      <w:r>
        <w:rPr>
          <w:b/>
          <w:bCs/>
        </w:rPr>
        <w:t xml:space="preserve">physical</w:t>
      </w:r>
      <w:r>
        <w:rPr>
          <w:b/>
          <w:bCs/>
        </w:rPr>
        <w:t xml:space="preserve"> </w:t>
      </w:r>
      <w:r>
        <w:rPr>
          <w:b/>
          <w:bCs/>
        </w:rPr>
        <w:t xml:space="preserve">(or</w:t>
      </w:r>
      <w:r>
        <w:rPr>
          <w:b/>
          <w:bCs/>
        </w:rPr>
        <w:t xml:space="preserve"> </w:t>
      </w:r>
      <w:r>
        <w:rPr>
          <w:b/>
          <w:bCs/>
        </w:rPr>
        <w:t xml:space="preserve">even</w:t>
      </w:r>
      <w:r>
        <w:rPr>
          <w:b/>
          <w:bCs/>
        </w:rPr>
        <w:t xml:space="preserve"> </w:t>
      </w:r>
      <w:r>
        <w:rPr>
          <w:b/>
          <w:bCs/>
        </w:rPr>
        <w:t xml:space="preserve">an</w:t>
      </w:r>
      <w:r>
        <w:rPr>
          <w:b/>
          <w:bCs/>
        </w:rPr>
        <w:t xml:space="preserve"> </w:t>
      </w:r>
      <w:r>
        <w:rPr>
          <w:b/>
          <w:bCs/>
        </w:rPr>
        <w:t xml:space="preserve">emotional)</w:t>
      </w:r>
      <w:r>
        <w:rPr>
          <w:b/>
          <w:bCs/>
        </w:rPr>
        <w:t xml:space="preserve"> </w:t>
      </w:r>
      <w:r>
        <w:rPr>
          <w:b/>
          <w:bCs/>
        </w:rPr>
        <w:t xml:space="preserve">injury</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person.</w:t>
      </w:r>
    </w:p>
    <w:p>
      <w:pPr>
        <w:pStyle w:val="BodyTextNote"/>
      </w:pPr>
      <w:r>
        <w:t xml:space="preserve">Just last year this Court, acknowledging the 2015 MPLA amendments, held that the “contemporaneous” or “related” claims newly embraced by W. Va. Code § 55-⁠7B-⁠2</w:t>
      </w:r>
      <w:r>
        <w:t xml:space="preserve">(i) must be contemporaneous or related to a healthcare “anchor” claim.</w:t>
      </w:r>
      <w:r>
        <w:rPr>
          <w:rStyle w:val="FootnoteReference"/>
        </w:rPr>
        <w:footnoteReference w:id="90"/>
      </w:r>
      <w:r>
        <w:t xml:space="preserve"> </w:t>
      </w:r>
      <w:r>
        <w:t xml:space="preserve">The Court described the anchor claim as “the medical injury being asserted.”</w:t>
      </w:r>
      <w:r>
        <w:rPr>
          <w:rStyle w:val="FootnoteReference"/>
        </w:rPr>
        <w:footnoteReference w:id="91"/>
      </w:r>
      <w:r>
        <w:t xml:space="preserve"> </w:t>
      </w:r>
      <w:r>
        <w:t xml:space="preserve">And the Court considered such medical injury in the context of the MPLA’s new definition of “medical professional liability,” which still requires “the death or injury of a person.”</w:t>
      </w:r>
      <w:r>
        <w:rPr>
          <w:rStyle w:val="FootnoteReference"/>
        </w:rPr>
        <w:footnoteReference w:id="92"/>
      </w:r>
      <w:r>
        <w:t xml:space="preserve"> </w:t>
      </w:r>
      <w:r>
        <w:t xml:space="preserve">That particular case,</w:t>
      </w:r>
      <w:r>
        <w:t xml:space="preserve"> </w:t>
      </w:r>
      <w:r>
        <w:rPr>
          <w:i/>
          <w:iCs/>
        </w:rPr>
        <w:t xml:space="preserve">State ex rel. Charleston Area Med. Ctr., Inc. v. Thompson</w:t>
      </w:r>
      <w:r>
        <w:t xml:space="preserve">, concerned alleged negligence related to fetal remains.</w:t>
      </w:r>
      <w:r>
        <w:rPr>
          <w:rStyle w:val="FootnoteReference"/>
        </w:rPr>
        <w:footnoteReference w:id="93"/>
      </w:r>
      <w:r>
        <w:t xml:space="preserve"> </w:t>
      </w:r>
      <w:r>
        <w:t xml:space="preserve">However, the patient for MPLA purposes was the mother, not the deceased infant</w:t>
      </w:r>
      <w:r>
        <w:rPr>
          <w:rStyle w:val="FootnoteReference"/>
        </w:rPr>
        <w:footnoteReference w:id="94"/>
      </w:r>
      <w:r>
        <w:t xml:space="preserve">—yet there was still a personal injury to the plaintiff mother.</w:t>
      </w:r>
      <w:r>
        <w:rPr>
          <w:rStyle w:val="FootnoteReference"/>
        </w:rPr>
        <w:footnoteReference w:id="95"/>
      </w:r>
      <w:r>
        <w:t xml:space="preserve"> </w:t>
      </w:r>
      <w:r>
        <w:t xml:space="preserve">More specifically, the mother asserted a claim for intentional infliction of emotional distress, which requires emotional distress so severe “that no reasonable person could endure it.”</w:t>
      </w:r>
      <w:r>
        <w:rPr>
          <w:rStyle w:val="FootnoteReference"/>
        </w:rPr>
        <w:footnoteReference w:id="96"/>
      </w:r>
      <w:r>
        <w:t xml:space="preserve"> </w:t>
      </w:r>
      <w:r>
        <w:t xml:space="preserve">This is precisely the type of severe emotional distress that this Court has acknowledged as diagnosable by experts, including with the possibility of presentation via physical symptoms.</w:t>
      </w:r>
      <w:r>
        <w:rPr>
          <w:rStyle w:val="FootnoteReference"/>
        </w:rPr>
        <w:footnoteReference w:id="97"/>
      </w:r>
    </w:p>
    <w:p>
      <w:pPr>
        <w:pStyle w:val="BodyTextNote"/>
      </w:pPr>
      <w:r>
        <w:t xml:space="preserve">Likewise, this Court expressly distinguished between the garden-variety emotional distress damages that are typically pleaded in civil actions and the type required to sustain a claim based on outrage.</w:t>
      </w:r>
      <w:r>
        <w:rPr>
          <w:rStyle w:val="FootnoteReference"/>
        </w:rPr>
        <w:footnoteReference w:id="98"/>
      </w:r>
      <w:r>
        <w:t xml:space="preserve"> </w:t>
      </w:r>
      <w:r>
        <w:t xml:space="preserve">Again, Ms. Neidig has plainly pleaded nothing that could even give rise to a reasonable inference of such severe emotional distress.</w:t>
      </w:r>
      <w:r>
        <w:rPr>
          <w:rStyle w:val="FootnoteReference"/>
        </w:rPr>
        <w:footnoteReference w:id="99"/>
      </w:r>
      <w:r>
        <w:t xml:space="preserve"> </w:t>
      </w:r>
      <w:r>
        <w:t xml:space="preserve">And</w:t>
      </w:r>
      <w:r>
        <w:t xml:space="preserve"> </w:t>
      </w:r>
      <w:r>
        <w:rPr>
          <w:i/>
          <w:iCs/>
        </w:rPr>
        <w:t xml:space="preserve">Thompson</w:t>
      </w:r>
      <w:r>
        <w:t xml:space="preserve"> </w:t>
      </w:r>
      <w:r>
        <w:t xml:space="preserve">followed</w:t>
      </w:r>
      <w:r>
        <w:t xml:space="preserve"> </w:t>
      </w:r>
      <w:r>
        <w:rPr>
          <w:i/>
          <w:iCs/>
        </w:rPr>
        <w:t xml:space="preserve">State ex rel. West Virginia University Hospitals, Inc. v. Scott</w:t>
      </w:r>
      <w:r>
        <w:t xml:space="preserve">, in which this Court applied the expanded language of W. Va. Code § 55-⁠7B-⁠2</w:t>
      </w:r>
      <w:r>
        <w:t xml:space="preserve">(i) to embrace claims that had been pleaded as corporate negligence.</w:t>
      </w:r>
      <w:r>
        <w:rPr>
          <w:rStyle w:val="FootnoteReference"/>
        </w:rPr>
        <w:footnoteReference w:id="100"/>
      </w:r>
      <w:r>
        <w:t xml:space="preserve"> </w:t>
      </w:r>
      <w:r>
        <w:t xml:space="preserve">In</w:t>
      </w:r>
      <w:r>
        <w:t xml:space="preserve"> </w:t>
      </w:r>
      <w:r>
        <w:rPr>
          <w:i/>
          <w:iCs/>
        </w:rPr>
        <w:t xml:space="preserve">Scott</w:t>
      </w:r>
      <w:r>
        <w:t xml:space="preserve">, the patient-plaintiff was a minor, an infant that became “neurologically impaired and require[d] twenty-four hour care” following exposure to intravenous air bubbles.</w:t>
      </w:r>
      <w:r>
        <w:rPr>
          <w:rStyle w:val="FootnoteReference"/>
        </w:rPr>
        <w:footnoteReference w:id="101"/>
      </w:r>
      <w:r>
        <w:t xml:space="preserve"> </w:t>
      </w:r>
      <w:r>
        <w:t xml:space="preserve">Thus,</w:t>
      </w:r>
      <w:r>
        <w:t xml:space="preserve"> </w:t>
      </w:r>
      <w:r>
        <w:rPr>
          <w:i/>
          <w:iCs/>
        </w:rPr>
        <w:t xml:space="preserve">Scott</w:t>
      </w:r>
      <w:r>
        <w:t xml:space="preserve"> </w:t>
      </w:r>
      <w:r>
        <w:t xml:space="preserve">also featured a severe bodily injury to the plaintiff, as well as a claim for medical negligence.</w:t>
      </w:r>
      <w:r>
        <w:rPr>
          <w:rStyle w:val="FootnoteReference"/>
        </w:rPr>
        <w:footnoteReference w:id="102"/>
      </w:r>
      <w:r>
        <w:t xml:space="preserve"> </w:t>
      </w:r>
      <w:r>
        <w:t xml:space="preserve">Thus, there was in</w:t>
      </w:r>
      <w:r>
        <w:t xml:space="preserve"> </w:t>
      </w:r>
      <w:r>
        <w:rPr>
          <w:i/>
          <w:iCs/>
        </w:rPr>
        <w:t xml:space="preserve">Scott</w:t>
      </w:r>
      <w:r>
        <w:t xml:space="preserve">, as in</w:t>
      </w:r>
      <w:r>
        <w:t xml:space="preserve"> </w:t>
      </w:r>
      <w:r>
        <w:rPr>
          <w:i/>
          <w:iCs/>
        </w:rPr>
        <w:t xml:space="preserve">Thompson</w:t>
      </w:r>
      <w:r>
        <w:t xml:space="preserve">, an MPLA anchor claim—i.e., one predicated upon personal injury.</w:t>
      </w:r>
      <w:r>
        <w:rPr>
          <w:rStyle w:val="FootnoteReference"/>
        </w:rPr>
        <w:footnoteReference w:id="103"/>
      </w:r>
    </w:p>
    <w:p>
      <w:pPr>
        <w:pStyle w:val="BodyTextNote"/>
      </w:pPr>
      <w:r>
        <w:t xml:space="preserve">All this is ultimately to say that because Ms. Neidig has not alleged injury to her person—or, obviously, death—there is no MPLA anchor claim here. This is not a matter of “creative pleading”</w:t>
      </w:r>
      <w:r>
        <w:rPr>
          <w:rStyle w:val="FootnoteReference"/>
        </w:rPr>
        <w:footnoteReference w:id="104"/>
      </w:r>
      <w:r>
        <w:t xml:space="preserve">—it is a matter of properly pleading a consumer claim for economic damages. This Court’s jurisprudence has since the MPLA’s inception made it evident that the MPLA is a personal injury statute, not a free pass for healthcare providers to overcharge consumers as long as that overcharge somehow pertains to “health care.”</w:t>
      </w:r>
    </w:p>
    <w:p>
      <w:pPr>
        <w:keepNext/>
        <w:keepLines/>
        <w:spacing w:before="288" w:after="240" w:line="276" w:lineRule="exact"/>
        <w:ind w:left="0" w:firstLine="0"/>
        <w:jc w:val="center"/>
      </w:pPr>
      <w:r>
        <w:rPr>
          <w:b/>
          <w:bCs/>
        </w:rPr>
        <w:t xml:space="preserve">II.</w:t>
      </w:r>
      <w:r>
        <w:rPr>
          <w:b/>
          <w:bCs/>
        </w:rPr>
        <w:t xml:space="preserve"> </w:t>
      </w:r>
      <w:r>
        <w:rPr>
          <w:b/>
          <w:bCs/>
        </w:rPr>
        <w:t xml:space="preserve">Valley’s</w:t>
      </w:r>
      <w:r>
        <w:rPr>
          <w:b/>
          <w:bCs/>
        </w:rPr>
        <w:t xml:space="preserve"> </w:t>
      </w:r>
      <w:r>
        <w:rPr>
          <w:b/>
          <w:bCs/>
        </w:rPr>
        <w:t xml:space="preserve">Interpretation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MPLA</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Strictly</w:t>
      </w:r>
      <w:r>
        <w:rPr>
          <w:b/>
          <w:bCs/>
        </w:rPr>
        <w:t xml:space="preserve"> </w:t>
      </w:r>
      <w:r>
        <w:rPr>
          <w:b/>
          <w:bCs/>
        </w:rPr>
        <w:t xml:space="preserve">Construe</w:t>
      </w:r>
      <w:r>
        <w:rPr>
          <w:b/>
          <w:bCs/>
        </w:rPr>
        <w:t xml:space="preserve"> </w:t>
      </w:r>
      <w:r>
        <w:rPr>
          <w:b/>
          <w:bCs/>
        </w:rPr>
        <w:t xml:space="preserve">the</w:t>
      </w:r>
      <w:r>
        <w:rPr>
          <w:b/>
          <w:bCs/>
        </w:rPr>
        <w:t xml:space="preserve"> </w:t>
      </w:r>
      <w:r>
        <w:rPr>
          <w:b/>
          <w:bCs/>
        </w:rPr>
        <w:t xml:space="preserve">MPLA</w:t>
      </w:r>
      <w:r>
        <w:rPr>
          <w:b/>
          <w:bCs/>
        </w:rPr>
        <w:t xml:space="preserve"> </w:t>
      </w:r>
      <w:r>
        <w:rPr>
          <w:b/>
          <w:bCs/>
        </w:rPr>
        <w:t xml:space="preserve">in</w:t>
      </w:r>
      <w:r>
        <w:rPr>
          <w:b/>
          <w:bCs/>
        </w:rPr>
        <w:t xml:space="preserve"> </w:t>
      </w:r>
      <w:r>
        <w:rPr>
          <w:b/>
          <w:bCs/>
        </w:rPr>
        <w:t xml:space="preserve">Violation</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Rules</w:t>
      </w:r>
      <w:r>
        <w:rPr>
          <w:b/>
          <w:bCs/>
        </w:rPr>
        <w:t xml:space="preserve"> </w:t>
      </w:r>
      <w:r>
        <w:rPr>
          <w:b/>
          <w:bCs/>
        </w:rPr>
        <w:t xml:space="preserve">of</w:t>
      </w:r>
      <w:r>
        <w:rPr>
          <w:b/>
          <w:bCs/>
        </w:rPr>
        <w:t xml:space="preserve"> </w:t>
      </w:r>
      <w:r>
        <w:rPr>
          <w:b/>
          <w:bCs/>
        </w:rPr>
        <w:t xml:space="preserve">Statutory</w:t>
      </w:r>
      <w:r>
        <w:rPr>
          <w:b/>
          <w:bCs/>
        </w:rPr>
        <w:t xml:space="preserve"> </w:t>
      </w:r>
      <w:r>
        <w:rPr>
          <w:b/>
          <w:bCs/>
        </w:rPr>
        <w:t xml:space="preserve">Construction.</w:t>
      </w:r>
    </w:p>
    <w:p>
      <w:pPr>
        <w:keepNext/>
        <w:keepLines/>
        <w:spacing w:before="288" w:after="192" w:line="276"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MPLA</w:t>
      </w:r>
      <w:r>
        <w:rPr>
          <w:b/>
          <w:bCs/>
        </w:rPr>
        <w:t xml:space="preserve"> </w:t>
      </w:r>
      <w:r>
        <w:rPr>
          <w:b/>
          <w:bCs/>
        </w:rPr>
        <w:t xml:space="preserve">must</w:t>
      </w:r>
      <w:r>
        <w:rPr>
          <w:b/>
          <w:bCs/>
        </w:rPr>
        <w:t xml:space="preserve"> </w:t>
      </w:r>
      <w:r>
        <w:rPr>
          <w:b/>
          <w:bCs/>
        </w:rPr>
        <w:t xml:space="preserve">be</w:t>
      </w:r>
      <w:r>
        <w:rPr>
          <w:b/>
          <w:bCs/>
        </w:rPr>
        <w:t xml:space="preserve"> </w:t>
      </w:r>
      <w:r>
        <w:rPr>
          <w:b/>
          <w:bCs/>
        </w:rPr>
        <w:t xml:space="preserve">strictly</w:t>
      </w:r>
      <w:r>
        <w:rPr>
          <w:b/>
          <w:bCs/>
        </w:rPr>
        <w:t xml:space="preserve"> </w:t>
      </w:r>
      <w:r>
        <w:rPr>
          <w:b/>
          <w:bCs/>
        </w:rPr>
        <w:t xml:space="preserve">construed.</w:t>
      </w:r>
    </w:p>
    <w:p>
      <w:pPr>
        <w:pStyle w:val="BodyText"/>
      </w:pPr>
      <w:r>
        <w:t xml:space="preserve">This Court has acknowledged that the MPLA is in derogation of the common law and thus must be strictly construed:</w:t>
      </w:r>
    </w:p>
    <w:p>
      <w:pPr>
        <w:pStyle w:val="XdQuoteOnly"/>
      </w:pPr>
      <w:r>
        <w:t xml:space="preserve">[T]his Court concluded in</w:t>
      </w:r>
      <w:r>
        <w:t xml:space="preserve"> </w:t>
      </w:r>
      <w:r>
        <w:rPr>
          <w:i/>
          <w:iCs/>
        </w:rPr>
        <w:t xml:space="preserve">Phillips v. Larry’s Drive-In Pharmacy, Inc.</w:t>
      </w:r>
      <w:r>
        <w:t xml:space="preserve">, that the MPLA is in derogation of the common law and as such, its provisions must be given narrow construction. In recognizing the MPLA as in derogation of the common law, we cited syllabus point 3 of</w:t>
      </w:r>
      <w:r>
        <w:t xml:space="preserve"> </w:t>
      </w:r>
      <w:r>
        <w:rPr>
          <w:i/>
          <w:iCs/>
        </w:rPr>
        <w:t xml:space="preserve">Bank of Weston v. Thomas</w:t>
      </w:r>
      <w:r>
        <w:t xml:space="preserve">: “[s]tatutes in derogation of the common law are allowed effect only to the extent clearly indicated by the terms used. Nothing can be added otherwise than by necessary implication arising from such terms.” We thus concluded in</w:t>
      </w:r>
      <w:r>
        <w:t xml:space="preserve"> </w:t>
      </w:r>
      <w:r>
        <w:rPr>
          <w:i/>
          <w:iCs/>
        </w:rPr>
        <w:t xml:space="preserve">Phillips</w:t>
      </w:r>
      <w:r>
        <w:t xml:space="preserve">, “[w]here there is any doubt about the meaning or intent of a statute in derogation of the common law, the statute is to be interpreted in the manner that makes the least rather than the most change in the common law.”</w:t>
      </w:r>
      <w:r>
        <w:rPr>
          <w:rStyle w:val="FootnoteReference"/>
        </w:rPr>
        <w:footnoteReference w:id="105"/>
      </w:r>
    </w:p>
    <w:p>
      <w:pPr>
        <w:pStyle w:val="BodyTextNote"/>
      </w:pPr>
      <w:r>
        <w:t xml:space="preserve">This Court has also expressly held that the MPLA was in derogation of the common law as to personal injury.</w:t>
      </w:r>
      <w:r>
        <w:rPr>
          <w:rStyle w:val="FootnoteReference"/>
        </w:rPr>
        <w:footnoteReference w:id="106"/>
      </w:r>
      <w:r>
        <w:t xml:space="preserve"> </w:t>
      </w:r>
      <w:r>
        <w:t xml:space="preserve">The ultimate point of this sub-section is simple: for the reasons already discussed, and others, the trial court failed to strictly construe the MPLA. Indeed, by failing to even analyze “personal injury,” “medical injury,” or “medical negligence”—all key MPLA elements and terms—and analyzing nothing more than “injury” and “health care,” the district court loosely construed the MPLA and usurped the Legislature’s role by de facto exempting healthcare providers from WVCCPA and other common law liability. In contrast, the WVCCPA is a remedial statute to be broadly construed.</w:t>
      </w:r>
      <w:r>
        <w:rPr>
          <w:rStyle w:val="FootnoteReference"/>
        </w:rPr>
        <w:footnoteReference w:id="107"/>
      </w:r>
    </w:p>
    <w:p>
      <w:pPr>
        <w:keepNext/>
        <w:keepLines/>
        <w:spacing w:before="288" w:after="192" w:line="276" w:lineRule="exact"/>
        <w:ind w:left="720" w:hanging="720"/>
        <w:jc w:val="left"/>
      </w:pPr>
      <w:r>
        <w:rPr>
          <w:b/>
          <w:bCs/>
        </w:rPr>
        <w:t xml:space="preserve">B.</w:t>
      </w:r>
      <w:r>
        <w:rPr>
          <w:b/>
          <w:bCs/>
        </w:rPr>
        <w:t xml:space="preserve"> </w:t>
      </w:r>
      <w:r>
        <w:rPr>
          <w:b/>
          <w:bCs/>
        </w:rPr>
        <w:t xml:space="preserve">Broadening</w:t>
      </w:r>
      <w:r>
        <w:rPr>
          <w:b/>
          <w:bCs/>
        </w:rPr>
        <w:t xml:space="preserve"> </w:t>
      </w:r>
      <w:r>
        <w:rPr>
          <w:b/>
          <w:bCs/>
        </w:rPr>
        <w:t xml:space="preserve">the</w:t>
      </w:r>
      <w:r>
        <w:rPr>
          <w:b/>
          <w:bCs/>
        </w:rPr>
        <w:t xml:space="preserve"> </w:t>
      </w:r>
      <w:r>
        <w:rPr>
          <w:b/>
          <w:bCs/>
        </w:rPr>
        <w:t xml:space="preserve">MPLA</w:t>
      </w:r>
      <w:r>
        <w:rPr>
          <w:b/>
          <w:bCs/>
        </w:rPr>
        <w:t xml:space="preserve"> </w:t>
      </w:r>
      <w:r>
        <w:rPr>
          <w:b/>
          <w:bCs/>
        </w:rPr>
        <w:t xml:space="preserve">to</w:t>
      </w:r>
      <w:r>
        <w:rPr>
          <w:b/>
          <w:bCs/>
        </w:rPr>
        <w:t xml:space="preserve"> </w:t>
      </w:r>
      <w:r>
        <w:rPr>
          <w:b/>
          <w:bCs/>
        </w:rPr>
        <w:t xml:space="preserve">include</w:t>
      </w:r>
      <w:r>
        <w:rPr>
          <w:b/>
          <w:bCs/>
        </w:rPr>
        <w:t xml:space="preserve"> </w:t>
      </w:r>
      <w:r>
        <w:rPr>
          <w:b/>
          <w:bCs/>
        </w:rPr>
        <w:t xml:space="preserve">cases</w:t>
      </w:r>
      <w:r>
        <w:rPr>
          <w:b/>
          <w:bCs/>
        </w:rPr>
        <w:t xml:space="preserve"> </w:t>
      </w:r>
      <w:r>
        <w:rPr>
          <w:b/>
          <w:bCs/>
        </w:rPr>
        <w:t xml:space="preserve">where</w:t>
      </w:r>
      <w:r>
        <w:rPr>
          <w:b/>
          <w:bCs/>
        </w:rPr>
        <w:t xml:space="preserve"> </w:t>
      </w:r>
      <w:r>
        <w:rPr>
          <w:b/>
          <w:bCs/>
        </w:rPr>
        <w:t xml:space="preserve">there</w:t>
      </w:r>
      <w:r>
        <w:rPr>
          <w:b/>
          <w:bCs/>
        </w:rPr>
        <w:t xml:space="preserve"> </w:t>
      </w:r>
      <w:r>
        <w:rPr>
          <w:b/>
          <w:bCs/>
        </w:rPr>
        <w:t xml:space="preserve">is</w:t>
      </w:r>
      <w:r>
        <w:rPr>
          <w:b/>
          <w:bCs/>
        </w:rPr>
        <w:t xml:space="preserve"> </w:t>
      </w:r>
      <w:r>
        <w:rPr>
          <w:b/>
          <w:bCs/>
        </w:rPr>
        <w:t xml:space="preserve">no</w:t>
      </w:r>
      <w:r>
        <w:rPr>
          <w:b/>
          <w:bCs/>
        </w:rPr>
        <w:t xml:space="preserve"> </w:t>
      </w:r>
      <w:r>
        <w:rPr>
          <w:b/>
          <w:bCs/>
        </w:rPr>
        <w:t xml:space="preserve">injury</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person</w:t>
      </w:r>
      <w:r>
        <w:rPr>
          <w:b/>
          <w:bCs/>
        </w:rPr>
        <w:t xml:space="preserve"> </w:t>
      </w:r>
      <w:r>
        <w:rPr>
          <w:b/>
          <w:bCs/>
        </w:rPr>
        <w:t xml:space="preserve">or</w:t>
      </w:r>
      <w:r>
        <w:rPr>
          <w:b/>
          <w:bCs/>
        </w:rPr>
        <w:t xml:space="preserve"> </w:t>
      </w:r>
      <w:r>
        <w:rPr>
          <w:b/>
          <w:bCs/>
        </w:rPr>
        <w:t xml:space="preserve">death</w:t>
      </w:r>
      <w:r>
        <w:rPr>
          <w:b/>
          <w:bCs/>
        </w:rPr>
        <w:t xml:space="preserve"> </w:t>
      </w:r>
      <w:r>
        <w:rPr>
          <w:b/>
          <w:bCs/>
        </w:rPr>
        <w:t xml:space="preserve">will</w:t>
      </w:r>
      <w:r>
        <w:rPr>
          <w:b/>
          <w:bCs/>
        </w:rPr>
        <w:t xml:space="preserve"> </w:t>
      </w:r>
      <w:r>
        <w:rPr>
          <w:b/>
          <w:bCs/>
        </w:rPr>
        <w:t xml:space="preserve">lead</w:t>
      </w:r>
      <w:r>
        <w:rPr>
          <w:b/>
          <w:bCs/>
        </w:rPr>
        <w:t xml:space="preserve"> </w:t>
      </w:r>
      <w:r>
        <w:rPr>
          <w:b/>
          <w:bCs/>
        </w:rPr>
        <w:t xml:space="preserve">to</w:t>
      </w:r>
      <w:r>
        <w:rPr>
          <w:b/>
          <w:bCs/>
        </w:rPr>
        <w:t xml:space="preserve"> </w:t>
      </w:r>
      <w:r>
        <w:rPr>
          <w:b/>
          <w:bCs/>
        </w:rPr>
        <w:t xml:space="preserve">absurd</w:t>
      </w:r>
      <w:r>
        <w:rPr>
          <w:b/>
          <w:bCs/>
        </w:rPr>
        <w:t xml:space="preserve"> </w:t>
      </w:r>
      <w:r>
        <w:rPr>
          <w:b/>
          <w:bCs/>
        </w:rPr>
        <w:t xml:space="preserve">results.</w:t>
      </w:r>
    </w:p>
    <w:p>
      <w:pPr>
        <w:pStyle w:val="BodyText"/>
      </w:pPr>
      <w:r>
        <w:t xml:space="preserve">If Valley’s interpretation of the MPLA prevails, absurd results will occur in the kinds of cases that will be subsumed by the MPLA. This provides another reason to reject the limitless application of the MPLA argued by Valley.</w:t>
      </w:r>
    </w:p>
    <w:p>
      <w:pPr>
        <w:pStyle w:val="BodyTextNote"/>
      </w:pPr>
      <w:r>
        <w:t xml:space="preserve">If an economic injury is sufficient to trigger an MPLA claim, a large number of claims will now be subsumed into the MPLA. Other claims arising out of billing by medical providers provides one illustration. A claim against a medical provider that the patient was billed twice for services, billed for services never received, or billed for services in contravention of the providers’ agreements with the patient’s health insurer would all be subsumed into the MPLA. Similarly, if a hospital van on the way to pick up medical supplies hit a parked vehicle belonging to a patient in the hospital parking lot causing property damage, Valley’s interpretation of the MPLA would require its application. There are numerous other examples of actual cases against healthcare facilities that could be subsumed by the MPLA if Valley is correct and medical injury simply means any injury.</w:t>
      </w:r>
      <w:r>
        <w:rPr>
          <w:rStyle w:val="FootnoteReference"/>
        </w:rPr>
        <w:footnoteReference w:id="108"/>
      </w:r>
    </w:p>
    <w:p>
      <w:pPr>
        <w:pStyle w:val="BodyText"/>
      </w:pPr>
      <w:r>
        <w:t xml:space="preserve">By extension, it’s not difficult to imagine bond holders of hospital debt needing to comply with the MPLA after a default.</w:t>
      </w:r>
    </w:p>
    <w:p>
      <w:pPr>
        <w:keepNext/>
        <w:keepLines/>
        <w:spacing w:before="288" w:after="240" w:line="276" w:lineRule="exact"/>
        <w:ind w:left="0" w:firstLine="0"/>
        <w:jc w:val="center"/>
      </w:pPr>
      <w:r>
        <w:rPr>
          <w:b/>
          <w:bCs/>
        </w:rPr>
        <w:t xml:space="preserve">CONCLUSION</w:t>
      </w:r>
    </w:p>
    <w:p>
      <w:pPr>
        <w:pStyle w:val="BodyText"/>
      </w:pPr>
      <w:r>
        <w:t xml:space="preserve">Given the MPLA’s text, legislative history and purpose; this Court’s repeated use of the phrase “personal injury” in MPLA decisions; and this Court’s sole consideration of MPLA cases where there was a bodily injury (or severe emotional distress capable of presenting physically), there is no reasonable argument that the MPLA was not intended to embrace cases where no claim involving death or injury to a person (a personal injury) has been asserted. A strict construction of the MPLA demands rejection of an interpretation of the MPLA to cases outside the context of personal injury or wrongful death cases because the statute, properly applied, requires a claim for physical or emotional injuries to a person. By failing to strictly construe the MPLA, as was required of it, Valley improperly interprets the statute outside of the appropriate context of personal injury, wrongful death, and medical negligence.</w:t>
      </w:r>
    </w:p>
    <w:p>
      <w:pPr>
        <w:pStyle w:val="BodyText"/>
      </w:pPr>
      <w:r>
        <w:t xml:space="preserve">In the end, this is a case of a billing dispute by a customer seeking her economic losses because she didn’t get what she paid for. This is not a medical malpractice case.</w:t>
      </w:r>
    </w:p>
    <w:p>
      <w:pPr>
        <w:pStyle w:val="BodyText"/>
      </w:pPr>
      <w:r>
        <w:t xml:space="preserve">This Court should answer the Certified Question by holding that a claim that does not arise from a physical or emotional injury to a person is not within the scope of the MPLA.</w:t>
      </w:r>
    </w:p>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p>
          <w:p>
            <w:pPr>
              <w:spacing w:before="240" w:after="0" w:line="276" w:lineRule="exact"/>
              <w:ind w:left="4212" w:firstLine="0"/>
              <w:jc w:val="left"/>
            </w:pPr>
            <w:r>
              <w:t xml:space="preserve">ELAINE</w:t>
            </w:r>
            <w:r>
              <w:t xml:space="preserve"> </w:t>
            </w:r>
            <w:r>
              <w:t xml:space="preserve">NEIDIG</w:t>
            </w:r>
          </w:p>
          <w:p>
            <w:pPr>
              <w:spacing w:before="0" w:after="0" w:line="276" w:lineRule="exact"/>
              <w:ind w:left="4212" w:firstLine="0"/>
              <w:jc w:val="left"/>
            </w:pPr>
            <w:r>
              <w:t xml:space="preserve">By</w:t>
            </w:r>
            <w:r>
              <w:t xml:space="preserve"> </w:t>
            </w:r>
            <w:r>
              <w:t xml:space="preserve">Counsel,</w:t>
            </w:r>
          </w:p>
          <w:p>
            <w:pPr>
              <w:spacing w:before="0" w:after="0" w:line="276" w:lineRule="exact"/>
              <w:ind w:left="4212" w:firstLine="0"/>
              <w:jc w:val="left"/>
            </w:pPr>
            <w:r>
              <w:t xml:space="preserve">s/</w:t>
            </w:r>
            <w:r>
              <w:t xml:space="preserve"> </w:t>
            </w:r>
            <w:r>
              <w:t xml:space="preserve">Anthony</w:t>
            </w:r>
            <w:r>
              <w:t xml:space="preserve"> </w:t>
            </w:r>
            <w:r>
              <w:t xml:space="preserve">J.</w:t>
            </w:r>
            <w:r>
              <w:t xml:space="preserve"> </w:t>
            </w:r>
            <w:r>
              <w:t xml:space="preserve">Majestro</w:t>
            </w:r>
          </w:p>
          <w:p>
            <w:pPr>
              <w:spacing w:before="0" w:after="0" w:line="276" w:lineRule="exact"/>
              <w:ind w:left="4212" w:firstLine="0"/>
              <w:jc w:val="left"/>
            </w:pPr>
            <w:r>
              <w:t xml:space="preserve">Anthony</w:t>
            </w:r>
            <w:r>
              <w:t xml:space="preserve"> </w:t>
            </w:r>
            <w:r>
              <w:t xml:space="preserve">J.</w:t>
            </w:r>
            <w:r>
              <w:t xml:space="preserve"> </w:t>
            </w:r>
            <w:r>
              <w:t xml:space="preserve">Majestro</w:t>
            </w:r>
            <w:r>
              <w:t xml:space="preserve"> </w:t>
            </w:r>
            <w:r>
              <w:t xml:space="preserve">(WVSB</w:t>
            </w:r>
            <w:r>
              <w:t xml:space="preserve"> </w:t>
            </w:r>
            <w:r>
              <w:t xml:space="preserve">5165)</w:t>
            </w:r>
          </w:p>
          <w:p>
            <w:pPr>
              <w:spacing w:before="0" w:after="0" w:line="276" w:lineRule="exact"/>
              <w:ind w:left="4212" w:firstLine="0"/>
              <w:jc w:val="left"/>
            </w:pPr>
            <w:r>
              <w:t xml:space="preserve">Counsel</w:t>
            </w:r>
            <w:r>
              <w:t xml:space="preserve"> </w:t>
            </w:r>
            <w:r>
              <w:t xml:space="preserve">of</w:t>
            </w:r>
            <w:r>
              <w:t xml:space="preserve"> </w:t>
            </w:r>
            <w:r>
              <w:t xml:space="preserve">Record</w:t>
            </w:r>
          </w:p>
          <w:p>
            <w:pPr>
              <w:spacing w:before="0" w:after="0" w:line="276" w:lineRule="exact"/>
              <w:ind w:left="4212" w:firstLine="0"/>
              <w:jc w:val="left"/>
            </w:pPr>
            <w:r>
              <w:t xml:space="preserve">Christina</w:t>
            </w:r>
            <w:r>
              <w:t xml:space="preserve"> </w:t>
            </w:r>
            <w:r>
              <w:t xml:space="preserve">L.</w:t>
            </w:r>
            <w:r>
              <w:t xml:space="preserve"> </w:t>
            </w:r>
            <w:r>
              <w:t xml:space="preserve">Smith</w:t>
            </w:r>
            <w:r>
              <w:t xml:space="preserve"> </w:t>
            </w:r>
            <w:r>
              <w:t xml:space="preserve">(WVSB</w:t>
            </w:r>
            <w:r>
              <w:t xml:space="preserve"> </w:t>
            </w:r>
            <w:r>
              <w:t xml:space="preserve">7509)</w:t>
            </w:r>
          </w:p>
          <w:p>
            <w:pPr>
              <w:spacing w:before="0" w:after="0" w:line="276" w:lineRule="exact"/>
              <w:ind w:left="4212" w:firstLine="0"/>
              <w:jc w:val="left"/>
            </w:pPr>
            <w:r>
              <w:t xml:space="preserve">POWELL</w:t>
            </w:r>
            <w:r>
              <w:t xml:space="preserve"> </w:t>
            </w:r>
            <w:r>
              <w:t xml:space="preserve">&amp;</w:t>
            </w:r>
            <w:r>
              <w:t xml:space="preserve"> </w:t>
            </w:r>
            <w:r>
              <w:t xml:space="preserve">MAJESTRO</w:t>
            </w:r>
            <w:r>
              <w:t xml:space="preserve"> </w:t>
            </w:r>
            <w:r>
              <w:t xml:space="preserve">PLLC</w:t>
            </w:r>
          </w:p>
          <w:p>
            <w:pPr>
              <w:spacing w:before="0" w:after="0" w:line="276" w:lineRule="exact"/>
              <w:ind w:left="4212" w:firstLine="0"/>
              <w:jc w:val="left"/>
            </w:pPr>
            <w:r>
              <w:t xml:space="preserve">405</w:t>
            </w:r>
            <w:r>
              <w:t xml:space="preserve"> </w:t>
            </w:r>
            <w:r>
              <w:t xml:space="preserve">Capitol</w:t>
            </w:r>
            <w:r>
              <w:t xml:space="preserve"> </w:t>
            </w:r>
            <w:r>
              <w:t xml:space="preserve">Street,</w:t>
            </w:r>
            <w:r>
              <w:t xml:space="preserve"> </w:t>
            </w:r>
            <w:r>
              <w:t xml:space="preserve">Suite</w:t>
            </w:r>
            <w:r>
              <w:t xml:space="preserve"> </w:t>
            </w:r>
            <w:r>
              <w:t xml:space="preserve">807</w:t>
            </w:r>
          </w:p>
          <w:p>
            <w:pPr>
              <w:spacing w:before="0" w:after="0" w:line="276" w:lineRule="exact"/>
              <w:ind w:left="4212" w:firstLine="0"/>
              <w:jc w:val="left"/>
            </w:pPr>
            <w:r>
              <w:t xml:space="preserve">Charleston,</w:t>
            </w:r>
            <w:r>
              <w:t xml:space="preserve"> </w:t>
            </w:r>
            <w:r>
              <w:t xml:space="preserve">WV</w:t>
            </w:r>
            <w:r>
              <w:t xml:space="preserve"> </w:t>
            </w:r>
            <w:r>
              <w:t xml:space="preserve">25301</w:t>
            </w:r>
          </w:p>
          <w:p>
            <w:pPr>
              <w:spacing w:before="0" w:after="0" w:line="276" w:lineRule="exact"/>
              <w:ind w:left="4212" w:firstLine="0"/>
              <w:jc w:val="left"/>
            </w:pPr>
            <w:r>
              <w:t xml:space="preserve">Tel:</w:t>
            </w:r>
            <w:r>
              <w:t xml:space="preserve"> </w:t>
            </w:r>
            <w:r>
              <w:t xml:space="preserve">304-⁠346-⁠2889</w:t>
            </w:r>
          </w:p>
          <w:p>
            <w:pPr>
              <w:spacing w:before="0" w:after="0" w:line="276" w:lineRule="exact"/>
              <w:ind w:left="4212" w:firstLine="0"/>
              <w:jc w:val="left"/>
            </w:pPr>
            <w:r>
              <w:t xml:space="preserve">Fax:</w:t>
            </w:r>
            <w:r>
              <w:t xml:space="preserve"> </w:t>
            </w:r>
            <w:r>
              <w:t xml:space="preserve">304-⁠346-⁠2895</w:t>
            </w:r>
          </w:p>
          <w:p>
            <w:pPr>
              <w:spacing w:before="0" w:after="0" w:line="276" w:lineRule="exact"/>
              <w:ind w:left="4212" w:firstLine="0"/>
              <w:jc w:val="left"/>
            </w:pPr>
            <w:r>
              <w:t xml:space="preserve">amajestro@powellmajestro.com</w:t>
            </w:r>
          </w:p>
          <w:p>
            <w:pPr>
              <w:spacing w:before="240" w:after="0" w:line="276" w:lineRule="exact"/>
              <w:ind w:left="4212" w:firstLine="0"/>
              <w:jc w:val="left"/>
            </w:pPr>
            <w:r>
              <w:t xml:space="preserve">Stephen</w:t>
            </w:r>
            <w:r>
              <w:t xml:space="preserve"> </w:t>
            </w:r>
            <w:r>
              <w:t xml:space="preserve">G.</w:t>
            </w:r>
            <w:r>
              <w:t xml:space="preserve"> </w:t>
            </w:r>
            <w:r>
              <w:t xml:space="preserve">Skinner,</w:t>
            </w:r>
            <w:r>
              <w:t xml:space="preserve"> </w:t>
            </w:r>
            <w:r>
              <w:t xml:space="preserve">Esquire</w:t>
            </w:r>
            <w:r>
              <w:t xml:space="preserve"> </w:t>
            </w:r>
            <w:r>
              <w:t xml:space="preserve">(WVSB</w:t>
            </w:r>
            <w:r>
              <w:t xml:space="preserve"> </w:t>
            </w:r>
            <w:r>
              <w:t xml:space="preserve">6725)</w:t>
            </w:r>
          </w:p>
          <w:p>
            <w:pPr>
              <w:spacing w:before="0" w:after="0" w:line="276" w:lineRule="exact"/>
              <w:ind w:left="4212" w:firstLine="0"/>
              <w:jc w:val="left"/>
            </w:pPr>
            <w:r>
              <w:t xml:space="preserve">SKINNER</w:t>
            </w:r>
            <w:r>
              <w:t xml:space="preserve"> </w:t>
            </w:r>
            <w:r>
              <w:t xml:space="preserve">LAW</w:t>
            </w:r>
            <w:r>
              <w:t xml:space="preserve"> </w:t>
            </w:r>
            <w:r>
              <w:t xml:space="preserve">FIRM</w:t>
            </w:r>
          </w:p>
          <w:p>
            <w:pPr>
              <w:spacing w:before="0" w:after="0" w:line="276" w:lineRule="exact"/>
              <w:ind w:left="4212" w:firstLine="0"/>
              <w:jc w:val="left"/>
            </w:pPr>
            <w:r>
              <w:t xml:space="preserve">P.O.</w:t>
            </w:r>
            <w:r>
              <w:t xml:space="preserve"> </w:t>
            </w:r>
            <w:r>
              <w:t xml:space="preserve">Box</w:t>
            </w:r>
            <w:r>
              <w:t xml:space="preserve"> </w:t>
            </w:r>
            <w:r>
              <w:t xml:space="preserve">487</w:t>
            </w:r>
          </w:p>
          <w:p>
            <w:pPr>
              <w:spacing w:before="0" w:after="0" w:line="276" w:lineRule="exact"/>
              <w:ind w:left="4212" w:firstLine="0"/>
              <w:jc w:val="left"/>
            </w:pPr>
            <w:r>
              <w:t xml:space="preserve">Charles</w:t>
            </w:r>
            <w:r>
              <w:t xml:space="preserve"> </w:t>
            </w:r>
            <w:r>
              <w:t xml:space="preserve">Town,</w:t>
            </w:r>
            <w:r>
              <w:t xml:space="preserve"> </w:t>
            </w:r>
            <w:r>
              <w:t xml:space="preserve">WV</w:t>
            </w:r>
            <w:r>
              <w:t xml:space="preserve"> </w:t>
            </w:r>
            <w:r>
              <w:t xml:space="preserve">25414</w:t>
            </w:r>
          </w:p>
          <w:p>
            <w:pPr>
              <w:spacing w:before="0" w:after="0" w:line="276" w:lineRule="exact"/>
              <w:ind w:left="4212" w:firstLine="0"/>
              <w:jc w:val="left"/>
            </w:pPr>
            <w:r>
              <w:t xml:space="preserve">Tel:</w:t>
            </w:r>
            <w:r>
              <w:t xml:space="preserve"> </w:t>
            </w:r>
            <w:r>
              <w:t xml:space="preserve">304-⁠725-⁠7029</w:t>
            </w:r>
          </w:p>
          <w:p>
            <w:pPr>
              <w:spacing w:before="0" w:after="0" w:line="276" w:lineRule="exact"/>
              <w:ind w:left="4212" w:firstLine="0"/>
              <w:jc w:val="left"/>
            </w:pPr>
            <w:r>
              <w:t xml:space="preserve">Fax:</w:t>
            </w:r>
            <w:r>
              <w:t xml:space="preserve"> </w:t>
            </w:r>
            <w:r>
              <w:t xml:space="preserve">304-⁠725-⁠4082</w:t>
            </w:r>
          </w:p>
          <w:p>
            <w:pPr>
              <w:spacing w:before="0" w:after="0" w:line="276" w:lineRule="exact"/>
              <w:ind w:left="4212" w:firstLine="0"/>
              <w:jc w:val="left"/>
            </w:pPr>
            <w:r>
              <w:t xml:space="preserve">sskinner@skinnerfirm.com</w:t>
            </w: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certify</w:t>
      </w:r>
      <w:r>
        <w:t xml:space="preserve"> </w:t>
      </w:r>
      <w:r>
        <w:t xml:space="preserve">that</w:t>
      </w:r>
      <w:r>
        <w:t xml:space="preserve"> </w:t>
      </w:r>
      <w:r>
        <w:t xml:space="preserve">I</w:t>
      </w:r>
      <w:r>
        <w:t xml:space="preserve"> </w:t>
      </w:r>
      <w:r>
        <w:t xml:space="preserve">served</w:t>
      </w:r>
      <w:r>
        <w:t xml:space="preserve"> </w:t>
      </w:r>
      <w:r>
        <w:t xml:space="preserve">the</w:t>
      </w:r>
      <w:r>
        <w:t xml:space="preserve"> </w:t>
      </w:r>
      <w:r>
        <w:t xml:space="preserve">foregoing</w:t>
      </w:r>
      <w:r>
        <w:t xml:space="preserve"> </w:t>
      </w:r>
      <w:r>
        <w:t xml:space="preserve">Petitioner’s</w:t>
      </w:r>
      <w:r>
        <w:t xml:space="preserve"> </w:t>
      </w:r>
      <w:r>
        <w:t xml:space="preserve">Opening</w:t>
      </w:r>
      <w:r>
        <w:t xml:space="preserve"> </w:t>
      </w:r>
      <w:r>
        <w:t xml:space="preserve">Brief</w:t>
      </w:r>
      <w:r>
        <w:t xml:space="preserve"> </w:t>
      </w:r>
      <w:r>
        <w:t xml:space="preserve">and</w:t>
      </w:r>
      <w:r>
        <w:t xml:space="preserve"> </w:t>
      </w:r>
      <w:r>
        <w:t xml:space="preserve">Joint</w:t>
      </w:r>
      <w:r>
        <w:t xml:space="preserve"> </w:t>
      </w:r>
      <w:r>
        <w:t xml:space="preserve">Appendix</w:t>
      </w:r>
      <w:r>
        <w:t xml:space="preserve"> </w:t>
      </w:r>
      <w:r>
        <w:t xml:space="preserve">upon</w:t>
      </w:r>
      <w:r>
        <w:t xml:space="preserve"> </w:t>
      </w:r>
      <w:r>
        <w:t xml:space="preserve">counsel</w:t>
      </w:r>
      <w:r>
        <w:t xml:space="preserve"> </w:t>
      </w:r>
      <w:r>
        <w:t xml:space="preserve">of</w:t>
      </w:r>
      <w:r>
        <w:t xml:space="preserve"> </w:t>
      </w:r>
      <w:r>
        <w:t xml:space="preserve">record</w:t>
      </w:r>
      <w:r>
        <w:t xml:space="preserve"> </w:t>
      </w:r>
      <w:r>
        <w:t xml:space="preserve">through</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(File</w:t>
      </w:r>
      <w:r>
        <w:t xml:space="preserve"> </w:t>
      </w:r>
      <w:r>
        <w:t xml:space="preserve">and</w:t>
      </w:r>
      <w:r>
        <w:t xml:space="preserve"> </w:t>
      </w:r>
      <w:r>
        <w:t xml:space="preserve">ServeXpress)</w:t>
      </w:r>
      <w:r>
        <w:t xml:space="preserve"> </w:t>
      </w:r>
      <w:r>
        <w:t xml:space="preserve">on</w:t>
      </w:r>
      <w:r>
        <w:t xml:space="preserve"> </w:t>
      </w:r>
      <w:r>
        <w:t xml:space="preserve">March</w:t>
      </w:r>
      <w:r>
        <w:t xml:space="preserve"> </w:t>
      </w:r>
      <w:r>
        <w:t xml:space="preserve">22,</w:t>
      </w:r>
      <w:r>
        <w:t xml:space="preserve"> </w:t>
      </w:r>
      <w:r>
        <w:t xml:space="preserve">2024.</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40" w:after="0" w:line="276" w:lineRule="exact"/>
              <w:ind w:left="4212" w:firstLine="0"/>
              <w:jc w:val="left"/>
            </w:pPr>
            <w:r>
              <w:t xml:space="preserve">ELAINE</w:t>
            </w:r>
            <w:r>
              <w:t xml:space="preserve"> </w:t>
            </w:r>
            <w:r>
              <w:t xml:space="preserve">NEIDIG</w:t>
            </w:r>
          </w:p>
          <w:p>
            <w:pPr>
              <w:spacing w:before="0" w:after="0" w:line="276" w:lineRule="exact"/>
              <w:ind w:left="4212" w:firstLine="0"/>
              <w:jc w:val="left"/>
            </w:pPr>
            <w:r>
              <w:t xml:space="preserve">By</w:t>
            </w:r>
            <w:r>
              <w:t xml:space="preserve"> </w:t>
            </w:r>
            <w:r>
              <w:t xml:space="preserve">Counsel,</w:t>
            </w:r>
          </w:p>
          <w:p>
            <w:pPr>
              <w:spacing w:before="0" w:after="0" w:line="276" w:lineRule="exact"/>
              <w:ind w:left="4212" w:firstLine="0"/>
              <w:jc w:val="left"/>
            </w:pPr>
            <w:r>
              <w:t xml:space="preserve">s/</w:t>
            </w:r>
            <w:r>
              <w:t xml:space="preserve"> </w:t>
            </w:r>
            <w:r>
              <w:t xml:space="preserve">Anthony</w:t>
            </w:r>
            <w:r>
              <w:t xml:space="preserve"> </w:t>
            </w:r>
            <w:r>
              <w:t xml:space="preserve">J.</w:t>
            </w:r>
            <w:r>
              <w:t xml:space="preserve"> </w:t>
            </w:r>
            <w:r>
              <w:t xml:space="preserve">Majestro</w:t>
            </w:r>
          </w:p>
          <w:p>
            <w:pPr>
              <w:spacing w:before="0" w:after="0" w:line="276" w:lineRule="exact"/>
              <w:ind w:left="4212" w:firstLine="0"/>
              <w:jc w:val="left"/>
            </w:pPr>
            <w:r>
              <w:t xml:space="preserve">Anthony</w:t>
            </w:r>
            <w:r>
              <w:t xml:space="preserve"> </w:t>
            </w:r>
            <w:r>
              <w:t xml:space="preserve">J.</w:t>
            </w:r>
            <w:r>
              <w:t xml:space="preserve"> </w:t>
            </w:r>
            <w:r>
              <w:t xml:space="preserve">Majestro</w:t>
            </w:r>
            <w:r>
              <w:t xml:space="preserve"> </w:t>
            </w:r>
            <w:r>
              <w:t xml:space="preserve">(WVSB</w:t>
            </w:r>
            <w:r>
              <w:t xml:space="preserve"> </w:t>
            </w:r>
            <w:r>
              <w:t xml:space="preserve">5165)</w:t>
            </w:r>
          </w:p>
          <w:p>
            <w:pPr>
              <w:spacing w:before="0" w:after="0" w:line="276" w:lineRule="exact"/>
              <w:ind w:left="4212" w:firstLine="0"/>
              <w:jc w:val="left"/>
            </w:pPr>
            <w:r>
              <w:t xml:space="preserve">Counsel</w:t>
            </w:r>
            <w:r>
              <w:t xml:space="preserve"> </w:t>
            </w:r>
            <w:r>
              <w:t xml:space="preserve">of</w:t>
            </w:r>
            <w:r>
              <w:t xml:space="preserve"> </w:t>
            </w:r>
            <w:r>
              <w:t xml:space="preserve">Record</w:t>
            </w:r>
          </w:p>
          <w:p>
            <w:pPr>
              <w:spacing w:before="0" w:after="0" w:line="276" w:lineRule="exact"/>
              <w:ind w:left="4212" w:firstLine="0"/>
              <w:jc w:val="left"/>
            </w:pPr>
            <w:r>
              <w:t xml:space="preserve">Christina</w:t>
            </w:r>
            <w:r>
              <w:t xml:space="preserve"> </w:t>
            </w:r>
            <w:r>
              <w:t xml:space="preserve">L.</w:t>
            </w:r>
            <w:r>
              <w:t xml:space="preserve"> </w:t>
            </w:r>
            <w:r>
              <w:t xml:space="preserve">Smith</w:t>
            </w:r>
            <w:r>
              <w:t xml:space="preserve"> </w:t>
            </w:r>
            <w:r>
              <w:t xml:space="preserve">(WVSB</w:t>
            </w:r>
            <w:r>
              <w:t xml:space="preserve"> </w:t>
            </w:r>
            <w:r>
              <w:t xml:space="preserve">7509)</w:t>
            </w:r>
          </w:p>
          <w:p>
            <w:pPr>
              <w:spacing w:before="0" w:after="0" w:line="276" w:lineRule="exact"/>
              <w:ind w:left="4212" w:firstLine="0"/>
              <w:jc w:val="left"/>
            </w:pPr>
            <w:r>
              <w:t xml:space="preserve">POWELL</w:t>
            </w:r>
            <w:r>
              <w:t xml:space="preserve"> </w:t>
            </w:r>
            <w:r>
              <w:t xml:space="preserve">&amp;</w:t>
            </w:r>
            <w:r>
              <w:t xml:space="preserve"> </w:t>
            </w:r>
            <w:r>
              <w:t xml:space="preserve">MAJESTRO</w:t>
            </w:r>
            <w:r>
              <w:t xml:space="preserve"> </w:t>
            </w:r>
            <w:r>
              <w:t xml:space="preserve">PLLC</w:t>
            </w:r>
          </w:p>
          <w:p>
            <w:pPr>
              <w:spacing w:before="0" w:after="0" w:line="276" w:lineRule="exact"/>
              <w:ind w:left="4212" w:firstLine="0"/>
              <w:jc w:val="left"/>
            </w:pPr>
            <w:r>
              <w:t xml:space="preserve">405</w:t>
            </w:r>
            <w:r>
              <w:t xml:space="preserve"> </w:t>
            </w:r>
            <w:r>
              <w:t xml:space="preserve">Capitol</w:t>
            </w:r>
            <w:r>
              <w:t xml:space="preserve"> </w:t>
            </w:r>
            <w:r>
              <w:t xml:space="preserve">Street,</w:t>
            </w:r>
            <w:r>
              <w:t xml:space="preserve"> </w:t>
            </w:r>
            <w:r>
              <w:t xml:space="preserve">Suite</w:t>
            </w:r>
            <w:r>
              <w:t xml:space="preserve"> </w:t>
            </w:r>
            <w:r>
              <w:t xml:space="preserve">807</w:t>
            </w:r>
          </w:p>
          <w:p>
            <w:pPr>
              <w:spacing w:before="0" w:after="0" w:line="276" w:lineRule="exact"/>
              <w:ind w:left="4212" w:firstLine="0"/>
              <w:jc w:val="left"/>
            </w:pPr>
            <w:r>
              <w:t xml:space="preserve">Charleston,</w:t>
            </w:r>
            <w:r>
              <w:t xml:space="preserve"> </w:t>
            </w:r>
            <w:r>
              <w:t xml:space="preserve">WV</w:t>
            </w:r>
            <w:r>
              <w:t xml:space="preserve"> </w:t>
            </w:r>
            <w:r>
              <w:t xml:space="preserve">25301</w:t>
            </w:r>
          </w:p>
          <w:p>
            <w:pPr>
              <w:spacing w:before="0" w:after="0" w:line="276" w:lineRule="exact"/>
              <w:ind w:left="4212" w:firstLine="0"/>
              <w:jc w:val="left"/>
            </w:pPr>
            <w:r>
              <w:t xml:space="preserve">Tel:</w:t>
            </w:r>
            <w:r>
              <w:t xml:space="preserve"> </w:t>
            </w:r>
            <w:r>
              <w:t xml:space="preserve">304-⁠346-⁠2889</w:t>
            </w:r>
          </w:p>
          <w:p>
            <w:pPr>
              <w:spacing w:before="0" w:after="0" w:line="276" w:lineRule="exact"/>
              <w:ind w:left="4212" w:firstLine="0"/>
              <w:jc w:val="left"/>
            </w:pPr>
            <w:r>
              <w:t xml:space="preserve">Fax:</w:t>
            </w:r>
            <w:r>
              <w:t xml:space="preserve"> </w:t>
            </w:r>
            <w:r>
              <w:t xml:space="preserve">304-⁠346-⁠2895</w:t>
            </w:r>
          </w:p>
          <w:p>
            <w:pPr>
              <w:spacing w:before="0" w:after="0" w:line="276" w:lineRule="exact"/>
              <w:ind w:left="4212" w:firstLine="0"/>
              <w:jc w:val="left"/>
            </w:pPr>
            <w:r>
              <w:t xml:space="preserve">amajestro@powellmajestro.com</w:t>
            </w:r>
          </w:p>
          <w:p>
            <w:pPr>
              <w:spacing w:before="240" w:after="0" w:line="276" w:lineRule="exact"/>
              <w:ind w:left="4212" w:firstLine="0"/>
              <w:jc w:val="left"/>
            </w:pPr>
            <w:r>
              <w:t xml:space="preserve">Stephen</w:t>
            </w:r>
            <w:r>
              <w:t xml:space="preserve"> </w:t>
            </w:r>
            <w:r>
              <w:t xml:space="preserve">G.</w:t>
            </w:r>
            <w:r>
              <w:t xml:space="preserve"> </w:t>
            </w:r>
            <w:r>
              <w:t xml:space="preserve">Skinner,</w:t>
            </w:r>
            <w:r>
              <w:t xml:space="preserve"> </w:t>
            </w:r>
            <w:r>
              <w:t xml:space="preserve">Esquire</w:t>
            </w:r>
            <w:r>
              <w:t xml:space="preserve"> </w:t>
            </w:r>
            <w:r>
              <w:t xml:space="preserve">(WVSB</w:t>
            </w:r>
            <w:r>
              <w:t xml:space="preserve"> </w:t>
            </w:r>
            <w:r>
              <w:t xml:space="preserve">6725)</w:t>
            </w:r>
          </w:p>
          <w:p>
            <w:pPr>
              <w:spacing w:before="0" w:after="0" w:line="276" w:lineRule="exact"/>
              <w:ind w:left="4212" w:firstLine="0"/>
              <w:jc w:val="left"/>
            </w:pPr>
            <w:r>
              <w:t xml:space="preserve">SKINNER</w:t>
            </w:r>
            <w:r>
              <w:t xml:space="preserve"> </w:t>
            </w:r>
            <w:r>
              <w:t xml:space="preserve">LAW</w:t>
            </w:r>
            <w:r>
              <w:t xml:space="preserve"> </w:t>
            </w:r>
            <w:r>
              <w:t xml:space="preserve">FIRM</w:t>
            </w:r>
          </w:p>
          <w:p>
            <w:pPr>
              <w:spacing w:before="0" w:after="0" w:line="276" w:lineRule="exact"/>
              <w:ind w:left="4212" w:firstLine="0"/>
              <w:jc w:val="left"/>
            </w:pPr>
            <w:r>
              <w:t xml:space="preserve">P.O.</w:t>
            </w:r>
            <w:r>
              <w:t xml:space="preserve"> </w:t>
            </w:r>
            <w:r>
              <w:t xml:space="preserve">Box</w:t>
            </w:r>
            <w:r>
              <w:t xml:space="preserve"> </w:t>
            </w:r>
            <w:r>
              <w:t xml:space="preserve">487</w:t>
            </w:r>
          </w:p>
          <w:p>
            <w:pPr>
              <w:spacing w:before="0" w:after="0" w:line="276" w:lineRule="exact"/>
              <w:ind w:left="4212" w:firstLine="0"/>
              <w:jc w:val="left"/>
            </w:pPr>
            <w:r>
              <w:t xml:space="preserve">Charles</w:t>
            </w:r>
            <w:r>
              <w:t xml:space="preserve"> </w:t>
            </w:r>
            <w:r>
              <w:t xml:space="preserve">Town,</w:t>
            </w:r>
            <w:r>
              <w:t xml:space="preserve"> </w:t>
            </w:r>
            <w:r>
              <w:t xml:space="preserve">WV</w:t>
            </w:r>
            <w:r>
              <w:t xml:space="preserve"> </w:t>
            </w:r>
            <w:r>
              <w:t xml:space="preserve">25414</w:t>
            </w:r>
          </w:p>
          <w:p>
            <w:pPr>
              <w:spacing w:before="0" w:after="0" w:line="276" w:lineRule="exact"/>
              <w:ind w:left="4212" w:firstLine="0"/>
              <w:jc w:val="left"/>
            </w:pPr>
            <w:r>
              <w:t xml:space="preserve">Tel:</w:t>
            </w:r>
            <w:r>
              <w:t xml:space="preserve"> </w:t>
            </w:r>
            <w:r>
              <w:t xml:space="preserve">304-⁠725-⁠7029</w:t>
            </w:r>
          </w:p>
          <w:p>
            <w:pPr>
              <w:spacing w:before="0" w:after="0" w:line="276" w:lineRule="exact"/>
              <w:ind w:left="4212" w:firstLine="0"/>
              <w:jc w:val="left"/>
            </w:pPr>
            <w:r>
              <w:t xml:space="preserve">Fax:</w:t>
            </w:r>
            <w:r>
              <w:t xml:space="preserve"> </w:t>
            </w:r>
            <w:r>
              <w:t xml:space="preserve">304-⁠725-⁠4082</w:t>
            </w:r>
          </w:p>
          <w:p>
            <w:pPr>
              <w:spacing w:before="0" w:after="0" w:line="276" w:lineRule="exact"/>
              <w:ind w:left="4212" w:firstLine="0"/>
              <w:jc w:val="left"/>
            </w:pPr>
            <w:r>
              <w:t xml:space="preserve">sskinner@skinnerfirm.com</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W. Va. Code § 55-⁠7B-⁠1</w:t>
      </w:r>
      <w:r>
        <w:t xml:space="preserve">,</w:t>
      </w:r>
      <w:r>
        <w:t xml:space="preserve"> </w:t>
      </w:r>
      <w:r>
        <w:rPr>
          <w:i/>
          <w:iCs/>
        </w:rPr>
        <w:t xml:space="preserve">et seq.</w:t>
      </w:r>
    </w:p>
  </w:footnote>
  <w:footnote w:id="10">
    <w:p>
      <w:pPr>
        <w:pStyle w:val="FootnoteText"/>
      </w:pPr>
      <w:r>
        <w:rPr>
          <w:rStyle w:val="FootnoteReference"/>
        </w:rPr>
        <w:footnoteRef/>
      </w:r>
      <w:r>
        <w:t xml:space="preserve"> </w:t>
      </w:r>
      <w:r>
        <w:t xml:space="preserve">W. Va. Code § 55-⁠7B-⁠2</w:t>
      </w:r>
      <w:r>
        <w:t xml:space="preserve">(i).</w:t>
      </w:r>
    </w:p>
  </w:footnote>
  <w:footnote w:id="11">
    <w:p>
      <w:pPr>
        <w:pStyle w:val="FootnoteText"/>
      </w:pPr>
      <w:r>
        <w:rPr>
          <w:rStyle w:val="FootnoteReference"/>
        </w:rPr>
        <w:footnoteRef/>
      </w:r>
      <w:r>
        <w:t xml:space="preserve"> </w:t>
      </w:r>
      <w:r>
        <w:t xml:space="preserve">JA 290.</w:t>
      </w:r>
    </w:p>
  </w:footnote>
  <w:footnote w:id="12">
    <w:p>
      <w:pPr>
        <w:pStyle w:val="FootnoteText"/>
      </w:pPr>
      <w:r>
        <w:rPr>
          <w:rStyle w:val="FootnoteReference"/>
        </w:rPr>
        <w:footnoteRef/>
      </w:r>
      <w:r>
        <w:t xml:space="preserve"> </w:t>
      </w:r>
      <w:r>
        <w:rPr>
          <w:i/>
          <w:iCs/>
        </w:rPr>
        <w:t xml:space="preserve">Id.</w:t>
      </w:r>
      <w:r>
        <w:t xml:space="preserve">;</w:t>
      </w:r>
      <w:r>
        <w:t xml:space="preserve"> </w:t>
      </w:r>
      <w:r>
        <w:rPr>
          <w:i/>
          <w:iCs/>
        </w:rPr>
        <w:t xml:space="preserve">cf.</w:t>
      </w:r>
      <w:r>
        <w:t xml:space="preserve"> </w:t>
      </w:r>
      <w:r>
        <w:t xml:space="preserve">W.Va. R. App. P. 17(a)⁠(5) (“the petitioner’s brief must assign the specific points of legal error that arise from the [state] circuit court’s answer to the certified question”).</w:t>
      </w:r>
    </w:p>
  </w:footnote>
  <w:footnote w:id="13">
    <w:p>
      <w:pPr>
        <w:pStyle w:val="FootnoteText"/>
      </w:pPr>
      <w:r>
        <w:rPr>
          <w:rStyle w:val="FootnoteReference"/>
        </w:rPr>
        <w:footnoteRef/>
      </w:r>
      <w:r>
        <w:t xml:space="preserve"> </w:t>
      </w:r>
      <w:r>
        <w:t xml:space="preserve">JA 005.</w:t>
      </w:r>
    </w:p>
  </w:footnote>
  <w:footnote w:id="14">
    <w:p>
      <w:pPr>
        <w:pStyle w:val="FootnoteText"/>
      </w:pPr>
      <w:r>
        <w:rPr>
          <w:rStyle w:val="FootnoteReference"/>
        </w:rPr>
        <w:footnoteRef/>
      </w:r>
      <w:r>
        <w:t xml:space="preserve"> </w:t>
      </w:r>
      <w:r>
        <w:t xml:space="preserve">JA 006–008.</w:t>
      </w:r>
    </w:p>
  </w:footnote>
  <w:footnote w:id="15">
    <w:p>
      <w:pPr>
        <w:pStyle w:val="FootnoteText"/>
      </w:pPr>
      <w:r>
        <w:rPr>
          <w:rStyle w:val="FootnoteReference"/>
        </w:rPr>
        <w:footnoteRef/>
      </w:r>
      <w:r>
        <w:t xml:space="preserve"> </w:t>
      </w:r>
      <w:r>
        <w:t xml:space="preserve">JA 008, at ¶¶ 15–⁠16.</w:t>
      </w:r>
    </w:p>
  </w:footnote>
  <w:footnote w:id="16">
    <w:p>
      <w:pPr>
        <w:pStyle w:val="FootnoteText"/>
      </w:pPr>
      <w:r>
        <w:rPr>
          <w:rStyle w:val="FootnoteReference"/>
        </w:rPr>
        <w:footnoteRef/>
      </w:r>
      <w:r>
        <w:t xml:space="preserve"> </w:t>
      </w:r>
      <w:r>
        <w:t xml:space="preserve">JA 008.</w:t>
      </w:r>
    </w:p>
  </w:footnote>
  <w:footnote w:id="17">
    <w:p>
      <w:pPr>
        <w:pStyle w:val="FootnoteText"/>
      </w:pPr>
      <w:r>
        <w:rPr>
          <w:rStyle w:val="FootnoteReference"/>
        </w:rPr>
        <w:footnoteRef/>
      </w:r>
      <w:r>
        <w:t xml:space="preserve"> </w:t>
      </w:r>
      <w:r>
        <w:rPr>
          <w:i/>
          <w:iCs/>
        </w:rPr>
        <w:t xml:space="preserve">Id.</w:t>
      </w:r>
    </w:p>
  </w:footnote>
  <w:footnote w:id="18">
    <w:p>
      <w:pPr>
        <w:pStyle w:val="FootnoteText"/>
      </w:pPr>
      <w:r>
        <w:rPr>
          <w:rStyle w:val="FootnoteReference"/>
        </w:rPr>
        <w:footnoteRef/>
      </w:r>
      <w:r>
        <w:t xml:space="preserve"> </w:t>
      </w:r>
      <w:r>
        <w:t xml:space="preserve">JA 009, at ¶¶ 25–⁠27.</w:t>
      </w:r>
    </w:p>
  </w:footnote>
  <w:footnote w:id="19">
    <w:p>
      <w:pPr>
        <w:pStyle w:val="FootnoteText"/>
      </w:pPr>
      <w:r>
        <w:rPr>
          <w:rStyle w:val="FootnoteReference"/>
        </w:rPr>
        <w:footnoteRef/>
      </w:r>
      <w:r>
        <w:t xml:space="preserve"> </w:t>
      </w:r>
      <w:r>
        <w:t xml:space="preserve">JA 024.</w:t>
      </w:r>
    </w:p>
  </w:footnote>
  <w:footnote w:id="20">
    <w:p>
      <w:pPr>
        <w:pStyle w:val="FootnoteText"/>
      </w:pPr>
      <w:r>
        <w:rPr>
          <w:rStyle w:val="FootnoteReference"/>
        </w:rPr>
        <w:footnoteRef/>
      </w:r>
      <w:r>
        <w:t xml:space="preserve"> </w:t>
      </w:r>
      <w:r>
        <w:t xml:space="preserve">JA 009, at ¶ 28; JA 025.</w:t>
      </w:r>
    </w:p>
  </w:footnote>
  <w:footnote w:id="21">
    <w:p>
      <w:pPr>
        <w:pStyle w:val="FootnoteText"/>
      </w:pPr>
      <w:r>
        <w:rPr>
          <w:rStyle w:val="FootnoteReference"/>
        </w:rPr>
        <w:footnoteRef/>
      </w:r>
      <w:r>
        <w:t xml:space="preserve"> </w:t>
      </w:r>
      <w:r>
        <w:t xml:space="preserve">JA 009.</w:t>
      </w:r>
    </w:p>
  </w:footnote>
  <w:footnote w:id="22">
    <w:p>
      <w:pPr>
        <w:pStyle w:val="FootnoteText"/>
      </w:pPr>
      <w:r>
        <w:rPr>
          <w:rStyle w:val="FootnoteReference"/>
        </w:rPr>
        <w:footnoteRef/>
      </w:r>
      <w:r>
        <w:t xml:space="preserve"> </w:t>
      </w:r>
      <w:r>
        <w:t xml:space="preserve">JA 012 at ¶48.</w:t>
      </w:r>
    </w:p>
  </w:footnote>
  <w:footnote w:id="23">
    <w:p>
      <w:pPr>
        <w:pStyle w:val="FootnoteText"/>
      </w:pPr>
      <w:r>
        <w:rPr>
          <w:rStyle w:val="FootnoteReference"/>
        </w:rPr>
        <w:footnoteRef/>
      </w:r>
      <w:r>
        <w:t xml:space="preserve"> </w:t>
      </w:r>
      <w:r>
        <w:rPr>
          <w:i/>
          <w:iCs/>
        </w:rPr>
        <w:t xml:space="preserve">Id.</w:t>
      </w:r>
    </w:p>
  </w:footnote>
  <w:footnote w:id="24">
    <w:p>
      <w:pPr>
        <w:pStyle w:val="FootnoteText"/>
      </w:pPr>
      <w:r>
        <w:rPr>
          <w:rStyle w:val="FootnoteReference"/>
        </w:rPr>
        <w:footnoteRef/>
      </w:r>
      <w:r>
        <w:t xml:space="preserve"> </w:t>
      </w:r>
      <w:r>
        <w:t xml:space="preserve">JA 010, at ¶¶ 33–⁠35.</w:t>
      </w:r>
    </w:p>
  </w:footnote>
  <w:footnote w:id="25">
    <w:p>
      <w:pPr>
        <w:pStyle w:val="FootnoteText"/>
      </w:pPr>
      <w:r>
        <w:rPr>
          <w:rStyle w:val="FootnoteReference"/>
        </w:rPr>
        <w:footnoteRef/>
      </w:r>
      <w:r>
        <w:t xml:space="preserve"> </w:t>
      </w:r>
      <w:r>
        <w:t xml:space="preserve">JA 005.</w:t>
      </w:r>
    </w:p>
  </w:footnote>
  <w:footnote w:id="26">
    <w:p>
      <w:pPr>
        <w:pStyle w:val="FootnoteText"/>
      </w:pPr>
      <w:r>
        <w:rPr>
          <w:rStyle w:val="FootnoteReference"/>
        </w:rPr>
        <w:footnoteRef/>
      </w:r>
      <w:r>
        <w:t xml:space="preserve"> </w:t>
      </w:r>
      <w:r>
        <w:t xml:space="preserve">JA 010–012.</w:t>
      </w:r>
    </w:p>
  </w:footnote>
  <w:footnote w:id="27">
    <w:p>
      <w:pPr>
        <w:pStyle w:val="FootnoteText"/>
      </w:pPr>
      <w:r>
        <w:rPr>
          <w:rStyle w:val="FootnoteReference"/>
        </w:rPr>
        <w:footnoteRef/>
      </w:r>
      <w:r>
        <w:t xml:space="preserve"> </w:t>
      </w:r>
      <w:r>
        <w:t xml:space="preserve">JA 012–013.</w:t>
      </w:r>
    </w:p>
  </w:footnote>
  <w:footnote w:id="28">
    <w:p>
      <w:pPr>
        <w:pStyle w:val="FootnoteText"/>
      </w:pPr>
      <w:r>
        <w:rPr>
          <w:rStyle w:val="FootnoteReference"/>
        </w:rPr>
        <w:footnoteRef/>
      </w:r>
      <w:r>
        <w:t xml:space="preserve"> </w:t>
      </w:r>
      <w:r>
        <w:t xml:space="preserve">JA 013.</w:t>
      </w:r>
    </w:p>
  </w:footnote>
  <w:footnote w:id="29">
    <w:p>
      <w:pPr>
        <w:pStyle w:val="FootnoteText"/>
      </w:pPr>
      <w:r>
        <w:rPr>
          <w:rStyle w:val="FootnoteReference"/>
        </w:rPr>
        <w:footnoteRef/>
      </w:r>
      <w:r>
        <w:t xml:space="preserve"> </w:t>
      </w:r>
      <w:r>
        <w:t xml:space="preserve">JA 013–015.</w:t>
      </w:r>
    </w:p>
  </w:footnote>
  <w:footnote w:id="30">
    <w:p>
      <w:pPr>
        <w:pStyle w:val="FootnoteText"/>
      </w:pPr>
      <w:r>
        <w:rPr>
          <w:rStyle w:val="FootnoteReference"/>
        </w:rPr>
        <w:footnoteRef/>
      </w:r>
      <w:r>
        <w:t xml:space="preserve"> </w:t>
      </w:r>
      <w:r>
        <w:t xml:space="preserve">JA 027–035.</w:t>
      </w:r>
    </w:p>
  </w:footnote>
  <w:footnote w:id="31">
    <w:p>
      <w:pPr>
        <w:pStyle w:val="FootnoteText"/>
      </w:pPr>
      <w:r>
        <w:rPr>
          <w:rStyle w:val="FootnoteReference"/>
        </w:rPr>
        <w:footnoteRef/>
      </w:r>
      <w:r>
        <w:t xml:space="preserve"> </w:t>
      </w:r>
      <w:r>
        <w:t xml:space="preserve">JA 036–037.</w:t>
      </w:r>
    </w:p>
  </w:footnote>
  <w:footnote w:id="32">
    <w:p>
      <w:pPr>
        <w:pStyle w:val="FootnoteText"/>
      </w:pPr>
      <w:r>
        <w:rPr>
          <w:rStyle w:val="FootnoteReference"/>
        </w:rPr>
        <w:footnoteRef/>
      </w:r>
      <w:r>
        <w:t xml:space="preserve"> </w:t>
      </w:r>
      <w:r>
        <w:t xml:space="preserve">JA 038.</w:t>
      </w:r>
    </w:p>
  </w:footnote>
  <w:footnote w:id="33">
    <w:p>
      <w:pPr>
        <w:pStyle w:val="FootnoteText"/>
      </w:pPr>
      <w:r>
        <w:rPr>
          <w:rStyle w:val="FootnoteReference"/>
        </w:rPr>
        <w:footnoteRef/>
      </w:r>
      <w:r>
        <w:t xml:space="preserve"> </w:t>
      </w:r>
      <w:r>
        <w:t xml:space="preserve">JA 038–039.</w:t>
      </w:r>
    </w:p>
  </w:footnote>
  <w:footnote w:id="34">
    <w:p>
      <w:pPr>
        <w:pStyle w:val="FootnoteText"/>
      </w:pPr>
      <w:r>
        <w:rPr>
          <w:rStyle w:val="FootnoteReference"/>
        </w:rPr>
        <w:footnoteRef/>
      </w:r>
      <w:r>
        <w:t xml:space="preserve"> </w:t>
      </w:r>
      <w:r>
        <w:t xml:space="preserve">JA 042–044.</w:t>
      </w:r>
    </w:p>
  </w:footnote>
  <w:footnote w:id="35">
    <w:p>
      <w:pPr>
        <w:pStyle w:val="FootnoteText"/>
      </w:pPr>
      <w:r>
        <w:rPr>
          <w:rStyle w:val="FootnoteReference"/>
        </w:rPr>
        <w:footnoteRef/>
      </w:r>
      <w:r>
        <w:t xml:space="preserve"> </w:t>
      </w:r>
      <w:r>
        <w:t xml:space="preserve">JA 038–047.</w:t>
      </w:r>
    </w:p>
  </w:footnote>
  <w:footnote w:id="36">
    <w:p>
      <w:pPr>
        <w:pStyle w:val="FootnoteText"/>
      </w:pPr>
      <w:r>
        <w:rPr>
          <w:rStyle w:val="FootnoteReference"/>
        </w:rPr>
        <w:footnoteRef/>
      </w:r>
      <w:r>
        <w:t xml:space="preserve"> </w:t>
      </w:r>
      <w:r>
        <w:rPr>
          <w:i/>
          <w:iCs/>
        </w:rPr>
        <w:t xml:space="preserve">Id.</w:t>
      </w:r>
    </w:p>
  </w:footnote>
  <w:footnote w:id="37">
    <w:p>
      <w:pPr>
        <w:pStyle w:val="FootnoteText"/>
      </w:pPr>
      <w:r>
        <w:rPr>
          <w:rStyle w:val="FootnoteReference"/>
        </w:rPr>
        <w:footnoteRef/>
      </w:r>
      <w:r>
        <w:t xml:space="preserve"> </w:t>
      </w:r>
      <w:r>
        <w:rPr>
          <w:i/>
          <w:iCs/>
        </w:rPr>
        <w:t xml:space="preserve">Id.</w:t>
      </w:r>
    </w:p>
  </w:footnote>
  <w:footnote w:id="38">
    <w:p>
      <w:pPr>
        <w:pStyle w:val="FootnoteText"/>
      </w:pPr>
      <w:r>
        <w:rPr>
          <w:rStyle w:val="FootnoteReference"/>
        </w:rPr>
        <w:footnoteRef/>
      </w:r>
      <w:r>
        <w:t xml:space="preserve"> </w:t>
      </w:r>
      <w:r>
        <w:t xml:space="preserve">JA 125.</w:t>
      </w:r>
    </w:p>
  </w:footnote>
  <w:footnote w:id="39">
    <w:p>
      <w:pPr>
        <w:pStyle w:val="FootnoteText"/>
      </w:pPr>
      <w:r>
        <w:rPr>
          <w:rStyle w:val="FootnoteReference"/>
        </w:rPr>
        <w:footnoteRef/>
      </w:r>
      <w:r>
        <w:t xml:space="preserve"> </w:t>
      </w:r>
      <w:r>
        <w:rPr>
          <w:i/>
          <w:iCs/>
        </w:rPr>
        <w:t xml:space="preserve">Id.</w:t>
      </w:r>
    </w:p>
  </w:footnote>
  <w:footnote w:id="40">
    <w:p>
      <w:pPr>
        <w:pStyle w:val="FootnoteText"/>
      </w:pPr>
      <w:r>
        <w:rPr>
          <w:rStyle w:val="FootnoteReference"/>
        </w:rPr>
        <w:footnoteRef/>
      </w:r>
      <w:r>
        <w:t xml:space="preserve"> </w:t>
      </w:r>
      <w:r>
        <w:rPr>
          <w:i/>
          <w:iCs/>
        </w:rPr>
        <w:t xml:space="preserve">Id.</w:t>
      </w:r>
    </w:p>
  </w:footnote>
  <w:footnote w:id="41">
    <w:p>
      <w:pPr>
        <w:pStyle w:val="FootnoteText"/>
      </w:pPr>
      <w:r>
        <w:rPr>
          <w:rStyle w:val="FootnoteReference"/>
        </w:rPr>
        <w:footnoteRef/>
      </w:r>
      <w:r>
        <w:t xml:space="preserve"> </w:t>
      </w:r>
      <w:r>
        <w:t xml:space="preserve">JA 120–126.</w:t>
      </w:r>
    </w:p>
  </w:footnote>
  <w:footnote w:id="42">
    <w:p>
      <w:pPr>
        <w:pStyle w:val="FootnoteText"/>
      </w:pPr>
      <w:r>
        <w:rPr>
          <w:rStyle w:val="FootnoteReference"/>
        </w:rPr>
        <w:footnoteRef/>
      </w:r>
      <w:r>
        <w:t xml:space="preserve"> </w:t>
      </w:r>
      <w:r>
        <w:t xml:space="preserve">JA 127.</w:t>
      </w:r>
    </w:p>
  </w:footnote>
  <w:footnote w:id="43">
    <w:p>
      <w:pPr>
        <w:pStyle w:val="FootnoteText"/>
      </w:pPr>
      <w:r>
        <w:rPr>
          <w:rStyle w:val="FootnoteReference"/>
        </w:rPr>
        <w:footnoteRef/>
      </w:r>
      <w:r>
        <w:t xml:space="preserve"> </w:t>
      </w:r>
      <w:r>
        <w:t xml:space="preserve">JA 141 (emphasis added).</w:t>
      </w:r>
    </w:p>
  </w:footnote>
  <w:footnote w:id="44">
    <w:p>
      <w:pPr>
        <w:pStyle w:val="FootnoteText"/>
      </w:pPr>
      <w:r>
        <w:rPr>
          <w:rStyle w:val="FootnoteReference"/>
        </w:rPr>
        <w:footnoteRef/>
      </w:r>
      <w:r>
        <w:t xml:space="preserve"> </w:t>
      </w:r>
      <w:r>
        <w:t xml:space="preserve">JA 148 (emphasis added).</w:t>
      </w:r>
    </w:p>
  </w:footnote>
  <w:footnote w:id="45">
    <w:p>
      <w:pPr>
        <w:pStyle w:val="FootnoteText"/>
      </w:pPr>
      <w:r>
        <w:rPr>
          <w:rStyle w:val="FootnoteReference"/>
        </w:rPr>
        <w:footnoteRef/>
      </w:r>
      <w:r>
        <w:t xml:space="preserve"> </w:t>
      </w:r>
      <w:r>
        <w:t xml:space="preserve">JA 288–308.</w:t>
      </w:r>
    </w:p>
  </w:footnote>
  <w:footnote w:id="46">
    <w:p>
      <w:pPr>
        <w:pStyle w:val="FootnoteText"/>
      </w:pPr>
      <w:r>
        <w:rPr>
          <w:rStyle w:val="FootnoteReference"/>
        </w:rPr>
        <w:footnoteRef/>
      </w:r>
      <w:r>
        <w:t xml:space="preserve"> </w:t>
      </w:r>
      <w:r>
        <w:t xml:space="preserve">JA 120–126.</w:t>
      </w:r>
    </w:p>
  </w:footnote>
  <w:footnote w:id="47">
    <w:p>
      <w:pPr>
        <w:pStyle w:val="FootnoteText"/>
      </w:pPr>
      <w:r>
        <w:rPr>
          <w:rStyle w:val="FootnoteReference"/>
        </w:rPr>
        <w:footnoteRef/>
      </w:r>
      <w:r>
        <w:t xml:space="preserve"> </w:t>
      </w:r>
      <w:r>
        <w:t xml:space="preserve">JA 124–125.</w:t>
      </w:r>
    </w:p>
  </w:footnote>
  <w:footnote w:id="48">
    <w:p>
      <w:pPr>
        <w:pStyle w:val="FootnoteText"/>
      </w:pPr>
      <w:r>
        <w:rPr>
          <w:rStyle w:val="FootnoteReference"/>
        </w:rPr>
        <w:footnoteRef/>
      </w:r>
      <w:r>
        <w:t xml:space="preserve"> </w:t>
      </w:r>
      <w:r>
        <w:rPr>
          <w:i/>
          <w:iCs/>
        </w:rPr>
        <w:t xml:space="preserve">Compare</w:t>
      </w:r>
      <w:r>
        <w:t xml:space="preserve"> </w:t>
      </w:r>
      <w:r>
        <w:t xml:space="preserve">W. Va. Code § 55-⁠7B-⁠2</w:t>
      </w:r>
      <w:r>
        <w:t xml:space="preserve">(i) (emphasis added)</w:t>
      </w:r>
      <w:r>
        <w:t xml:space="preserve"> </w:t>
      </w:r>
      <w:r>
        <w:rPr>
          <w:i/>
          <w:iCs/>
        </w:rPr>
        <w:t xml:space="preserve">with</w:t>
      </w:r>
      <w:r>
        <w:t xml:space="preserve"> </w:t>
      </w:r>
      <w:r>
        <w:t xml:space="preserve">JA 124–125.</w:t>
      </w:r>
    </w:p>
  </w:footnote>
  <w:footnote w:id="49">
    <w:p>
      <w:pPr>
        <w:pStyle w:val="FootnoteText"/>
      </w:pPr>
      <w:r>
        <w:rPr>
          <w:rStyle w:val="FootnoteReference"/>
        </w:rPr>
        <w:footnoteRef/>
      </w:r>
      <w:r>
        <w:t xml:space="preserve"> </w:t>
      </w:r>
      <w:r>
        <w:t xml:space="preserve">JA 294–295 (quoting</w:t>
      </w:r>
      <w:r>
        <w:t xml:space="preserve"> </w:t>
      </w:r>
      <w:r>
        <w:rPr>
          <w:i/>
          <w:iCs/>
        </w:rPr>
        <w:t xml:space="preserve">State ex rel. W. Va. Div. of Corr. &amp; Rehab. v. Ferguson</w:t>
      </w:r>
      <w:r>
        <w:t xml:space="preserve">, 889 S.E.2d 44, 53 (W. Va. 2023)).</w:t>
      </w:r>
    </w:p>
  </w:footnote>
  <w:footnote w:id="50">
    <w:p>
      <w:pPr>
        <w:pStyle w:val="FootnoteText"/>
      </w:pPr>
      <w:r>
        <w:rPr>
          <w:rStyle w:val="FootnoteReference"/>
        </w:rPr>
        <w:footnoteRef/>
      </w:r>
      <w:r>
        <w:t xml:space="preserve"> </w:t>
      </w:r>
      <w:r>
        <w:t xml:space="preserve">W. Va. Code § 55-⁠7B-⁠2</w:t>
      </w:r>
      <w:r>
        <w:t xml:space="preserve">(i) (emphasis added).</w:t>
      </w:r>
    </w:p>
  </w:footnote>
  <w:footnote w:id="51">
    <w:p>
      <w:pPr>
        <w:pStyle w:val="FootnoteText"/>
      </w:pPr>
      <w:r>
        <w:rPr>
          <w:rStyle w:val="FootnoteReference"/>
        </w:rPr>
        <w:footnoteRef/>
      </w:r>
      <w:r>
        <w:t xml:space="preserve"> </w:t>
      </w:r>
      <w:r>
        <w:rPr>
          <w:i/>
          <w:iCs/>
        </w:rPr>
        <w:t xml:space="preserve">Id.</w:t>
      </w:r>
    </w:p>
  </w:footnote>
  <w:footnote w:id="52">
    <w:p>
      <w:pPr>
        <w:pStyle w:val="FootnoteText"/>
      </w:pPr>
      <w:r>
        <w:rPr>
          <w:rStyle w:val="FootnoteReference"/>
        </w:rPr>
        <w:footnoteRef/>
      </w:r>
      <w:r>
        <w:t xml:space="preserve"> </w:t>
      </w:r>
      <w:r>
        <w:t xml:space="preserve">JA 193.</w:t>
      </w:r>
    </w:p>
  </w:footnote>
  <w:footnote w:id="53">
    <w:p>
      <w:pPr>
        <w:pStyle w:val="FootnoteText"/>
      </w:pPr>
      <w:r>
        <w:rPr>
          <w:rStyle w:val="FootnoteReference"/>
        </w:rPr>
        <w:footnoteRef/>
      </w:r>
      <w:r>
        <w:t xml:space="preserve"> </w:t>
      </w:r>
      <w:r>
        <w:rPr>
          <w:i/>
          <w:iCs/>
        </w:rPr>
        <w:t xml:space="preserve">Id.</w:t>
      </w:r>
    </w:p>
  </w:footnote>
  <w:footnote w:id="54">
    <w:p>
      <w:pPr>
        <w:pStyle w:val="FootnoteText"/>
      </w:pPr>
      <w:r>
        <w:rPr>
          <w:rStyle w:val="FootnoteReference"/>
        </w:rPr>
        <w:footnoteRef/>
      </w:r>
      <w:r>
        <w:t xml:space="preserve"> </w:t>
      </w:r>
      <w:r>
        <w:rPr>
          <w:i/>
          <w:iCs/>
        </w:rPr>
        <w:t xml:space="preserve">See</w:t>
      </w:r>
      <w:r>
        <w:t xml:space="preserve"> </w:t>
      </w:r>
      <w:r>
        <w:t xml:space="preserve">W. Va. Code § 55-⁠7B-⁠2</w:t>
      </w:r>
      <w:r>
        <w:t xml:space="preserve">(i) (emphasis added).</w:t>
      </w:r>
    </w:p>
  </w:footnote>
  <w:footnote w:id="55">
    <w:p>
      <w:pPr>
        <w:pStyle w:val="FootnoteText"/>
      </w:pPr>
      <w:r>
        <w:rPr>
          <w:rStyle w:val="FootnoteReference"/>
        </w:rPr>
        <w:footnoteRef/>
      </w:r>
      <w:r>
        <w:t xml:space="preserve"> </w:t>
      </w:r>
      <w:r>
        <w:t xml:space="preserve">Syl. Pt. 11,</w:t>
      </w:r>
      <w:r>
        <w:t xml:space="preserve"> </w:t>
      </w:r>
      <w:r>
        <w:rPr>
          <w:i/>
          <w:iCs/>
        </w:rPr>
        <w:t xml:space="preserve">Brooke</w:t>
      </w:r>
      <w:r>
        <w:rPr>
          <w:i/>
          <w:iCs/>
        </w:rPr>
        <w:t xml:space="preserve"> </w:t>
      </w:r>
      <w:r>
        <w:rPr>
          <w:i/>
          <w:iCs/>
        </w:rPr>
        <w:t xml:space="preserve">B. v. Ray</w:t>
      </w:r>
      <w:r>
        <w:t xml:space="preserve">, 230 W. Va. 355, 738 S.E.2d 21 (2013) (“courts are not to eliminate through judicial interpretation words that were purposely included[.]”)).</w:t>
      </w:r>
    </w:p>
  </w:footnote>
  <w:footnote w:id="56">
    <w:p>
      <w:pPr>
        <w:pStyle w:val="FootnoteText"/>
      </w:pPr>
      <w:r>
        <w:rPr>
          <w:rStyle w:val="FootnoteReference"/>
        </w:rPr>
        <w:footnoteRef/>
      </w:r>
      <w:r>
        <w:t xml:space="preserve"> </w:t>
      </w:r>
      <w:r>
        <w:t xml:space="preserve">JA 304 (citing § 55-⁠7B-⁠2</w:t>
      </w:r>
      <w:r>
        <w:t xml:space="preserve">(i)).</w:t>
      </w:r>
    </w:p>
  </w:footnote>
  <w:footnote w:id="57">
    <w:p>
      <w:pPr>
        <w:pStyle w:val="FootnoteText"/>
      </w:pPr>
      <w:r>
        <w:rPr>
          <w:rStyle w:val="FootnoteReference"/>
        </w:rPr>
        <w:footnoteRef/>
      </w:r>
      <w:r>
        <w:t xml:space="preserve"> </w:t>
      </w:r>
      <w:r>
        <w:rPr>
          <w:i/>
          <w:iCs/>
        </w:rPr>
        <w:t xml:space="preserve">See e.g.</w:t>
      </w:r>
      <w:r>
        <w:t xml:space="preserve">, W. Va. Code § 17C-⁠4-⁠1(a) (subsection of code setting forth duties when “driver of any vehicle involved in a crash resulting in the injury to or death of any person” contained in section entitled “Crashes involving death or personal injuries”); W. Va. Code § 19-⁠18-⁠1(a) (subsection of code creating liability for “damages for personal injury or property damage” in section entitled “damages for injuries to person or property”).</w:t>
      </w:r>
    </w:p>
  </w:footnote>
  <w:footnote w:id="58">
    <w:p>
      <w:pPr>
        <w:pStyle w:val="FootnoteText"/>
      </w:pPr>
      <w:r>
        <w:rPr>
          <w:rStyle w:val="FootnoteReference"/>
        </w:rPr>
        <w:footnoteRef/>
      </w:r>
      <w:r>
        <w:t xml:space="preserve"> </w:t>
      </w:r>
      <w:r>
        <w:rPr>
          <w:i/>
          <w:iCs/>
        </w:rPr>
        <w:t xml:space="preserve">See e.g.</w:t>
      </w:r>
      <w:r>
        <w:t xml:space="preserve">, W. Va. Code § 17A-⁠4A-⁠11 (“Article to create no cause of action against such lienor for damage to property or injury to person.”); W. Va. Code § 19-⁠18-⁠1 (section relating to “damages for injuries to person or property”); W. Va. Code § 61-⁠5A-⁠2(9) (“Harm” means loss to a person, physical injury of a person or injury to the property of a person, including loss to, physical injury of or injury to the property of any other person in whose welfare he is interested);</w:t>
      </w:r>
      <w:r>
        <w:t xml:space="preserve"> </w:t>
      </w:r>
      <w:r>
        <w:rPr>
          <w:i/>
          <w:iCs/>
        </w:rPr>
        <w:t xml:space="preserve">compare</w:t>
      </w:r>
      <w:r>
        <w:t xml:space="preserve"> </w:t>
      </w:r>
      <w:r>
        <w:t xml:space="preserve">W. Va. Code § 17C-⁠4-⁠1(a) (setting forth duties when “driver of any vehicle involved in a crash resulting in the injury to or death of any person”)</w:t>
      </w:r>
      <w:r>
        <w:t xml:space="preserve"> </w:t>
      </w:r>
      <w:r>
        <w:rPr>
          <w:i/>
          <w:iCs/>
        </w:rPr>
        <w:t xml:space="preserve">with</w:t>
      </w:r>
      <w:r>
        <w:t xml:space="preserve"> </w:t>
      </w:r>
      <w:r>
        <w:t xml:space="preserve">W. Va. Code § 17C-⁠4-⁠2 (setting forth duties when “driver of any vehicle involved in a crash resulting only in damage to a vehicle”).</w:t>
      </w:r>
    </w:p>
  </w:footnote>
  <w:footnote w:id="59">
    <w:p>
      <w:pPr>
        <w:pStyle w:val="FootnoteText"/>
      </w:pPr>
      <w:r>
        <w:rPr>
          <w:rStyle w:val="FootnoteReference"/>
        </w:rPr>
        <w:footnoteRef/>
      </w:r>
      <w:r>
        <w:t xml:space="preserve"> </w:t>
      </w:r>
      <w:r>
        <w:t xml:space="preserve">JA 304 (citing § 55-⁠7B-⁠2</w:t>
      </w:r>
      <w:r>
        <w:t xml:space="preserve">(h)) (underscore added italics by court).</w:t>
      </w:r>
    </w:p>
  </w:footnote>
  <w:footnote w:id="60">
    <w:p>
      <w:pPr>
        <w:pStyle w:val="FootnoteText"/>
      </w:pPr>
      <w:r>
        <w:rPr>
          <w:rStyle w:val="FootnoteReference"/>
        </w:rPr>
        <w:footnoteRef/>
      </w:r>
      <w:r>
        <w:t xml:space="preserve"> </w:t>
      </w:r>
      <w:r>
        <w:rPr>
          <w:i/>
          <w:iCs/>
        </w:rPr>
        <w:t xml:space="preserve">See</w:t>
      </w:r>
      <w:r>
        <w:t xml:space="preserve"> </w:t>
      </w:r>
      <w:r>
        <w:t xml:space="preserve">W. Va. Code § 55-⁠7B-⁠4</w:t>
      </w:r>
      <w:r>
        <w:t xml:space="preserve">(a).</w:t>
      </w:r>
    </w:p>
  </w:footnote>
  <w:footnote w:id="61">
    <w:p>
      <w:pPr>
        <w:pStyle w:val="FootnoteText"/>
      </w:pPr>
      <w:r>
        <w:rPr>
          <w:rStyle w:val="FootnoteReference"/>
        </w:rPr>
        <w:footnoteRef/>
      </w:r>
      <w:r>
        <w:t xml:space="preserve"> </w:t>
      </w:r>
      <w:r>
        <w:t xml:space="preserve">W. Va. Code § 55-⁠7B-⁠3</w:t>
      </w:r>
      <w:r>
        <w:t xml:space="preserve">(a)⁠(1).</w:t>
      </w:r>
    </w:p>
  </w:footnote>
  <w:footnote w:id="62">
    <w:p>
      <w:pPr>
        <w:pStyle w:val="FootnoteText"/>
      </w:pPr>
      <w:r>
        <w:rPr>
          <w:rStyle w:val="FootnoteReference"/>
        </w:rPr>
        <w:footnoteRef/>
      </w:r>
      <w:r>
        <w:t xml:space="preserve"> </w:t>
      </w:r>
      <w:r>
        <w:t xml:space="preserve">W. Va. Code § 55-⁠7B-⁠6</w:t>
      </w:r>
      <w:r>
        <w:t xml:space="preserve">(b)⁠(3).</w:t>
      </w:r>
    </w:p>
  </w:footnote>
  <w:footnote w:id="63">
    <w:p>
      <w:pPr>
        <w:pStyle w:val="FootnoteText"/>
      </w:pPr>
      <w:r>
        <w:rPr>
          <w:rStyle w:val="FootnoteReference"/>
        </w:rPr>
        <w:footnoteRef/>
      </w:r>
      <w:r>
        <w:t xml:space="preserve"> </w:t>
      </w:r>
      <w:r>
        <w:t xml:space="preserve">W. Va. Code § 55-⁠7B-⁠6</w:t>
      </w:r>
      <w:r>
        <w:t xml:space="preserve">(b)⁠(2) (emphasis added) (incorporating § 55-⁠7B-⁠7</w:t>
      </w:r>
      <w:r>
        <w:t xml:space="preserve">(a)⁠(5) and § 55-⁠7B-⁠7</w:t>
      </w:r>
      <w:r>
        <w:t xml:space="preserve">(a)⁠(6)).</w:t>
      </w:r>
    </w:p>
  </w:footnote>
  <w:footnote w:id="64">
    <w:p>
      <w:pPr>
        <w:pStyle w:val="FootnoteText"/>
      </w:pPr>
      <w:r>
        <w:rPr>
          <w:rStyle w:val="FootnoteReference"/>
        </w:rPr>
        <w:footnoteRef/>
      </w:r>
      <w:r>
        <w:t xml:space="preserve"> </w:t>
      </w:r>
      <w:r>
        <w:t xml:space="preserve">W.Va. Code §§ 55-⁠7B-⁠7</w:t>
      </w:r>
      <w:r>
        <w:t xml:space="preserve">(a)⁠(5), (6).</w:t>
      </w:r>
    </w:p>
  </w:footnote>
  <w:footnote w:id="65">
    <w:p>
      <w:pPr>
        <w:pStyle w:val="FootnoteText"/>
      </w:pPr>
      <w:r>
        <w:rPr>
          <w:rStyle w:val="FootnoteReference"/>
        </w:rPr>
        <w:footnoteRef/>
      </w:r>
      <w:r>
        <w:t xml:space="preserve"> </w:t>
      </w:r>
      <w:r>
        <w:t xml:space="preserve">W.Va. Code § 55-⁠7B-⁠7</w:t>
      </w:r>
      <w:r>
        <w:t xml:space="preserve">(a)⁠(2) (emphasis added).</w:t>
      </w:r>
    </w:p>
  </w:footnote>
  <w:footnote w:id="66">
    <w:p>
      <w:pPr>
        <w:pStyle w:val="FootnoteText"/>
      </w:pPr>
      <w:r>
        <w:rPr>
          <w:rStyle w:val="FootnoteReference"/>
        </w:rPr>
        <w:footnoteRef/>
      </w:r>
      <w:r>
        <w:t xml:space="preserve"> </w:t>
      </w:r>
      <w:r>
        <w:t xml:space="preserve">W.Va. Code § 55-⁠7B-⁠7</w:t>
      </w:r>
      <w:r>
        <w:t xml:space="preserve">(a)⁠(4) (emphasis added).</w:t>
      </w:r>
    </w:p>
  </w:footnote>
  <w:footnote w:id="67">
    <w:p>
      <w:pPr>
        <w:pStyle w:val="FootnoteText"/>
      </w:pPr>
      <w:r>
        <w:rPr>
          <w:rStyle w:val="FootnoteReference"/>
        </w:rPr>
        <w:footnoteRef/>
      </w:r>
      <w:r>
        <w:t xml:space="preserve"> </w:t>
      </w:r>
      <w:r>
        <w:t xml:space="preserve">Syl. Pt. 1,</w:t>
      </w:r>
      <w:r>
        <w:t xml:space="preserve"> </w:t>
      </w:r>
      <w:r>
        <w:rPr>
          <w:i/>
          <w:iCs/>
        </w:rPr>
        <w:t xml:space="preserve">Justice</w:t>
      </w:r>
      <w:r>
        <w:rPr>
          <w:i/>
          <w:iCs/>
        </w:rPr>
        <w:t xml:space="preserve"> </w:t>
      </w:r>
      <w:r>
        <w:rPr>
          <w:i/>
          <w:iCs/>
        </w:rPr>
        <w:t xml:space="preserve">v. W. Va. Office of Ins. Comm’n</w:t>
      </w:r>
      <w:r>
        <w:t xml:space="preserve">, 230 W. Va. 80, 736 S.E.2d 80 (2012) (“Where a particular construction of a statute would result in an absurdity, some other reasonable construction, which will not produce such absurdity will be made.”).</w:t>
      </w:r>
    </w:p>
  </w:footnote>
  <w:footnote w:id="68">
    <w:p>
      <w:pPr>
        <w:pStyle w:val="FootnoteText"/>
      </w:pPr>
      <w:r>
        <w:rPr>
          <w:rStyle w:val="FootnoteReference"/>
        </w:rPr>
        <w:footnoteRef/>
      </w:r>
      <w:r>
        <w:t xml:space="preserve"> </w:t>
      </w:r>
      <w:r>
        <w:t xml:space="preserve">JA 125.</w:t>
      </w:r>
    </w:p>
  </w:footnote>
  <w:footnote w:id="69">
    <w:p>
      <w:pPr>
        <w:pStyle w:val="FootnoteText"/>
      </w:pPr>
      <w:r>
        <w:rPr>
          <w:rStyle w:val="FootnoteReference"/>
        </w:rPr>
        <w:footnoteRef/>
      </w:r>
      <w:r>
        <w:t xml:space="preserve"> </w:t>
      </w:r>
      <w:r>
        <w:rPr>
          <w:i/>
          <w:iCs/>
        </w:rPr>
        <w:t xml:space="preserve">Hicks</w:t>
      </w:r>
      <w:r>
        <w:rPr>
          <w:i/>
          <w:iCs/>
        </w:rPr>
        <w:t xml:space="preserve"> </w:t>
      </w:r>
      <w:r>
        <w:rPr>
          <w:i/>
          <w:iCs/>
        </w:rPr>
        <w:t xml:space="preserve">v. Ghaphery</w:t>
      </w:r>
      <w:r>
        <w:t xml:space="preserve">, 212 W. Va. 327, 339, 571 S.E.2d 317, 329 (2002) (emphasis added).</w:t>
      </w:r>
    </w:p>
  </w:footnote>
  <w:footnote w:id="70">
    <w:p>
      <w:pPr>
        <w:pStyle w:val="FootnoteText"/>
      </w:pPr>
      <w:r>
        <w:rPr>
          <w:rStyle w:val="FootnoteReference"/>
        </w:rPr>
        <w:footnoteRef/>
      </w:r>
      <w:r>
        <w:t xml:space="preserve"> </w:t>
      </w:r>
      <w:r>
        <w:rPr>
          <w:i/>
          <w:iCs/>
        </w:rPr>
        <w:t xml:space="preserve">Gaither</w:t>
      </w:r>
      <w:r>
        <w:rPr>
          <w:i/>
          <w:iCs/>
        </w:rPr>
        <w:t xml:space="preserve"> </w:t>
      </w:r>
      <w:r>
        <w:rPr>
          <w:i/>
          <w:iCs/>
        </w:rPr>
        <w:t xml:space="preserve">v. City Hosp., Inc.</w:t>
      </w:r>
      <w:r>
        <w:t xml:space="preserve">, 199 W. Va. 706, 714, 487 S.E.2d 901, 909 (1997) (emphasis added).</w:t>
      </w:r>
    </w:p>
  </w:footnote>
  <w:footnote w:id="71">
    <w:p>
      <w:pPr>
        <w:pStyle w:val="FootnoteText"/>
      </w:pPr>
      <w:r>
        <w:rPr>
          <w:rStyle w:val="FootnoteReference"/>
        </w:rPr>
        <w:footnoteRef/>
      </w:r>
      <w:r>
        <w:t xml:space="preserve"> </w:t>
      </w:r>
      <w:r>
        <w:rPr>
          <w:i/>
          <w:iCs/>
        </w:rPr>
        <w:t xml:space="preserve">State ex rel. Morgantown Operating Co., LLC v. Gaujot</w:t>
      </w:r>
      <w:r>
        <w:t xml:space="preserve">, 245 W. Va. 415, 429, 859 S.E.2d 358, 372 (2021) (emphasis added).</w:t>
      </w:r>
    </w:p>
  </w:footnote>
  <w:footnote w:id="72">
    <w:p>
      <w:pPr>
        <w:pStyle w:val="FootnoteText"/>
      </w:pPr>
      <w:r>
        <w:rPr>
          <w:rStyle w:val="FootnoteReference"/>
        </w:rPr>
        <w:footnoteRef/>
      </w:r>
      <w:r>
        <w:t xml:space="preserve"> </w:t>
      </w:r>
      <w:r>
        <w:rPr>
          <w:i/>
          <w:iCs/>
        </w:rPr>
        <w:t xml:space="preserve">See generally</w:t>
      </w:r>
      <w:r>
        <w:t xml:space="preserve"> </w:t>
      </w:r>
      <w:r>
        <w:t xml:space="preserve">JA 005–016.</w:t>
      </w:r>
    </w:p>
  </w:footnote>
  <w:footnote w:id="73">
    <w:p>
      <w:pPr>
        <w:pStyle w:val="FootnoteText"/>
      </w:pPr>
      <w:r>
        <w:rPr>
          <w:rStyle w:val="FootnoteReference"/>
        </w:rPr>
        <w:footnoteRef/>
      </w:r>
      <w:r>
        <w:t xml:space="preserve"> </w:t>
      </w:r>
      <w:r>
        <w:rPr>
          <w:i/>
          <w:iCs/>
        </w:rPr>
        <w:t xml:space="preserve">See</w:t>
      </w:r>
      <w:r>
        <w:t xml:space="preserve"> </w:t>
      </w:r>
      <w:r>
        <w:t xml:space="preserve">W. Va. Code § 55-⁠7B-⁠2</w:t>
      </w:r>
      <w:r>
        <w:t xml:space="preserve">(i) (emphasis added).</w:t>
      </w:r>
    </w:p>
  </w:footnote>
  <w:footnote w:id="74">
    <w:p>
      <w:pPr>
        <w:pStyle w:val="FootnoteText"/>
      </w:pPr>
      <w:r>
        <w:rPr>
          <w:rStyle w:val="FootnoteReference"/>
        </w:rPr>
        <w:footnoteRef/>
      </w:r>
      <w:r>
        <w:t xml:space="preserve"> </w:t>
      </w:r>
      <w:r>
        <w:rPr>
          <w:i/>
          <w:iCs/>
        </w:rPr>
        <w:t xml:space="preserve">See, e.g.</w:t>
      </w:r>
      <w:r>
        <w:t xml:space="preserve">,</w:t>
      </w:r>
      <w:r>
        <w:t xml:space="preserve"> </w:t>
      </w:r>
      <w:r>
        <w:rPr>
          <w:i/>
          <w:iCs/>
        </w:rPr>
        <w:t xml:space="preserve">Gaujot</w:t>
      </w:r>
      <w:r>
        <w:t xml:space="preserve">, 245 W. Va. at 429, 859 S.E.2d at 372;</w:t>
      </w:r>
      <w:r>
        <w:t xml:space="preserve"> </w:t>
      </w:r>
      <w:r>
        <w:rPr>
          <w:i/>
          <w:iCs/>
        </w:rPr>
        <w:t xml:space="preserve">Hicks</w:t>
      </w:r>
      <w:r>
        <w:t xml:space="preserve">, 212 W. Va. at 339, 571 S.E.2d at 329.</w:t>
      </w:r>
    </w:p>
  </w:footnote>
  <w:footnote w:id="75">
    <w:p>
      <w:pPr>
        <w:pStyle w:val="FootnoteText"/>
      </w:pPr>
      <w:r>
        <w:rPr>
          <w:rStyle w:val="FootnoteReference"/>
        </w:rPr>
        <w:footnoteRef/>
      </w:r>
      <w:r>
        <w:t xml:space="preserve"> </w:t>
      </w:r>
      <w:r>
        <w:rPr>
          <w:i/>
          <w:iCs/>
        </w:rPr>
        <w:t xml:space="preserve">Flannery</w:t>
      </w:r>
      <w:r>
        <w:rPr>
          <w:i/>
          <w:iCs/>
        </w:rPr>
        <w:t xml:space="preserve"> </w:t>
      </w:r>
      <w:r>
        <w:rPr>
          <w:i/>
          <w:iCs/>
        </w:rPr>
        <w:t xml:space="preserve">v. U.S.</w:t>
      </w:r>
      <w:r>
        <w:t xml:space="preserve">, 171 W. Va. 27, 29, 297 S.E.2d 433, 435 (1982) (emphasis added).</w:t>
      </w:r>
    </w:p>
  </w:footnote>
  <w:footnote w:id="76">
    <w:p>
      <w:pPr>
        <w:pStyle w:val="FootnoteText"/>
      </w:pPr>
      <w:r>
        <w:rPr>
          <w:rStyle w:val="FootnoteReference"/>
        </w:rPr>
        <w:footnoteRef/>
      </w:r>
      <w:r>
        <w:t xml:space="preserve"> </w:t>
      </w:r>
      <w:r>
        <w:rPr>
          <w:i/>
          <w:iCs/>
        </w:rPr>
        <w:t xml:space="preserve">See Hicks</w:t>
      </w:r>
      <w:r>
        <w:t xml:space="preserve">, 212 W. Va. at 339, 571 S.E.2d at 329;</w:t>
      </w:r>
      <w:r>
        <w:t xml:space="preserve"> </w:t>
      </w:r>
      <w:r>
        <w:rPr>
          <w:i/>
          <w:iCs/>
        </w:rPr>
        <w:t xml:space="preserve">Gaujot</w:t>
      </w:r>
      <w:r>
        <w:t xml:space="preserve">, 245 W. Va. at 419–420, 859 S.E.2d at 362–363 (emphasis added).</w:t>
      </w:r>
    </w:p>
  </w:footnote>
  <w:footnote w:id="77">
    <w:p>
      <w:pPr>
        <w:pStyle w:val="FootnoteText"/>
      </w:pPr>
      <w:r>
        <w:rPr>
          <w:rStyle w:val="FootnoteReference"/>
        </w:rPr>
        <w:footnoteRef/>
      </w:r>
      <w:r>
        <w:t xml:space="preserve"> </w:t>
      </w:r>
      <w:r>
        <w:rPr>
          <w:i/>
          <w:iCs/>
        </w:rPr>
        <w:t xml:space="preserve">Trivett</w:t>
      </w:r>
      <w:r>
        <w:rPr>
          <w:i/>
          <w:iCs/>
        </w:rPr>
        <w:t xml:space="preserve"> </w:t>
      </w:r>
      <w:r>
        <w:rPr>
          <w:i/>
          <w:iCs/>
        </w:rPr>
        <w:t xml:space="preserve">v. Summers County Commission</w:t>
      </w:r>
      <w:r>
        <w:t xml:space="preserve">, 249 W. Va. 231, 895 S.E.2d 86 (2023).</w:t>
      </w:r>
    </w:p>
  </w:footnote>
  <w:footnote w:id="78">
    <w:p>
      <w:pPr>
        <w:pStyle w:val="FootnoteText"/>
      </w:pPr>
      <w:r>
        <w:rPr>
          <w:rStyle w:val="FootnoteReference"/>
        </w:rPr>
        <w:footnoteRef/>
      </w:r>
      <w:r>
        <w:t xml:space="preserve"> </w:t>
      </w:r>
      <w:r>
        <w:rPr>
          <w:i/>
          <w:iCs/>
        </w:rPr>
        <w:t xml:space="preserve">State ex rel. West Virginia University Hospitals, Inc. v. Scott</w:t>
      </w:r>
      <w:r>
        <w:t xml:space="preserve">, 246 W. Va. 184, 866 S.E.2d 350 (2021).</w:t>
      </w:r>
    </w:p>
  </w:footnote>
  <w:footnote w:id="79">
    <w:p>
      <w:pPr>
        <w:pStyle w:val="FootnoteText"/>
      </w:pPr>
      <w:r>
        <w:rPr>
          <w:rStyle w:val="FootnoteReference"/>
        </w:rPr>
        <w:footnoteRef/>
      </w:r>
      <w:r>
        <w:t xml:space="preserve"> </w:t>
      </w:r>
      <w:r>
        <w:rPr>
          <w:i/>
          <w:iCs/>
        </w:rPr>
        <w:t xml:space="preserve">Blankenship</w:t>
      </w:r>
      <w:r>
        <w:rPr>
          <w:i/>
          <w:iCs/>
        </w:rPr>
        <w:t xml:space="preserve"> </w:t>
      </w:r>
      <w:r>
        <w:rPr>
          <w:i/>
          <w:iCs/>
        </w:rPr>
        <w:t xml:space="preserve">v. Ethicon, Inc.</w:t>
      </w:r>
      <w:r>
        <w:t xml:space="preserve">, 221 W. Va. 700, 656 S.E.2d 451 (2007).</w:t>
      </w:r>
    </w:p>
  </w:footnote>
  <w:footnote w:id="80">
    <w:p>
      <w:pPr>
        <w:pStyle w:val="FootnoteText"/>
      </w:pPr>
      <w:r>
        <w:rPr>
          <w:rStyle w:val="FootnoteReference"/>
        </w:rPr>
        <w:footnoteRef/>
      </w:r>
      <w:r>
        <w:t xml:space="preserve"> </w:t>
      </w:r>
      <w:r>
        <w:rPr>
          <w:i/>
          <w:iCs/>
        </w:rPr>
        <w:t xml:space="preserve">Sexton</w:t>
      </w:r>
      <w:r>
        <w:rPr>
          <w:i/>
          <w:iCs/>
        </w:rPr>
        <w:t xml:space="preserve"> </w:t>
      </w:r>
      <w:r>
        <w:rPr>
          <w:i/>
          <w:iCs/>
        </w:rPr>
        <w:t xml:space="preserve">v. Grieco</w:t>
      </w:r>
      <w:r>
        <w:t xml:space="preserve">, 216 W. Va. 714, 613 S.E.2d 81 (2005).</w:t>
      </w:r>
    </w:p>
  </w:footnote>
  <w:footnote w:id="81">
    <w:p>
      <w:pPr>
        <w:pStyle w:val="FootnoteText"/>
      </w:pPr>
      <w:r>
        <w:rPr>
          <w:rStyle w:val="FootnoteReference"/>
        </w:rPr>
        <w:footnoteRef/>
      </w:r>
      <w:r>
        <w:t xml:space="preserve"> </w:t>
      </w:r>
      <w:r>
        <w:t xml:space="preserve">W. Va. Code § 55-⁠7B-⁠1</w:t>
      </w:r>
      <w:r>
        <w:t xml:space="preserve"> </w:t>
      </w:r>
      <w:r>
        <w:t xml:space="preserve">(emphasis added).</w:t>
      </w:r>
    </w:p>
  </w:footnote>
  <w:footnote w:id="82">
    <w:p>
      <w:pPr>
        <w:pStyle w:val="FootnoteText"/>
      </w:pPr>
      <w:r>
        <w:rPr>
          <w:rStyle w:val="FootnoteReference"/>
        </w:rPr>
        <w:footnoteRef/>
      </w:r>
      <w:r>
        <w:t xml:space="preserve"> </w:t>
      </w:r>
      <w:r>
        <w:rPr>
          <w:i/>
          <w:iCs/>
        </w:rPr>
        <w:t xml:space="preserve">Mack-Evans</w:t>
      </w:r>
      <w:r>
        <w:rPr>
          <w:i/>
          <w:iCs/>
        </w:rPr>
        <w:t xml:space="preserve"> </w:t>
      </w:r>
      <w:r>
        <w:rPr>
          <w:i/>
          <w:iCs/>
        </w:rPr>
        <w:t xml:space="preserve">v. Hilltop Healthcare Ctr.</w:t>
      </w:r>
      <w:r>
        <w:t xml:space="preserve">, 226 W. Va. 257, 700 S.E.2d 317 (2010);</w:t>
      </w:r>
      <w:r>
        <w:t xml:space="preserve"> </w:t>
      </w:r>
      <w:r>
        <w:rPr>
          <w:i/>
          <w:iCs/>
        </w:rPr>
        <w:t xml:space="preserve">Nees</w:t>
      </w:r>
      <w:r>
        <w:rPr>
          <w:i/>
          <w:iCs/>
        </w:rPr>
        <w:t xml:space="preserve"> </w:t>
      </w:r>
      <w:r>
        <w:rPr>
          <w:i/>
          <w:iCs/>
        </w:rPr>
        <w:t xml:space="preserve">v. Julian Goldman Stores</w:t>
      </w:r>
      <w:r>
        <w:t xml:space="preserve">, 109 W. Va. 329, 154 S.E. 769 (1930) (personal injury case where plaintiff miscarried after being physically attacked by defendant’s employee).</w:t>
      </w:r>
    </w:p>
  </w:footnote>
  <w:footnote w:id="83">
    <w:p>
      <w:pPr>
        <w:pStyle w:val="FootnoteText"/>
      </w:pPr>
      <w:r>
        <w:rPr>
          <w:rStyle w:val="FootnoteReference"/>
        </w:rPr>
        <w:footnoteRef/>
      </w:r>
      <w:r>
        <w:t xml:space="preserve"> </w:t>
      </w:r>
      <w:r>
        <w:rPr>
          <w:i/>
          <w:iCs/>
        </w:rPr>
        <w:t xml:space="preserve">Courtney</w:t>
      </w:r>
      <w:r>
        <w:rPr>
          <w:i/>
          <w:iCs/>
        </w:rPr>
        <w:t xml:space="preserve"> </w:t>
      </w:r>
      <w:r>
        <w:rPr>
          <w:i/>
          <w:iCs/>
        </w:rPr>
        <w:t xml:space="preserve">v. Courtney</w:t>
      </w:r>
      <w:r>
        <w:t xml:space="preserve">, 190 W. Va. 126, 132, 437 S.E.2d 436, 442 (1993) (personal injury case concerning bodily injury and severe emotional distress from domestic violence) (emphasis added).</w:t>
      </w:r>
    </w:p>
  </w:footnote>
  <w:footnote w:id="84">
    <w:p>
      <w:pPr>
        <w:pStyle w:val="FootnoteText"/>
      </w:pPr>
      <w:r>
        <w:rPr>
          <w:rStyle w:val="FootnoteReference"/>
        </w:rPr>
        <w:footnoteRef/>
      </w:r>
      <w:r>
        <w:t xml:space="preserve"> </w:t>
      </w:r>
      <w:r>
        <w:rPr>
          <w:i/>
          <w:iCs/>
        </w:rPr>
        <w:t xml:space="preserve">See generally</w:t>
      </w:r>
      <w:r>
        <w:t xml:space="preserve"> </w:t>
      </w:r>
      <w:r>
        <w:t xml:space="preserve">JA 005–016.</w:t>
      </w:r>
    </w:p>
  </w:footnote>
  <w:footnote w:id="85">
    <w:p>
      <w:pPr>
        <w:pStyle w:val="FootnoteText"/>
      </w:pPr>
      <w:r>
        <w:rPr>
          <w:rStyle w:val="FootnoteReference"/>
        </w:rPr>
        <w:footnoteRef/>
      </w:r>
      <w:r>
        <w:t xml:space="preserve"> </w:t>
      </w:r>
      <w:r>
        <w:rPr>
          <w:i/>
          <w:iCs/>
        </w:rPr>
        <w:t xml:space="preserve">State ex rel. Charleston Area Med. Ctr. v. Thompson</w:t>
      </w:r>
      <w:r>
        <w:t xml:space="preserve">, 248 W. Va. 352, 888 S.E.2d 852 (2023).</w:t>
      </w:r>
    </w:p>
  </w:footnote>
  <w:footnote w:id="86">
    <w:p>
      <w:pPr>
        <w:pStyle w:val="FootnoteText"/>
      </w:pPr>
      <w:r>
        <w:rPr>
          <w:rStyle w:val="FootnoteReference"/>
        </w:rPr>
        <w:footnoteRef/>
      </w:r>
      <w:r>
        <w:t xml:space="preserve"> </w:t>
      </w:r>
      <w:r>
        <w:rPr>
          <w:i/>
          <w:iCs/>
        </w:rPr>
        <w:t xml:space="preserve">Scott</w:t>
      </w:r>
      <w:r>
        <w:t xml:space="preserve">, 246 W. Va. 184, 866 S.E.2d 350.</w:t>
      </w:r>
    </w:p>
  </w:footnote>
  <w:footnote w:id="87">
    <w:p>
      <w:pPr>
        <w:pStyle w:val="FootnoteText"/>
      </w:pPr>
      <w:r>
        <w:rPr>
          <w:rStyle w:val="FootnoteReference"/>
        </w:rPr>
        <w:footnoteRef/>
      </w:r>
      <w:r>
        <w:t xml:space="preserve"> </w:t>
      </w:r>
      <w:r>
        <w:rPr>
          <w:i/>
          <w:iCs/>
        </w:rPr>
        <w:t xml:space="preserve">Trivett</w:t>
      </w:r>
      <w:r>
        <w:t xml:space="preserve">, 249 W. Va. 231, 895 S.E.2d 86.</w:t>
      </w:r>
    </w:p>
  </w:footnote>
  <w:footnote w:id="88">
    <w:p>
      <w:pPr>
        <w:pStyle w:val="FootnoteText"/>
      </w:pPr>
      <w:r>
        <w:rPr>
          <w:rStyle w:val="FootnoteReference"/>
        </w:rPr>
        <w:footnoteRef/>
      </w:r>
      <w:r>
        <w:t xml:space="preserve"> </w:t>
      </w:r>
      <w:r>
        <w:rPr>
          <w:i/>
          <w:iCs/>
        </w:rPr>
        <w:t xml:space="preserve">Minnich</w:t>
      </w:r>
      <w:r>
        <w:rPr>
          <w:i/>
          <w:iCs/>
        </w:rPr>
        <w:t xml:space="preserve"> </w:t>
      </w:r>
      <w:r>
        <w:rPr>
          <w:i/>
          <w:iCs/>
        </w:rPr>
        <w:t xml:space="preserve">v. MedExpress Urgent Care, Inc.—West Virginia</w:t>
      </w:r>
      <w:r>
        <w:t xml:space="preserve">, 238 W. Va. 533, 796 S.E.2d 642 (2017).</w:t>
      </w:r>
    </w:p>
  </w:footnote>
  <w:footnote w:id="89">
    <w:p>
      <w:pPr>
        <w:pStyle w:val="FootnoteText"/>
      </w:pPr>
      <w:r>
        <w:rPr>
          <w:rStyle w:val="FootnoteReference"/>
        </w:rPr>
        <w:footnoteRef/>
      </w:r>
      <w:r>
        <w:t xml:space="preserve"> </w:t>
      </w:r>
      <w:r>
        <w:rPr>
          <w:i/>
          <w:iCs/>
        </w:rPr>
        <w:t xml:space="preserve">Cline</w:t>
      </w:r>
      <w:r>
        <w:rPr>
          <w:i/>
          <w:iCs/>
        </w:rPr>
        <w:t xml:space="preserve"> </w:t>
      </w:r>
      <w:r>
        <w:rPr>
          <w:i/>
          <w:iCs/>
        </w:rPr>
        <w:t xml:space="preserve">v. Kresa-Reahl</w:t>
      </w:r>
      <w:r>
        <w:t xml:space="preserve">, 229 W. Va. 203, 205–206, 728 S.E.2d 87, 89–90 (2012).</w:t>
      </w:r>
    </w:p>
  </w:footnote>
  <w:footnote w:id="90">
    <w:p>
      <w:pPr>
        <w:pStyle w:val="FootnoteText"/>
      </w:pPr>
      <w:r>
        <w:rPr>
          <w:rStyle w:val="FootnoteReference"/>
        </w:rPr>
        <w:footnoteRef/>
      </w:r>
      <w:r>
        <w:t xml:space="preserve"> </w:t>
      </w:r>
      <w:r>
        <w:rPr>
          <w:i/>
          <w:iCs/>
        </w:rPr>
        <w:t xml:space="preserve">See</w:t>
      </w:r>
      <w:r>
        <w:t xml:space="preserve"> </w:t>
      </w:r>
      <w:r>
        <w:t xml:space="preserve">Thompson</w:t>
      </w:r>
      <w:r>
        <w:t xml:space="preserve">, 248 W. Va. at 361, 888 S.E.2d 852 at 861.</w:t>
      </w:r>
    </w:p>
  </w:footnote>
  <w:footnote w:id="91">
    <w:p>
      <w:pPr>
        <w:pStyle w:val="FootnoteText"/>
      </w:pPr>
      <w:r>
        <w:rPr>
          <w:rStyle w:val="FootnoteReference"/>
        </w:rPr>
        <w:footnoteRef/>
      </w:r>
      <w:r>
        <w:t xml:space="preserve"> </w:t>
      </w:r>
      <w:r>
        <w:rPr>
          <w:i/>
          <w:iCs/>
        </w:rPr>
        <w:t xml:space="preserve">Id.</w:t>
      </w:r>
    </w:p>
  </w:footnote>
  <w:footnote w:id="92">
    <w:p>
      <w:pPr>
        <w:pStyle w:val="FootnoteText"/>
      </w:pPr>
      <w:r>
        <w:rPr>
          <w:rStyle w:val="FootnoteReference"/>
        </w:rPr>
        <w:footnoteRef/>
      </w:r>
      <w:r>
        <w:t xml:space="preserve"> </w:t>
      </w:r>
      <w:r>
        <w:rPr>
          <w:i/>
          <w:iCs/>
        </w:rPr>
        <w:t xml:space="preserve">Id.</w:t>
      </w:r>
      <w:r>
        <w:t xml:space="preserve">; W. Va. Code § 55-⁠7B-⁠2</w:t>
      </w:r>
      <w:r>
        <w:t xml:space="preserve">(i) (emphasis added).</w:t>
      </w:r>
    </w:p>
  </w:footnote>
  <w:footnote w:id="93">
    <w:p>
      <w:pPr>
        <w:pStyle w:val="FootnoteText"/>
      </w:pPr>
      <w:r>
        <w:rPr>
          <w:rStyle w:val="FootnoteReference"/>
        </w:rPr>
        <w:footnoteRef/>
      </w:r>
      <w:r>
        <w:t xml:space="preserve"> </w:t>
      </w:r>
      <w:r>
        <w:rPr>
          <w:i/>
          <w:iCs/>
        </w:rPr>
        <w:t xml:space="preserve">Thompson</w:t>
      </w:r>
      <w:r>
        <w:t xml:space="preserve">, 248 W. Va. 352, 888 S.E.2d 852.</w:t>
      </w:r>
    </w:p>
  </w:footnote>
  <w:footnote w:id="94">
    <w:p>
      <w:pPr>
        <w:pStyle w:val="FootnoteText"/>
      </w:pPr>
      <w:r>
        <w:rPr>
          <w:rStyle w:val="FootnoteReference"/>
        </w:rPr>
        <w:footnoteRef/>
      </w:r>
      <w:r>
        <w:t xml:space="preserve"> </w:t>
      </w:r>
      <w:r>
        <w:rPr>
          <w:i/>
          <w:iCs/>
        </w:rPr>
        <w:t xml:space="preserve">Thompson</w:t>
      </w:r>
      <w:r>
        <w:t xml:space="preserve">, 248 W. Va. at 358–359, 888 S.E.2d at 858–859.</w:t>
      </w:r>
    </w:p>
  </w:footnote>
  <w:footnote w:id="95">
    <w:p>
      <w:pPr>
        <w:pStyle w:val="FootnoteText"/>
      </w:pPr>
      <w:r>
        <w:rPr>
          <w:rStyle w:val="FootnoteReference"/>
        </w:rPr>
        <w:footnoteRef/>
      </w:r>
      <w:r>
        <w:t xml:space="preserve"> </w:t>
      </w:r>
      <w:r>
        <w:rPr>
          <w:i/>
          <w:iCs/>
        </w:rPr>
        <w:t xml:space="preserve">Id.</w:t>
      </w:r>
    </w:p>
  </w:footnote>
  <w:footnote w:id="96">
    <w:p>
      <w:pPr>
        <w:pStyle w:val="FootnoteText"/>
      </w:pPr>
      <w:r>
        <w:rPr>
          <w:rStyle w:val="FootnoteReference"/>
        </w:rPr>
        <w:footnoteRef/>
      </w:r>
      <w:r>
        <w:t xml:space="preserve"> </w:t>
      </w:r>
      <w:r>
        <w:t xml:space="preserve">248 W. Va. at 360, 888 S.E.2d at 860;</w:t>
      </w:r>
      <w:r>
        <w:t xml:space="preserve"> </w:t>
      </w:r>
      <w:r>
        <w:rPr>
          <w:i/>
          <w:iCs/>
        </w:rPr>
        <w:t xml:space="preserve">e.g.</w:t>
      </w:r>
      <w:r>
        <w:t xml:space="preserve">,</w:t>
      </w:r>
      <w:r>
        <w:t xml:space="preserve"> </w:t>
      </w:r>
      <w:r>
        <w:rPr>
          <w:i/>
          <w:iCs/>
        </w:rPr>
        <w:t xml:space="preserve">Travis</w:t>
      </w:r>
      <w:r>
        <w:rPr>
          <w:i/>
          <w:iCs/>
        </w:rPr>
        <w:t xml:space="preserve"> </w:t>
      </w:r>
      <w:r>
        <w:rPr>
          <w:i/>
          <w:iCs/>
        </w:rPr>
        <w:t xml:space="preserve">v. Alcon Labs.</w:t>
      </w:r>
      <w:r>
        <w:t xml:space="preserve">, 202 W. Va. 369, 375, 504 S.E.2d 419, 425 (1998) (internal quotation omitted).</w:t>
      </w:r>
    </w:p>
  </w:footnote>
  <w:footnote w:id="97">
    <w:p>
      <w:pPr>
        <w:pStyle w:val="FootnoteText"/>
      </w:pPr>
      <w:r>
        <w:rPr>
          <w:rStyle w:val="FootnoteReference"/>
        </w:rPr>
        <w:footnoteRef/>
      </w:r>
      <w:r>
        <w:t xml:space="preserve"> </w:t>
      </w:r>
      <w:r>
        <w:rPr>
          <w:i/>
          <w:iCs/>
        </w:rPr>
        <w:t xml:space="preserve">See Courtney</w:t>
      </w:r>
      <w:r>
        <w:t xml:space="preserve">, 190 W. Va. at 132, 437 S.E.2d at 442;</w:t>
      </w:r>
      <w:r>
        <w:t xml:space="preserve"> </w:t>
      </w:r>
      <w:r>
        <w:rPr>
          <w:i/>
          <w:iCs/>
        </w:rPr>
        <w:t xml:space="preserve">Flannery</w:t>
      </w:r>
      <w:r>
        <w:t xml:space="preserve">, 171 W. Va. at 29, 297 S.E.2d at 435.</w:t>
      </w:r>
    </w:p>
  </w:footnote>
  <w:footnote w:id="98">
    <w:p>
      <w:pPr>
        <w:pStyle w:val="FootnoteText"/>
      </w:pPr>
      <w:r>
        <w:rPr>
          <w:rStyle w:val="FootnoteReference"/>
        </w:rPr>
        <w:footnoteRef/>
      </w:r>
      <w:r>
        <w:t xml:space="preserve"> </w:t>
      </w:r>
      <w:r>
        <w:rPr>
          <w:i/>
          <w:iCs/>
        </w:rPr>
        <w:t xml:space="preserve">See e.g.</w:t>
      </w:r>
      <w:r>
        <w:t xml:space="preserve">,</w:t>
      </w:r>
      <w:r>
        <w:t xml:space="preserve"> </w:t>
      </w:r>
      <w:r>
        <w:rPr>
          <w:i/>
          <w:iCs/>
        </w:rPr>
        <w:t xml:space="preserve">Zsigray</w:t>
      </w:r>
      <w:r>
        <w:rPr>
          <w:i/>
          <w:iCs/>
        </w:rPr>
        <w:t xml:space="preserve"> </w:t>
      </w:r>
      <w:r>
        <w:rPr>
          <w:i/>
          <w:iCs/>
        </w:rPr>
        <w:t xml:space="preserve">v. Langman</w:t>
      </w:r>
      <w:r>
        <w:t xml:space="preserve">, 243 W. Va. 163, 174, 842 S.E.2d 716, 727 (2020);</w:t>
      </w:r>
      <w:r>
        <w:t xml:space="preserve"> </w:t>
      </w:r>
      <w:r>
        <w:rPr>
          <w:i/>
          <w:iCs/>
        </w:rPr>
        <w:t xml:space="preserve">Travis</w:t>
      </w:r>
      <w:r>
        <w:t xml:space="preserve">, 202 W. Va. at 380, 504 S.E.2d at 430;</w:t>
      </w:r>
      <w:r>
        <w:t xml:space="preserve"> </w:t>
      </w:r>
      <w:r>
        <w:rPr>
          <w:i/>
          <w:iCs/>
        </w:rPr>
        <w:t xml:space="preserve">Tanner</w:t>
      </w:r>
      <w:r>
        <w:rPr>
          <w:i/>
          <w:iCs/>
        </w:rPr>
        <w:t xml:space="preserve"> </w:t>
      </w:r>
      <w:r>
        <w:rPr>
          <w:i/>
          <w:iCs/>
        </w:rPr>
        <w:t xml:space="preserve">v. Rite Aid of W. Va., Inc.</w:t>
      </w:r>
      <w:r>
        <w:t xml:space="preserve">, 194 W. Va. 643, 651, 461 S.E.2d 149, 157 (1995).</w:t>
      </w:r>
    </w:p>
  </w:footnote>
  <w:footnote w:id="99">
    <w:p>
      <w:pPr>
        <w:pStyle w:val="FootnoteText"/>
      </w:pPr>
      <w:r>
        <w:rPr>
          <w:rStyle w:val="FootnoteReference"/>
        </w:rPr>
        <w:footnoteRef/>
      </w:r>
      <w:r>
        <w:t xml:space="preserve"> </w:t>
      </w:r>
      <w:r>
        <w:rPr>
          <w:i/>
          <w:iCs/>
        </w:rPr>
        <w:t xml:space="preserve">See generally</w:t>
      </w:r>
      <w:r>
        <w:t xml:space="preserve"> </w:t>
      </w:r>
      <w:r>
        <w:t xml:space="preserve">JA 005–016.</w:t>
      </w:r>
    </w:p>
  </w:footnote>
  <w:footnote w:id="100">
    <w:p>
      <w:pPr>
        <w:pStyle w:val="FootnoteText"/>
      </w:pPr>
      <w:r>
        <w:rPr>
          <w:rStyle w:val="FootnoteReference"/>
        </w:rPr>
        <w:footnoteRef/>
      </w:r>
      <w:r>
        <w:t xml:space="preserve"> </w:t>
      </w:r>
      <w:r>
        <w:rPr>
          <w:i/>
          <w:iCs/>
        </w:rPr>
        <w:t xml:space="preserve">See generally Scott</w:t>
      </w:r>
      <w:r>
        <w:t xml:space="preserve">, 246 W. Va. 184, 866 S.E.2d 350.</w:t>
      </w:r>
    </w:p>
  </w:footnote>
  <w:footnote w:id="101">
    <w:p>
      <w:pPr>
        <w:pStyle w:val="FootnoteText"/>
      </w:pPr>
      <w:r>
        <w:rPr>
          <w:rStyle w:val="FootnoteReference"/>
        </w:rPr>
        <w:footnoteRef/>
      </w:r>
      <w:r>
        <w:t xml:space="preserve"> </w:t>
      </w:r>
      <w:r>
        <w:t xml:space="preserve">246 W. Va. at 189, 866 S.E.2d at 355.</w:t>
      </w:r>
    </w:p>
  </w:footnote>
  <w:footnote w:id="102">
    <w:p>
      <w:pPr>
        <w:pStyle w:val="FootnoteText"/>
      </w:pPr>
      <w:r>
        <w:rPr>
          <w:rStyle w:val="FootnoteReference"/>
        </w:rPr>
        <w:footnoteRef/>
      </w:r>
      <w:r>
        <w:t xml:space="preserve"> </w:t>
      </w:r>
      <w:r>
        <w:rPr>
          <w:i/>
          <w:iCs/>
        </w:rPr>
        <w:t xml:space="preserve">Id.</w:t>
      </w:r>
    </w:p>
  </w:footnote>
  <w:footnote w:id="103">
    <w:p>
      <w:pPr>
        <w:pStyle w:val="FootnoteText"/>
      </w:pPr>
      <w:r>
        <w:rPr>
          <w:rStyle w:val="FootnoteReference"/>
        </w:rPr>
        <w:footnoteRef/>
      </w:r>
      <w:r>
        <w:t xml:space="preserve"> </w:t>
      </w:r>
      <w:r>
        <w:rPr>
          <w:i/>
          <w:iCs/>
        </w:rPr>
        <w:t xml:space="preserve">Id.</w:t>
      </w:r>
      <w:r>
        <w:t xml:space="preserve">; 248 W. Va. at 361, 888 S.E.2d at 861.</w:t>
      </w:r>
    </w:p>
  </w:footnote>
  <w:footnote w:id="104">
    <w:p>
      <w:pPr>
        <w:pStyle w:val="FootnoteText"/>
      </w:pPr>
      <w:r>
        <w:rPr>
          <w:rStyle w:val="FootnoteReference"/>
        </w:rPr>
        <w:footnoteRef/>
      </w:r>
      <w:r>
        <w:t xml:space="preserve"> </w:t>
      </w:r>
      <w:r>
        <w:rPr>
          <w:i/>
          <w:iCs/>
        </w:rPr>
        <w:t xml:space="preserve">See</w:t>
      </w:r>
      <w:r>
        <w:t xml:space="preserve"> </w:t>
      </w:r>
      <w:r>
        <w:t xml:space="preserve">JA 038; JA 113.</w:t>
      </w:r>
    </w:p>
  </w:footnote>
  <w:footnote w:id="105">
    <w:p>
      <w:pPr>
        <w:pStyle w:val="FootnoteText"/>
      </w:pPr>
      <w:r>
        <w:rPr>
          <w:rStyle w:val="FootnoteReference"/>
        </w:rPr>
        <w:footnoteRef/>
      </w:r>
      <w:r>
        <w:t xml:space="preserve"> </w:t>
      </w:r>
      <w:r>
        <w:rPr>
          <w:i/>
          <w:iCs/>
        </w:rPr>
        <w:t xml:space="preserve">State ex rel. Morgantown Operating Co., LLC v. Gaujot</w:t>
      </w:r>
      <w:r>
        <w:t xml:space="preserve">, 245 W. Va. 415, 428, 859 S.E.2d 358, 370 (2021) (emphasis added).</w:t>
      </w:r>
    </w:p>
  </w:footnote>
  <w:footnote w:id="106">
    <w:p>
      <w:pPr>
        <w:pStyle w:val="FootnoteText"/>
      </w:pPr>
      <w:r>
        <w:rPr>
          <w:rStyle w:val="FootnoteReference"/>
        </w:rPr>
        <w:footnoteRef/>
      </w:r>
      <w:r>
        <w:t xml:space="preserve"> </w:t>
      </w:r>
      <w:r>
        <w:t xml:space="preserve">245 W. Va. at 427, 859 S.E.2d at 370.</w:t>
      </w:r>
    </w:p>
  </w:footnote>
  <w:footnote w:id="107">
    <w:p>
      <w:pPr>
        <w:pStyle w:val="FootnoteText"/>
      </w:pPr>
      <w:r>
        <w:rPr>
          <w:rStyle w:val="FootnoteReference"/>
        </w:rPr>
        <w:footnoteRef/>
      </w:r>
      <w:r>
        <w:t xml:space="preserve"> </w:t>
      </w:r>
      <w:r>
        <w:rPr>
          <w:i/>
          <w:iCs/>
        </w:rPr>
        <w:t xml:space="preserve">Barr</w:t>
      </w:r>
      <w:r>
        <w:rPr>
          <w:i/>
          <w:iCs/>
        </w:rPr>
        <w:t xml:space="preserve"> </w:t>
      </w:r>
      <w:r>
        <w:rPr>
          <w:i/>
          <w:iCs/>
        </w:rPr>
        <w:t xml:space="preserve">v. NCB Mgmt. Servs.</w:t>
      </w:r>
      <w:r>
        <w:t xml:space="preserve">, 227 W. Va. 507, 514, 711 S.E.2d 577, 584 (2011) (applying a section of the WVCCPA “broadly and liberally”).</w:t>
      </w:r>
    </w:p>
  </w:footnote>
  <w:footnote w:id="108">
    <w:p>
      <w:pPr>
        <w:pStyle w:val="FootnoteText"/>
      </w:pPr>
      <w:r>
        <w:rPr>
          <w:rStyle w:val="FootnoteReference"/>
        </w:rPr>
        <w:footnoteRef/>
      </w:r>
      <w:r>
        <w:t xml:space="preserve"> </w:t>
      </w:r>
      <w:r>
        <w:t xml:space="preserve">This would include physician suits like</w:t>
      </w:r>
      <w:r>
        <w:t xml:space="preserve"> </w:t>
      </w:r>
      <w:r>
        <w:rPr>
          <w:i/>
          <w:iCs/>
        </w:rPr>
        <w:t xml:space="preserve">Camden-Clark</w:t>
      </w:r>
      <w:r>
        <w:rPr>
          <w:i/>
          <w:iCs/>
        </w:rPr>
        <w:t xml:space="preserve"> </w:t>
      </w:r>
      <w:r>
        <w:rPr>
          <w:i/>
          <w:iCs/>
        </w:rPr>
        <w:t xml:space="preserve">Mem’l Hosp. Corp. v. Tuan Nguyen</w:t>
      </w:r>
      <w:r>
        <w:t xml:space="preserve">, 240 W. Va. 76, 807 S.E.2d 747 (2017) (physician suit for economic damages as a result of his termination);</w:t>
      </w:r>
      <w:r>
        <w:t xml:space="preserve"> </w:t>
      </w:r>
      <w:r>
        <w:rPr>
          <w:i/>
          <w:iCs/>
        </w:rPr>
        <w:t xml:space="preserve">Katrib</w:t>
      </w:r>
      <w:r>
        <w:rPr>
          <w:i/>
          <w:iCs/>
        </w:rPr>
        <w:t xml:space="preserve"> </w:t>
      </w:r>
      <w:r>
        <w:rPr>
          <w:i/>
          <w:iCs/>
        </w:rPr>
        <w:t xml:space="preserve">v. Herbert J. Thomas Mem’l Hosp. Ass’n</w:t>
      </w:r>
      <w:r>
        <w:t xml:space="preserve">, 247 W. Va. 763, 885 S.E.2d 894 (2023) (physician suit for economic damages for suspension of his privileges);</w:t>
      </w:r>
      <w:r>
        <w:t xml:space="preserve"> </w:t>
      </w:r>
      <w:r>
        <w:rPr>
          <w:i/>
          <w:iCs/>
        </w:rPr>
        <w:t xml:space="preserve">Hamrick</w:t>
      </w:r>
      <w:r>
        <w:rPr>
          <w:i/>
          <w:iCs/>
        </w:rPr>
        <w:t xml:space="preserve"> </w:t>
      </w:r>
      <w:r>
        <w:rPr>
          <w:i/>
          <w:iCs/>
        </w:rPr>
        <w:t xml:space="preserve">v. Charleston Area Med. Ctr., Inc.</w:t>
      </w:r>
      <w:r>
        <w:t xml:space="preserve">, 220 W. Va. 495, 648 S.E.2d 1 (2007) (group of doctors seeking redress for nonpublic meetings); sexual harassment and discrimination suits like</w:t>
      </w:r>
      <w:r>
        <w:t xml:space="preserve"> </w:t>
      </w:r>
      <w:r>
        <w:rPr>
          <w:i/>
          <w:iCs/>
        </w:rPr>
        <w:t xml:space="preserve">State ex rel. ERx, LLC v. Cramer</w:t>
      </w:r>
      <w:r>
        <w:t xml:space="preserve">, 247 W. Va. 739, 885 S.E.2d 870 (2023) (injury from sexual harassment by doctor); and even litigation regarding certificates of need such as</w:t>
      </w:r>
      <w:r>
        <w:t xml:space="preserve"> </w:t>
      </w:r>
      <w:r>
        <w:rPr>
          <w:i/>
          <w:iCs/>
        </w:rPr>
        <w:t xml:space="preserve">Stonewall</w:t>
      </w:r>
      <w:r>
        <w:rPr>
          <w:i/>
          <w:iCs/>
        </w:rPr>
        <w:t xml:space="preserve"> </w:t>
      </w:r>
      <w:r>
        <w:rPr>
          <w:i/>
          <w:iCs/>
        </w:rPr>
        <w:t xml:space="preserve">Jackson Mem. Hosp. Co. v. St. Joseph’s Hosp. of Buckhannon, Inc.</w:t>
      </w:r>
      <w:r>
        <w:t xml:space="preserve">, 2023 W. Va. App. LEXIS 202, 2023 WL 4197305 (ICA) (hospital alleges potential injury from other healthcare facility);</w:t>
      </w:r>
      <w:r>
        <w:t xml:space="preserve"> </w:t>
      </w:r>
      <w:r>
        <w:rPr>
          <w:i/>
          <w:iCs/>
        </w:rPr>
        <w:t xml:space="preserve">Raleigh</w:t>
      </w:r>
      <w:r>
        <w:rPr>
          <w:i/>
          <w:iCs/>
        </w:rPr>
        <w:t xml:space="preserve"> </w:t>
      </w:r>
      <w:r>
        <w:rPr>
          <w:i/>
          <w:iCs/>
        </w:rPr>
        <w:t xml:space="preserve">Gen. Hosp., LLC v. Appalachian Reg’l Healthcare, Inc.</w:t>
      </w:r>
      <w:r>
        <w:t xml:space="preserve">, 2024 W. Va. App. LEXIS 14 (ICA).</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46" w:after="14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20" w:after="120" w:line="276" w:lineRule="exact"/>
      <w:ind w:left="720" w:right="720" w:firstLine="0"/>
    </w:pPr>
  </w:style>
  <w:style w:type="paragraph" w:customStyle="1" w:styleId="XdQuoteFirst">
    <w:name w:val="Xd Quote First"/>
    <w:basedOn w:val="Normal"/>
    <w:qFormat/>
    <w:pPr>
      <w:spacing w:before="192" w:after="120" w:line="276" w:lineRule="exact"/>
      <w:ind w:left="720" w:right="720" w:firstLine="0"/>
    </w:pPr>
  </w:style>
  <w:style w:type="paragraph" w:customStyle="1" w:styleId="XdQuoteLast">
    <w:name w:val="Xd Quote Last"/>
    <w:basedOn w:val="Normal"/>
    <w:qFormat/>
    <w:pPr>
      <w:spacing w:before="12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